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65" w:type="dxa"/>
        <w:tblInd w:w="14" w:type="dxa"/>
        <w:tblLayout w:type="fixed"/>
        <w:tblLook w:val="0000" w:firstRow="0" w:lastRow="0" w:firstColumn="0" w:lastColumn="0" w:noHBand="0" w:noVBand="0"/>
      </w:tblPr>
      <w:tblGrid>
        <w:gridCol w:w="346"/>
        <w:gridCol w:w="2927"/>
        <w:gridCol w:w="2401"/>
        <w:gridCol w:w="4587"/>
        <w:gridCol w:w="704"/>
      </w:tblGrid>
      <w:tr w:rsidR="00B800A1" w:rsidRPr="00FD492A" w14:paraId="3EF92B42" w14:textId="77777777" w:rsidTr="003279D2">
        <w:trPr>
          <w:gridAfter w:val="1"/>
          <w:wAfter w:w="704" w:type="dxa"/>
          <w:cantSplit/>
        </w:trPr>
        <w:tc>
          <w:tcPr>
            <w:tcW w:w="3273" w:type="dxa"/>
            <w:gridSpan w:val="2"/>
          </w:tcPr>
          <w:p w14:paraId="092F54CD" w14:textId="77777777" w:rsidR="00B800A1" w:rsidRPr="00164B40" w:rsidRDefault="008763B9">
            <w:pPr>
              <w:spacing w:before="120"/>
              <w:ind w:left="-720"/>
              <w:jc w:val="center"/>
              <w:rPr>
                <w:rFonts w:ascii="Arial" w:eastAsia="Arial" w:hAnsi="Arial" w:cs="Arial"/>
              </w:rPr>
            </w:pPr>
            <w:bookmarkStart w:id="0" w:name="zUnlink"/>
            <w:bookmarkStart w:id="1" w:name="_GoBack"/>
            <w:bookmarkEnd w:id="1"/>
            <w:r>
              <w:rPr>
                <w:noProof/>
              </w:rPr>
              <w:pict w14:anchorId="5646C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5" type="#_x0000_t75" style="position:absolute;left:0;text-align:left;margin-left:-.6pt;margin-top:-.15pt;width:116.4pt;height:42.45pt;z-index:1;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v:imagedata r:id="rId8" o:title=""/>
                  <w10:wrap anchorx="margin"/>
                </v:shape>
              </w:pict>
            </w:r>
          </w:p>
        </w:tc>
        <w:tc>
          <w:tcPr>
            <w:tcW w:w="2401" w:type="dxa"/>
          </w:tcPr>
          <w:p w14:paraId="77D4F471" w14:textId="2251554A" w:rsidR="00B800A1" w:rsidRPr="003279D2" w:rsidRDefault="00727AE3" w:rsidP="007040A6">
            <w:pPr>
              <w:jc w:val="center"/>
              <w:rPr>
                <w:rFonts w:eastAsia="Arial"/>
              </w:rPr>
            </w:pPr>
            <w:r w:rsidRPr="003279D2">
              <w:rPr>
                <w:rFonts w:ascii="Arial" w:hAnsi="Arial" w:cs="Arial"/>
                <w:b/>
                <w:smallCaps/>
                <w:color w:val="FF0000"/>
                <w:spacing w:val="10"/>
                <w:szCs w:val="24"/>
              </w:rPr>
              <w:t>DRAFT</w:t>
            </w:r>
          </w:p>
        </w:tc>
        <w:tc>
          <w:tcPr>
            <w:tcW w:w="4587" w:type="dxa"/>
          </w:tcPr>
          <w:p w14:paraId="3FB28731" w14:textId="77748901" w:rsidR="00B800A1" w:rsidRPr="003279D2" w:rsidRDefault="008D0C46" w:rsidP="007040A6">
            <w:pPr>
              <w:rPr>
                <w:rFonts w:eastAsia="Arial"/>
              </w:rPr>
            </w:pPr>
            <w:bookmarkStart w:id="2" w:name="zHeaderAuthorName"/>
            <w:bookmarkEnd w:id="2"/>
            <w:r w:rsidRPr="641C5C5C">
              <w:rPr>
                <w:rFonts w:ascii="Arial" w:eastAsia="Arial" w:hAnsi="Arial" w:cs="Arial"/>
                <w:b/>
                <w:bCs/>
                <w:sz w:val="20"/>
              </w:rPr>
              <w:t xml:space="preserve">Gary </w:t>
            </w:r>
            <w:r w:rsidR="00B119BB" w:rsidRPr="641C5C5C">
              <w:rPr>
                <w:rFonts w:ascii="Arial" w:eastAsia="Arial" w:hAnsi="Arial" w:cs="Arial"/>
                <w:b/>
                <w:bCs/>
                <w:sz w:val="20"/>
              </w:rPr>
              <w:t xml:space="preserve">A. </w:t>
            </w:r>
            <w:r w:rsidRPr="641C5C5C">
              <w:rPr>
                <w:rFonts w:ascii="Arial" w:eastAsia="Arial" w:hAnsi="Arial" w:cs="Arial"/>
                <w:b/>
                <w:bCs/>
                <w:sz w:val="20"/>
              </w:rPr>
              <w:t>Stern</w:t>
            </w:r>
            <w:r w:rsidR="00B800A1">
              <w:br/>
            </w:r>
            <w:r w:rsidR="00BF711C" w:rsidRPr="641C5C5C">
              <w:rPr>
                <w:rFonts w:ascii="Arial" w:eastAsia="Arial" w:hAnsi="Arial" w:cs="Arial"/>
                <w:sz w:val="20"/>
              </w:rPr>
              <w:t xml:space="preserve">Managing </w:t>
            </w:r>
            <w:r w:rsidR="003A63B9" w:rsidRPr="641C5C5C">
              <w:rPr>
                <w:rFonts w:ascii="Arial" w:eastAsia="Arial" w:hAnsi="Arial" w:cs="Arial"/>
                <w:sz w:val="20"/>
              </w:rPr>
              <w:t>Director</w:t>
            </w:r>
            <w:r w:rsidR="008545B7" w:rsidRPr="641C5C5C">
              <w:rPr>
                <w:rFonts w:ascii="Arial" w:eastAsia="Arial" w:hAnsi="Arial" w:cs="Arial"/>
                <w:sz w:val="20"/>
              </w:rPr>
              <w:t xml:space="preserve">, State </w:t>
            </w:r>
            <w:r w:rsidR="00B800A1" w:rsidRPr="641C5C5C">
              <w:rPr>
                <w:rFonts w:ascii="Arial" w:eastAsia="Arial" w:hAnsi="Arial" w:cs="Arial"/>
                <w:sz w:val="20"/>
              </w:rPr>
              <w:t>Re</w:t>
            </w:r>
            <w:r w:rsidR="004338B1" w:rsidRPr="641C5C5C">
              <w:rPr>
                <w:rFonts w:ascii="Arial" w:eastAsia="Arial" w:hAnsi="Arial" w:cs="Arial"/>
                <w:sz w:val="20"/>
              </w:rPr>
              <w:t>gulatory</w:t>
            </w:r>
            <w:r w:rsidR="00B800A1" w:rsidRPr="641C5C5C">
              <w:rPr>
                <w:rFonts w:ascii="Arial" w:eastAsia="Arial" w:hAnsi="Arial" w:cs="Arial"/>
                <w:sz w:val="20"/>
              </w:rPr>
              <w:t xml:space="preserve"> </w:t>
            </w:r>
            <w:r w:rsidR="004338B1" w:rsidRPr="641C5C5C">
              <w:rPr>
                <w:rFonts w:ascii="Arial" w:eastAsia="Arial" w:hAnsi="Arial" w:cs="Arial"/>
                <w:sz w:val="20"/>
              </w:rPr>
              <w:t>Operations</w:t>
            </w:r>
          </w:p>
        </w:tc>
      </w:tr>
      <w:tr w:rsidR="00B800A1" w:rsidRPr="00FD492A" w14:paraId="4BD64701" w14:textId="77777777" w:rsidTr="003279D2">
        <w:tblPrEx>
          <w:jc w:val="center"/>
          <w:tblInd w:w="0" w:type="dxa"/>
        </w:tblPrEx>
        <w:trPr>
          <w:gridBefore w:val="1"/>
          <w:wBefore w:w="346" w:type="dxa"/>
          <w:cantSplit/>
          <w:trHeight w:val="509"/>
          <w:jc w:val="center"/>
        </w:trPr>
        <w:tc>
          <w:tcPr>
            <w:tcW w:w="10619" w:type="dxa"/>
            <w:gridSpan w:val="4"/>
            <w:tcBorders>
              <w:bottom w:val="single" w:sz="12" w:space="0" w:color="auto"/>
            </w:tcBorders>
          </w:tcPr>
          <w:p w14:paraId="77FD4F40" w14:textId="5A4C516E" w:rsidR="00B800A1" w:rsidRPr="00FD492A" w:rsidRDefault="00B800A1">
            <w:pPr>
              <w:ind w:right="64"/>
              <w:rPr>
                <w:rFonts w:ascii="Arial" w:hAnsi="Arial" w:cs="Arial"/>
                <w:szCs w:val="24"/>
              </w:rPr>
            </w:pPr>
            <w:r w:rsidRPr="00FD492A">
              <w:rPr>
                <w:rFonts w:ascii="Arial" w:hAnsi="Arial" w:cs="Arial"/>
                <w:szCs w:val="24"/>
              </w:rPr>
              <w:br w:type="column"/>
            </w:r>
          </w:p>
        </w:tc>
      </w:tr>
    </w:tbl>
    <w:p w14:paraId="766EDBD5" w14:textId="3A7B50EA" w:rsidR="00B800A1" w:rsidRPr="00FD492A" w:rsidRDefault="003D2C5A">
      <w:pPr>
        <w:pStyle w:val="Date"/>
        <w:spacing w:before="240"/>
        <w:rPr>
          <w:rFonts w:ascii="Arial" w:hAnsi="Arial" w:cs="Arial"/>
          <w:noProof/>
          <w:szCs w:val="24"/>
          <w:lang w:val="es-ES"/>
        </w:rPr>
      </w:pPr>
      <w:r w:rsidRPr="00BD42A2">
        <w:rPr>
          <w:rFonts w:ascii="Arial" w:eastAsia="Arial" w:hAnsi="Arial" w:cs="Arial"/>
          <w:noProof/>
          <w:lang w:val="es-ES"/>
        </w:rPr>
        <w:t>September 4</w:t>
      </w:r>
      <w:r w:rsidR="00D44B2F" w:rsidRPr="00BD42A2">
        <w:rPr>
          <w:rFonts w:ascii="Arial" w:eastAsia="Arial" w:hAnsi="Arial" w:cs="Arial"/>
          <w:noProof/>
          <w:lang w:val="es-ES"/>
        </w:rPr>
        <w:t>, 2018</w:t>
      </w:r>
    </w:p>
    <w:bookmarkEnd w:id="0"/>
    <w:p w14:paraId="15F47EDB" w14:textId="77777777" w:rsidR="00D544B6" w:rsidRPr="00FD492A" w:rsidRDefault="00B800A1">
      <w:pPr>
        <w:pStyle w:val="Advice"/>
        <w:rPr>
          <w:rFonts w:ascii="Arial" w:hAnsi="Arial" w:cs="Arial"/>
          <w:noProof/>
          <w:szCs w:val="24"/>
          <w:lang w:val="es-ES"/>
        </w:rPr>
      </w:pPr>
      <w:r w:rsidRPr="00FD492A">
        <w:rPr>
          <w:rFonts w:ascii="Arial" w:hAnsi="Arial" w:cs="Arial"/>
          <w:noProof/>
          <w:szCs w:val="24"/>
          <w:lang w:val="es-ES"/>
        </w:rPr>
        <w:t>ADVICE _______</w:t>
      </w:r>
      <w:r w:rsidRPr="00FD492A">
        <w:rPr>
          <w:rFonts w:ascii="Arial" w:hAnsi="Arial" w:cs="Arial"/>
          <w:noProof/>
          <w:color w:val="FF0000"/>
          <w:szCs w:val="24"/>
        </w:rPr>
        <w:fldChar w:fldCharType="begin"/>
      </w:r>
      <w:r w:rsidRPr="00FD492A">
        <w:rPr>
          <w:rFonts w:ascii="Arial" w:hAnsi="Arial" w:cs="Arial"/>
          <w:noProof/>
          <w:color w:val="FF0000"/>
          <w:szCs w:val="24"/>
          <w:lang w:val="es-ES"/>
        </w:rPr>
        <w:instrText>fillin "ADVICE NO.:"</w:instrText>
      </w:r>
      <w:r w:rsidRPr="00FD492A">
        <w:rPr>
          <w:rFonts w:ascii="Arial" w:hAnsi="Arial" w:cs="Arial"/>
          <w:noProof/>
          <w:color w:val="FF0000"/>
          <w:szCs w:val="24"/>
        </w:rPr>
        <w:fldChar w:fldCharType="end"/>
      </w:r>
      <w:r w:rsidRPr="00FD492A">
        <w:rPr>
          <w:rFonts w:ascii="Arial" w:hAnsi="Arial" w:cs="Arial"/>
          <w:noProof/>
          <w:szCs w:val="24"/>
          <w:lang w:val="es-ES"/>
        </w:rPr>
        <w:t>-E</w:t>
      </w:r>
    </w:p>
    <w:p w14:paraId="5FB3506D" w14:textId="77777777" w:rsidR="00B800A1" w:rsidRPr="00FD492A" w:rsidRDefault="00B800A1">
      <w:pPr>
        <w:pStyle w:val="U338"/>
        <w:spacing w:after="480"/>
        <w:rPr>
          <w:rFonts w:ascii="Arial" w:hAnsi="Arial" w:cs="Arial"/>
          <w:noProof/>
          <w:szCs w:val="24"/>
          <w:lang w:val="es-ES"/>
        </w:rPr>
      </w:pPr>
      <w:r w:rsidRPr="00FD492A">
        <w:rPr>
          <w:rFonts w:ascii="Arial" w:hAnsi="Arial" w:cs="Arial"/>
          <w:noProof/>
          <w:szCs w:val="24"/>
          <w:lang w:val="es-ES"/>
        </w:rPr>
        <w:t>(U 338-E)</w:t>
      </w:r>
    </w:p>
    <w:p w14:paraId="7D2160A0" w14:textId="77777777" w:rsidR="00B800A1" w:rsidRPr="00FD492A" w:rsidRDefault="00B800A1">
      <w:pPr>
        <w:spacing w:after="480"/>
        <w:rPr>
          <w:rFonts w:ascii="Arial" w:hAnsi="Arial" w:cs="Arial"/>
          <w:noProof/>
          <w:szCs w:val="24"/>
        </w:rPr>
      </w:pPr>
      <w:r w:rsidRPr="00FD492A">
        <w:rPr>
          <w:rFonts w:ascii="Arial" w:hAnsi="Arial" w:cs="Arial"/>
          <w:noProof/>
          <w:szCs w:val="24"/>
        </w:rPr>
        <w:t>PUBLIC UTILITIES COMMISSION OF THE STATE OF CALIFORNIA</w:t>
      </w:r>
      <w:r w:rsidRPr="00FD492A">
        <w:rPr>
          <w:rFonts w:ascii="Arial" w:hAnsi="Arial" w:cs="Arial"/>
          <w:noProof/>
          <w:szCs w:val="24"/>
        </w:rPr>
        <w:br/>
        <w:t>ENERGY DIVISION</w:t>
      </w:r>
    </w:p>
    <w:tbl>
      <w:tblPr>
        <w:tblW w:w="0" w:type="auto"/>
        <w:tblInd w:w="108" w:type="dxa"/>
        <w:tblLayout w:type="fixed"/>
        <w:tblLook w:val="04A0" w:firstRow="1" w:lastRow="0" w:firstColumn="1" w:lastColumn="0" w:noHBand="0" w:noVBand="1"/>
      </w:tblPr>
      <w:tblGrid>
        <w:gridCol w:w="1770"/>
        <w:gridCol w:w="6945"/>
      </w:tblGrid>
      <w:tr w:rsidR="00D544B6" w:rsidRPr="00FD492A" w14:paraId="7FC4A27B" w14:textId="77777777" w:rsidTr="1A945BD7">
        <w:trPr>
          <w:cantSplit/>
        </w:trPr>
        <w:tc>
          <w:tcPr>
            <w:tcW w:w="1770" w:type="dxa"/>
            <w:hideMark/>
          </w:tcPr>
          <w:p w14:paraId="0484E412" w14:textId="77777777" w:rsidR="00D544B6" w:rsidRPr="00FD492A" w:rsidRDefault="00D544B6" w:rsidP="00FE4605">
            <w:pPr>
              <w:spacing w:after="480"/>
              <w:rPr>
                <w:rFonts w:ascii="Arial" w:eastAsia="Arial" w:hAnsi="Arial" w:cs="Arial"/>
              </w:rPr>
            </w:pPr>
            <w:r w:rsidRPr="00A60A31">
              <w:rPr>
                <w:rFonts w:ascii="Arial" w:eastAsia="Arial" w:hAnsi="Arial" w:cs="Arial"/>
                <w:b/>
                <w:bCs/>
              </w:rPr>
              <w:t>SUBJECT:</w:t>
            </w:r>
          </w:p>
        </w:tc>
        <w:tc>
          <w:tcPr>
            <w:tcW w:w="6945" w:type="dxa"/>
            <w:hideMark/>
          </w:tcPr>
          <w:p w14:paraId="792E4972" w14:textId="2667A83A" w:rsidR="00D544B6" w:rsidRPr="00FD492A" w:rsidRDefault="00D44B2F" w:rsidP="003D2C5A">
            <w:pPr>
              <w:spacing w:after="480"/>
              <w:rPr>
                <w:rFonts w:ascii="Arial" w:hAnsi="Arial" w:cs="Arial"/>
                <w:szCs w:val="24"/>
              </w:rPr>
            </w:pPr>
            <w:r w:rsidRPr="1EF028A6">
              <w:rPr>
                <w:rFonts w:ascii="Arial" w:eastAsia="Arial" w:hAnsi="Arial" w:cs="Arial"/>
              </w:rPr>
              <w:t xml:space="preserve">Southern California Edison Company’s </w:t>
            </w:r>
            <w:r w:rsidR="003D2C5A">
              <w:rPr>
                <w:rFonts w:ascii="Arial" w:eastAsia="Arial" w:hAnsi="Arial" w:cs="Arial"/>
              </w:rPr>
              <w:t>2019 Energy Efficiency Program and Portfolio Annual Budget</w:t>
            </w:r>
            <w:r w:rsidR="00D544B6" w:rsidRPr="00FD492A">
              <w:fldChar w:fldCharType="begin"/>
            </w:r>
            <w:r w:rsidR="00D544B6" w:rsidRPr="00FD492A">
              <w:rPr>
                <w:rFonts w:ascii="Arial" w:hAnsi="Arial" w:cs="Arial"/>
                <w:szCs w:val="24"/>
              </w:rPr>
              <w:instrText>fillin SUBJECT:</w:instrText>
            </w:r>
            <w:r w:rsidR="00D544B6" w:rsidRPr="00FD492A">
              <w:rPr>
                <w:rFonts w:ascii="Arial" w:hAnsi="Arial" w:cs="Arial"/>
                <w:szCs w:val="24"/>
              </w:rPr>
              <w:fldChar w:fldCharType="end"/>
            </w:r>
          </w:p>
        </w:tc>
      </w:tr>
    </w:tbl>
    <w:p w14:paraId="7A1C0785" w14:textId="18EAC836" w:rsidR="00B800A1" w:rsidRPr="00D44B2F" w:rsidRDefault="003D2C5A">
      <w:pPr>
        <w:spacing w:after="240"/>
        <w:rPr>
          <w:rFonts w:ascii="Arial" w:eastAsia="Arial" w:hAnsi="Arial" w:cs="Arial"/>
        </w:rPr>
      </w:pPr>
      <w:r>
        <w:rPr>
          <w:rFonts w:ascii="Arial" w:eastAsia="Arial" w:hAnsi="Arial" w:cs="Arial"/>
        </w:rPr>
        <w:t xml:space="preserve">In compliance with Decision (D.)18-05-041, Southern California Edison (SCE) hereby submits for filing its 2019 Energy Efficiency (EE) Program Budget (including budget for IDSM), forecast Total Resource Cost (TRC) and </w:t>
      </w:r>
      <w:r w:rsidR="00B75991">
        <w:rPr>
          <w:rFonts w:ascii="Arial" w:eastAsia="Arial" w:hAnsi="Arial" w:cs="Arial"/>
        </w:rPr>
        <w:t>Program Administrator Cost (</w:t>
      </w:r>
      <w:r>
        <w:rPr>
          <w:rFonts w:ascii="Arial" w:eastAsia="Arial" w:hAnsi="Arial" w:cs="Arial"/>
        </w:rPr>
        <w:t>PAC</w:t>
      </w:r>
      <w:r w:rsidR="00B75991">
        <w:rPr>
          <w:rFonts w:ascii="Arial" w:eastAsia="Arial" w:hAnsi="Arial" w:cs="Arial"/>
        </w:rPr>
        <w:t>) test results</w:t>
      </w:r>
      <w:r>
        <w:rPr>
          <w:rFonts w:ascii="Arial" w:eastAsia="Arial" w:hAnsi="Arial" w:cs="Arial"/>
        </w:rPr>
        <w:t xml:space="preserve">, and forecast energy savings </w:t>
      </w:r>
      <w:r w:rsidR="00505B20">
        <w:rPr>
          <w:rFonts w:ascii="Arial" w:eastAsia="Arial" w:hAnsi="Arial" w:cs="Arial"/>
        </w:rPr>
        <w:t>for approval by the California Public Utilities Commission (“Commission” or “CPUC”)</w:t>
      </w:r>
      <w:r w:rsidR="00B75991">
        <w:rPr>
          <w:rFonts w:ascii="Arial" w:eastAsia="Arial" w:hAnsi="Arial" w:cs="Arial"/>
        </w:rPr>
        <w:t xml:space="preserve">.  SCE also requests </w:t>
      </w:r>
      <w:r w:rsidR="00886FFB">
        <w:rPr>
          <w:rFonts w:ascii="Arial" w:eastAsia="Arial" w:hAnsi="Arial" w:cs="Arial"/>
        </w:rPr>
        <w:t>for the Commission’s</w:t>
      </w:r>
      <w:r w:rsidR="00B75991">
        <w:rPr>
          <w:rFonts w:ascii="Arial" w:eastAsia="Arial" w:hAnsi="Arial" w:cs="Arial"/>
        </w:rPr>
        <w:t xml:space="preserve"> approval </w:t>
      </w:r>
      <w:r w:rsidR="00505B20">
        <w:rPr>
          <w:rFonts w:ascii="Arial" w:eastAsia="Arial" w:hAnsi="Arial" w:cs="Arial"/>
        </w:rPr>
        <w:t>to discontinue certain EE programs and sub-programs as detailed below</w:t>
      </w:r>
      <w:r w:rsidR="00B75991">
        <w:rPr>
          <w:rFonts w:ascii="Arial" w:eastAsia="Arial" w:hAnsi="Arial" w:cs="Arial"/>
        </w:rPr>
        <w:t>.</w:t>
      </w:r>
      <w:r w:rsidR="00505B20">
        <w:rPr>
          <w:rFonts w:ascii="Arial" w:eastAsia="Arial" w:hAnsi="Arial" w:cs="Arial"/>
        </w:rPr>
        <w:t xml:space="preserve"> </w:t>
      </w:r>
    </w:p>
    <w:p w14:paraId="1AE019D5" w14:textId="77777777" w:rsidR="00505B20" w:rsidRPr="00FD492A" w:rsidRDefault="00505B20" w:rsidP="00505B20">
      <w:pPr>
        <w:spacing w:after="240"/>
        <w:rPr>
          <w:rFonts w:ascii="Arial" w:hAnsi="Arial" w:cs="Arial"/>
          <w:b/>
          <w:szCs w:val="24"/>
          <w:u w:val="single"/>
        </w:rPr>
      </w:pPr>
      <w:r w:rsidRPr="00FD492A">
        <w:rPr>
          <w:rFonts w:ascii="Arial" w:hAnsi="Arial" w:cs="Arial"/>
          <w:b/>
          <w:noProof/>
          <w:szCs w:val="24"/>
          <w:u w:val="single"/>
        </w:rPr>
        <w:t>PURPOSE</w:t>
      </w:r>
    </w:p>
    <w:p w14:paraId="5A7FEDB4" w14:textId="1505FBA6" w:rsidR="00967750" w:rsidRDefault="00505B20" w:rsidP="00967750">
      <w:pPr>
        <w:spacing w:after="240"/>
        <w:rPr>
          <w:rFonts w:ascii="Arial" w:eastAsia="Arial" w:hAnsi="Arial" w:cs="Arial"/>
        </w:rPr>
      </w:pPr>
      <w:r w:rsidRPr="00BD42A2">
        <w:rPr>
          <w:rFonts w:ascii="Arial" w:eastAsia="Arial" w:hAnsi="Arial" w:cs="Arial"/>
          <w:noProof/>
        </w:rPr>
        <w:t xml:space="preserve">The purpose of this </w:t>
      </w:r>
      <w:r w:rsidR="00886FFB">
        <w:rPr>
          <w:rFonts w:ascii="Arial" w:eastAsia="Arial" w:hAnsi="Arial" w:cs="Arial"/>
          <w:noProof/>
        </w:rPr>
        <w:t xml:space="preserve">advice letter </w:t>
      </w:r>
      <w:r w:rsidRPr="00BD42A2">
        <w:rPr>
          <w:rFonts w:ascii="Arial" w:eastAsia="Arial" w:hAnsi="Arial" w:cs="Arial"/>
          <w:noProof/>
        </w:rPr>
        <w:t>filing is to provi</w:t>
      </w:r>
      <w:r w:rsidR="66A6950D" w:rsidRPr="00BD42A2">
        <w:rPr>
          <w:rFonts w:ascii="Arial" w:eastAsia="Arial" w:hAnsi="Arial" w:cs="Arial"/>
          <w:noProof/>
        </w:rPr>
        <w:t>d</w:t>
      </w:r>
      <w:r w:rsidRPr="00BD42A2">
        <w:rPr>
          <w:rFonts w:ascii="Arial" w:eastAsia="Arial" w:hAnsi="Arial" w:cs="Arial"/>
          <w:noProof/>
        </w:rPr>
        <w:t>e SCE’s 2019 EE annual budget and associated energy savings and cost-effectiveness results.  This filing also provides explanations for EE programs that will be modified or are expected to be phased out in 2019.</w:t>
      </w:r>
      <w:r w:rsidR="00967750" w:rsidRPr="7FBA53CB">
        <w:rPr>
          <w:rFonts w:ascii="Arial" w:eastAsia="Arial" w:hAnsi="Arial" w:cs="Arial"/>
        </w:rPr>
        <w:t xml:space="preserve"> SCE requests approval to discontinue the following programs</w:t>
      </w:r>
      <w:r w:rsidR="00967750">
        <w:rPr>
          <w:rFonts w:ascii="Arial" w:eastAsia="Arial" w:hAnsi="Arial" w:cs="Arial"/>
        </w:rPr>
        <w:t xml:space="preserve"> </w:t>
      </w:r>
      <w:r w:rsidR="00967750" w:rsidRPr="7FBA53CB">
        <w:rPr>
          <w:rFonts w:ascii="Arial" w:eastAsia="Arial" w:hAnsi="Arial" w:cs="Arial"/>
        </w:rPr>
        <w:t>and sub-programs</w:t>
      </w:r>
      <w:r w:rsidR="00DE2F4A">
        <w:rPr>
          <w:rFonts w:ascii="Arial" w:eastAsia="Arial" w:hAnsi="Arial" w:cs="Arial"/>
        </w:rPr>
        <w:t xml:space="preserve"> for reasons described in detail </w:t>
      </w:r>
      <w:r w:rsidR="00A41C93" w:rsidRPr="008D4F1B">
        <w:rPr>
          <w:rFonts w:ascii="Arial" w:eastAsia="Arial" w:hAnsi="Arial" w:cs="Arial"/>
          <w:highlight w:val="yellow"/>
        </w:rPr>
        <w:t>Attachment X</w:t>
      </w:r>
      <w:r w:rsidR="007B0497">
        <w:rPr>
          <w:rFonts w:ascii="Arial" w:eastAsia="Arial" w:hAnsi="Arial" w:cs="Arial"/>
        </w:rPr>
        <w:t>.</w:t>
      </w:r>
      <w:r w:rsidR="00A41C93">
        <w:rPr>
          <w:rFonts w:ascii="Arial" w:eastAsia="Arial" w:hAnsi="Arial" w:cs="Arial"/>
        </w:rPr>
        <w:t xml:space="preserve">  The programs and subprograms SCE is requesting to discontinue is listed below. </w:t>
      </w:r>
    </w:p>
    <w:p w14:paraId="43635EEC" w14:textId="6F93A493" w:rsidR="00967750" w:rsidRDefault="00967750" w:rsidP="00967750">
      <w:pPr>
        <w:rPr>
          <w:rFonts w:ascii="Arial" w:eastAsia="Arial" w:hAnsi="Arial" w:cs="Arial"/>
        </w:rPr>
      </w:pPr>
      <w:r w:rsidRPr="7FBA53CB">
        <w:rPr>
          <w:rFonts w:ascii="Arial" w:eastAsia="Arial" w:hAnsi="Arial" w:cs="Arial"/>
        </w:rPr>
        <w:t>Program</w:t>
      </w:r>
      <w:r w:rsidR="00EB2983">
        <w:rPr>
          <w:rFonts w:ascii="Arial" w:eastAsia="Arial" w:hAnsi="Arial" w:cs="Arial"/>
        </w:rPr>
        <w:t>/Sub-program</w:t>
      </w:r>
      <w:r w:rsidRPr="7FBA53CB">
        <w:rPr>
          <w:rFonts w:ascii="Arial" w:eastAsia="Arial" w:hAnsi="Arial" w:cs="Arial"/>
        </w:rPr>
        <w:t>:</w:t>
      </w:r>
    </w:p>
    <w:p w14:paraId="563D63A4" w14:textId="77777777" w:rsidR="00967750" w:rsidRPr="00BF3E17" w:rsidRDefault="00967750" w:rsidP="009D7093">
      <w:pPr>
        <w:numPr>
          <w:ilvl w:val="0"/>
          <w:numId w:val="1"/>
        </w:numPr>
        <w:rPr>
          <w:rFonts w:ascii="Arial" w:eastAsia="Arial" w:hAnsi="Arial" w:cs="Arial"/>
        </w:rPr>
      </w:pPr>
      <w:r w:rsidRPr="00BF3E17">
        <w:rPr>
          <w:rFonts w:ascii="Arial" w:eastAsia="Arial" w:hAnsi="Arial" w:cs="Arial"/>
        </w:rPr>
        <w:t>Energy Upgrade California</w:t>
      </w:r>
    </w:p>
    <w:p w14:paraId="4571CC8B" w14:textId="77777777" w:rsidR="0074135A" w:rsidRPr="00BF3E17" w:rsidRDefault="0074135A" w:rsidP="0074135A">
      <w:pPr>
        <w:numPr>
          <w:ilvl w:val="0"/>
          <w:numId w:val="1"/>
        </w:numPr>
        <w:rPr>
          <w:rFonts w:ascii="Arial" w:eastAsia="Arial" w:hAnsi="Arial" w:cs="Arial"/>
        </w:rPr>
      </w:pPr>
      <w:r w:rsidRPr="00BF3E17">
        <w:rPr>
          <w:rFonts w:ascii="Arial" w:eastAsia="Arial" w:hAnsi="Arial" w:cs="Arial"/>
        </w:rPr>
        <w:t>IDEEA365 Program</w:t>
      </w:r>
    </w:p>
    <w:p w14:paraId="1BB50F68" w14:textId="77777777" w:rsidR="0074135A" w:rsidRPr="00BF3E17" w:rsidRDefault="0074135A" w:rsidP="0074135A">
      <w:pPr>
        <w:numPr>
          <w:ilvl w:val="0"/>
          <w:numId w:val="1"/>
        </w:numPr>
        <w:rPr>
          <w:rFonts w:ascii="Arial" w:eastAsia="Arial" w:hAnsi="Arial" w:cs="Arial"/>
        </w:rPr>
      </w:pPr>
      <w:r w:rsidRPr="00BF3E17">
        <w:rPr>
          <w:rFonts w:ascii="Arial" w:eastAsia="Arial" w:hAnsi="Arial" w:cs="Arial"/>
        </w:rPr>
        <w:t xml:space="preserve">Cool Planet </w:t>
      </w:r>
    </w:p>
    <w:p w14:paraId="0C1CDBCE" w14:textId="77777777" w:rsidR="0074135A" w:rsidRPr="00BF3E17" w:rsidRDefault="0074135A" w:rsidP="0074135A">
      <w:pPr>
        <w:numPr>
          <w:ilvl w:val="0"/>
          <w:numId w:val="1"/>
        </w:numPr>
        <w:rPr>
          <w:rFonts w:ascii="Arial" w:eastAsia="Arial" w:hAnsi="Arial" w:cs="Arial"/>
        </w:rPr>
      </w:pPr>
      <w:r w:rsidRPr="00BF3E17">
        <w:rPr>
          <w:rFonts w:ascii="Arial" w:eastAsia="Arial" w:hAnsi="Arial" w:cs="Arial"/>
        </w:rPr>
        <w:t xml:space="preserve">Cool Schools </w:t>
      </w:r>
    </w:p>
    <w:p w14:paraId="753EBDB7" w14:textId="77777777" w:rsidR="0074135A" w:rsidRPr="00BF3E17" w:rsidRDefault="0074135A" w:rsidP="0074135A">
      <w:pPr>
        <w:numPr>
          <w:ilvl w:val="0"/>
          <w:numId w:val="1"/>
        </w:numPr>
        <w:rPr>
          <w:rFonts w:ascii="Arial" w:eastAsia="Arial" w:hAnsi="Arial" w:cs="Arial"/>
        </w:rPr>
      </w:pPr>
      <w:r w:rsidRPr="00BF3E17">
        <w:rPr>
          <w:rFonts w:ascii="Arial" w:eastAsia="Arial" w:hAnsi="Arial" w:cs="Arial"/>
        </w:rPr>
        <w:t>Commercial Utility Building Efficiency</w:t>
      </w:r>
    </w:p>
    <w:p w14:paraId="7984E9A9" w14:textId="11389DAA" w:rsidR="005E16A0" w:rsidRPr="005E16A0" w:rsidRDefault="005E16A0" w:rsidP="005E16A0">
      <w:pPr>
        <w:numPr>
          <w:ilvl w:val="0"/>
          <w:numId w:val="1"/>
        </w:numPr>
        <w:rPr>
          <w:rFonts w:ascii="Arial" w:eastAsia="Arial" w:hAnsi="Arial" w:cs="Arial"/>
        </w:rPr>
      </w:pPr>
      <w:r>
        <w:rPr>
          <w:rFonts w:ascii="Arial" w:eastAsia="Arial" w:hAnsi="Arial" w:cs="Arial"/>
        </w:rPr>
        <w:t>Energy Leader Partnership Program</w:t>
      </w:r>
    </w:p>
    <w:p w14:paraId="05E8A00B" w14:textId="77777777" w:rsidR="005E16A0" w:rsidRPr="002A26D5" w:rsidRDefault="005E16A0" w:rsidP="005E16A0">
      <w:pPr>
        <w:numPr>
          <w:ilvl w:val="0"/>
          <w:numId w:val="1"/>
        </w:numPr>
        <w:rPr>
          <w:rFonts w:ascii="Arial" w:eastAsia="Arial" w:hAnsi="Arial" w:cs="Arial"/>
        </w:rPr>
      </w:pPr>
      <w:r>
        <w:rPr>
          <w:rFonts w:ascii="Arial" w:eastAsia="Arial" w:hAnsi="Arial" w:cs="Arial"/>
        </w:rPr>
        <w:t>Lighting Market Transformation</w:t>
      </w:r>
    </w:p>
    <w:p w14:paraId="59BD5891" w14:textId="77777777" w:rsidR="005E16A0" w:rsidRDefault="005E16A0" w:rsidP="005E16A0">
      <w:pPr>
        <w:numPr>
          <w:ilvl w:val="0"/>
          <w:numId w:val="1"/>
        </w:numPr>
        <w:rPr>
          <w:rFonts w:ascii="Arial" w:eastAsia="Arial" w:hAnsi="Arial" w:cs="Arial"/>
        </w:rPr>
      </w:pPr>
      <w:r>
        <w:rPr>
          <w:rFonts w:ascii="Arial" w:eastAsia="Arial" w:hAnsi="Arial" w:cs="Arial"/>
        </w:rPr>
        <w:t>Lighting Innovation Program</w:t>
      </w:r>
    </w:p>
    <w:p w14:paraId="2166D3DF" w14:textId="77777777" w:rsidR="005E16A0" w:rsidRDefault="005E16A0" w:rsidP="005E16A0">
      <w:pPr>
        <w:numPr>
          <w:ilvl w:val="0"/>
          <w:numId w:val="1"/>
        </w:numPr>
        <w:rPr>
          <w:rFonts w:ascii="Arial" w:eastAsia="Arial" w:hAnsi="Arial" w:cs="Arial"/>
        </w:rPr>
      </w:pPr>
      <w:r w:rsidRPr="00BF3E17">
        <w:rPr>
          <w:rFonts w:ascii="Arial" w:eastAsia="Arial" w:hAnsi="Arial" w:cs="Arial"/>
        </w:rPr>
        <w:t>WE&amp;T</w:t>
      </w:r>
      <w:r>
        <w:rPr>
          <w:rFonts w:ascii="Arial" w:eastAsia="Arial" w:hAnsi="Arial" w:cs="Arial"/>
        </w:rPr>
        <w:t xml:space="preserve">  </w:t>
      </w:r>
      <w:r w:rsidRPr="00BF3E17">
        <w:rPr>
          <w:rFonts w:ascii="Arial" w:eastAsia="Arial" w:hAnsi="Arial" w:cs="Arial"/>
        </w:rPr>
        <w:t>Planning</w:t>
      </w:r>
    </w:p>
    <w:p w14:paraId="00DACCFC" w14:textId="77777777" w:rsidR="005E16A0" w:rsidRDefault="005E16A0" w:rsidP="005E16A0">
      <w:pPr>
        <w:numPr>
          <w:ilvl w:val="0"/>
          <w:numId w:val="1"/>
        </w:numPr>
        <w:rPr>
          <w:rFonts w:ascii="Arial" w:eastAsia="Arial" w:hAnsi="Arial" w:cs="Arial"/>
        </w:rPr>
      </w:pPr>
      <w:r>
        <w:rPr>
          <w:rFonts w:ascii="Arial" w:eastAsia="Arial" w:hAnsi="Arial" w:cs="Arial"/>
        </w:rPr>
        <w:t>WE&amp;T – Mobile Energy Unit</w:t>
      </w:r>
    </w:p>
    <w:p w14:paraId="7B5906CD" w14:textId="7A943793" w:rsidR="005E16A0" w:rsidRPr="005E16A0" w:rsidRDefault="005E16A0" w:rsidP="005E16A0">
      <w:pPr>
        <w:numPr>
          <w:ilvl w:val="0"/>
          <w:numId w:val="1"/>
        </w:numPr>
        <w:rPr>
          <w:rFonts w:ascii="Arial" w:eastAsia="Arial" w:hAnsi="Arial" w:cs="Arial"/>
        </w:rPr>
      </w:pPr>
      <w:r>
        <w:rPr>
          <w:rFonts w:ascii="Arial" w:eastAsia="Arial" w:hAnsi="Arial" w:cs="Arial"/>
        </w:rPr>
        <w:t>WE&amp;T – Community Language Efficiency Outreach</w:t>
      </w:r>
    </w:p>
    <w:p w14:paraId="0C24779A" w14:textId="58E099E7" w:rsidR="00967750" w:rsidRDefault="00967750" w:rsidP="009D7093">
      <w:pPr>
        <w:numPr>
          <w:ilvl w:val="0"/>
          <w:numId w:val="1"/>
        </w:numPr>
        <w:rPr>
          <w:rFonts w:ascii="Arial" w:eastAsia="Arial" w:hAnsi="Arial" w:cs="Arial"/>
        </w:rPr>
      </w:pPr>
      <w:r w:rsidRPr="00BF3E17">
        <w:rPr>
          <w:rFonts w:ascii="Arial" w:eastAsia="Arial" w:hAnsi="Arial" w:cs="Arial"/>
        </w:rPr>
        <w:t>Sustainable Communities</w:t>
      </w:r>
    </w:p>
    <w:p w14:paraId="31D919F4" w14:textId="77777777" w:rsidR="006F0216" w:rsidRPr="00BF3E17" w:rsidRDefault="006F0216" w:rsidP="006F0216">
      <w:pPr>
        <w:numPr>
          <w:ilvl w:val="0"/>
          <w:numId w:val="1"/>
        </w:numPr>
        <w:rPr>
          <w:rFonts w:ascii="Arial" w:eastAsia="Arial" w:hAnsi="Arial" w:cs="Arial"/>
        </w:rPr>
      </w:pPr>
      <w:r w:rsidRPr="00BF3E17">
        <w:rPr>
          <w:rFonts w:ascii="Arial" w:eastAsia="Arial" w:hAnsi="Arial" w:cs="Arial"/>
        </w:rPr>
        <w:lastRenderedPageBreak/>
        <w:t>American Reinvestment Recovery Act (ARRA)-Originated Financing. Also known “Empower Energy Efficiency Program.”</w:t>
      </w:r>
    </w:p>
    <w:p w14:paraId="1035A00D" w14:textId="35D7D66A" w:rsidR="01D2B8CE" w:rsidRPr="006F0216" w:rsidRDefault="01D2B8CE" w:rsidP="006F0216">
      <w:pPr>
        <w:numPr>
          <w:ilvl w:val="0"/>
          <w:numId w:val="1"/>
        </w:numPr>
        <w:rPr>
          <w:rFonts w:ascii="Arial" w:eastAsia="Arial" w:hAnsi="Arial" w:cs="Arial"/>
        </w:rPr>
      </w:pPr>
      <w:r w:rsidRPr="006F0216">
        <w:rPr>
          <w:rFonts w:ascii="Arial" w:eastAsia="Arial" w:hAnsi="Arial" w:cs="Arial"/>
        </w:rPr>
        <w:t>Commer</w:t>
      </w:r>
      <w:r w:rsidR="22738D1F" w:rsidRPr="006F0216">
        <w:rPr>
          <w:rFonts w:ascii="Arial" w:eastAsia="Arial" w:hAnsi="Arial" w:cs="Arial"/>
        </w:rPr>
        <w:t>cial Continuous</w:t>
      </w:r>
      <w:r w:rsidR="2C6D7BFF" w:rsidRPr="006F0216">
        <w:rPr>
          <w:rFonts w:ascii="Arial" w:eastAsia="Arial" w:hAnsi="Arial" w:cs="Arial"/>
        </w:rPr>
        <w:t xml:space="preserve"> Energy Improvement</w:t>
      </w:r>
    </w:p>
    <w:p w14:paraId="3B8A74AF" w14:textId="4394DE14" w:rsidR="2C6D7BFF" w:rsidRDefault="2C6D7BFF">
      <w:pPr>
        <w:numPr>
          <w:ilvl w:val="0"/>
          <w:numId w:val="1"/>
        </w:numPr>
        <w:rPr>
          <w:rFonts w:ascii="Arial" w:eastAsia="Arial" w:hAnsi="Arial" w:cs="Arial"/>
        </w:rPr>
      </w:pPr>
      <w:r w:rsidRPr="00C35D50">
        <w:rPr>
          <w:rFonts w:ascii="Arial" w:eastAsia="Arial" w:hAnsi="Arial" w:cs="Arial"/>
        </w:rPr>
        <w:t>Agricultur</w:t>
      </w:r>
      <w:r w:rsidR="552AD1DF" w:rsidRPr="2C6D7BFF">
        <w:rPr>
          <w:rFonts w:ascii="Arial" w:eastAsia="Arial" w:hAnsi="Arial" w:cs="Arial"/>
        </w:rPr>
        <w:t>a</w:t>
      </w:r>
      <w:r w:rsidRPr="2C6D7BFF">
        <w:rPr>
          <w:rFonts w:ascii="Arial" w:eastAsia="Arial" w:hAnsi="Arial" w:cs="Arial"/>
        </w:rPr>
        <w:t>l</w:t>
      </w:r>
      <w:r w:rsidR="0A4B9ADC" w:rsidRPr="2C6D7BFF">
        <w:rPr>
          <w:rFonts w:ascii="Arial" w:eastAsia="Arial" w:hAnsi="Arial" w:cs="Arial"/>
        </w:rPr>
        <w:t xml:space="preserve"> Contin</w:t>
      </w:r>
      <w:r w:rsidR="552AD1DF" w:rsidRPr="2C6D7BFF">
        <w:rPr>
          <w:rFonts w:ascii="Arial" w:eastAsia="Arial" w:hAnsi="Arial" w:cs="Arial"/>
        </w:rPr>
        <w:t>uous</w:t>
      </w:r>
      <w:r w:rsidR="0A4B9ADC" w:rsidRPr="2C6D7BFF">
        <w:rPr>
          <w:rFonts w:ascii="Arial" w:eastAsia="Arial" w:hAnsi="Arial" w:cs="Arial"/>
        </w:rPr>
        <w:t xml:space="preserve"> Energy Improv</w:t>
      </w:r>
      <w:r w:rsidR="552AD1DF" w:rsidRPr="2C6D7BFF">
        <w:rPr>
          <w:rFonts w:ascii="Arial" w:eastAsia="Arial" w:hAnsi="Arial" w:cs="Arial"/>
        </w:rPr>
        <w:t>ement</w:t>
      </w:r>
    </w:p>
    <w:p w14:paraId="37177649" w14:textId="67815B35" w:rsidR="005E264F" w:rsidRPr="00C35D50" w:rsidRDefault="005E264F">
      <w:pPr>
        <w:numPr>
          <w:ilvl w:val="0"/>
          <w:numId w:val="1"/>
        </w:numPr>
        <w:rPr>
          <w:rFonts w:ascii="Arial" w:eastAsia="Arial" w:hAnsi="Arial" w:cs="Arial"/>
        </w:rPr>
      </w:pPr>
      <w:r>
        <w:rPr>
          <w:rFonts w:ascii="Arial" w:eastAsia="Arial" w:hAnsi="Arial" w:cs="Arial"/>
        </w:rPr>
        <w:t>Industrial Continuous Energy Improvement</w:t>
      </w:r>
    </w:p>
    <w:p w14:paraId="086D8583" w14:textId="32533D9A" w:rsidR="00967750" w:rsidRPr="00967750" w:rsidRDefault="00967750" w:rsidP="00967750">
      <w:pPr>
        <w:ind w:left="360"/>
        <w:rPr>
          <w:rFonts w:ascii="Arial" w:eastAsia="Arial" w:hAnsi="Arial" w:cs="Arial"/>
        </w:rPr>
      </w:pPr>
    </w:p>
    <w:p w14:paraId="797F7409" w14:textId="4100E657" w:rsidR="00505B20" w:rsidRDefault="00505B20">
      <w:pPr>
        <w:spacing w:after="240"/>
        <w:rPr>
          <w:rFonts w:ascii="Arial" w:hAnsi="Arial" w:cs="Arial"/>
          <w:noProof/>
          <w:szCs w:val="24"/>
        </w:rPr>
      </w:pPr>
      <w:r>
        <w:rPr>
          <w:rFonts w:ascii="Arial" w:hAnsi="Arial" w:cs="Arial"/>
          <w:noProof/>
          <w:szCs w:val="24"/>
        </w:rPr>
        <w:t>The supporting documents for this filing are as follows:</w:t>
      </w:r>
    </w:p>
    <w:p w14:paraId="19C8A223" w14:textId="178DBEF0" w:rsidR="00505B20" w:rsidRDefault="00505B20" w:rsidP="009D7093">
      <w:pPr>
        <w:numPr>
          <w:ilvl w:val="0"/>
          <w:numId w:val="3"/>
        </w:numPr>
        <w:rPr>
          <w:rFonts w:ascii="Arial" w:hAnsi="Arial" w:cs="Arial"/>
          <w:noProof/>
          <w:szCs w:val="24"/>
        </w:rPr>
      </w:pPr>
      <w:r>
        <w:rPr>
          <w:rFonts w:ascii="Arial" w:hAnsi="Arial" w:cs="Arial"/>
          <w:noProof/>
          <w:szCs w:val="24"/>
        </w:rPr>
        <w:t>Attachment A: CEDARS Filing Confirmation</w:t>
      </w:r>
    </w:p>
    <w:p w14:paraId="0EC430B8" w14:textId="1E82CEAF" w:rsidR="00505B20" w:rsidRDefault="00505B20" w:rsidP="009D7093">
      <w:pPr>
        <w:numPr>
          <w:ilvl w:val="0"/>
          <w:numId w:val="3"/>
        </w:numPr>
        <w:rPr>
          <w:rFonts w:ascii="Arial" w:hAnsi="Arial" w:cs="Arial"/>
          <w:noProof/>
          <w:szCs w:val="24"/>
        </w:rPr>
      </w:pPr>
      <w:r>
        <w:rPr>
          <w:rFonts w:ascii="Arial" w:hAnsi="Arial" w:cs="Arial"/>
          <w:noProof/>
          <w:szCs w:val="24"/>
        </w:rPr>
        <w:t>Attachment B: TBD</w:t>
      </w:r>
    </w:p>
    <w:p w14:paraId="33E2CA97" w14:textId="7CE1E513" w:rsidR="00505B20" w:rsidRDefault="00505B20" w:rsidP="009D7093">
      <w:pPr>
        <w:numPr>
          <w:ilvl w:val="0"/>
          <w:numId w:val="3"/>
        </w:numPr>
        <w:rPr>
          <w:rFonts w:ascii="Arial" w:hAnsi="Arial" w:cs="Arial"/>
          <w:noProof/>
          <w:szCs w:val="24"/>
        </w:rPr>
      </w:pPr>
      <w:r>
        <w:rPr>
          <w:rFonts w:ascii="Arial" w:hAnsi="Arial" w:cs="Arial"/>
          <w:noProof/>
          <w:szCs w:val="24"/>
        </w:rPr>
        <w:t>Attachment C: TBD</w:t>
      </w:r>
    </w:p>
    <w:p w14:paraId="1B3FE286" w14:textId="011E052A" w:rsidR="00505B20" w:rsidRDefault="00505B20" w:rsidP="009D7093">
      <w:pPr>
        <w:numPr>
          <w:ilvl w:val="0"/>
          <w:numId w:val="3"/>
        </w:numPr>
        <w:rPr>
          <w:rFonts w:ascii="Arial" w:hAnsi="Arial" w:cs="Arial"/>
          <w:noProof/>
          <w:szCs w:val="24"/>
        </w:rPr>
      </w:pPr>
      <w:r>
        <w:rPr>
          <w:rFonts w:ascii="Arial" w:hAnsi="Arial" w:cs="Arial"/>
          <w:noProof/>
          <w:szCs w:val="24"/>
        </w:rPr>
        <w:t>Attachment D: TBD</w:t>
      </w:r>
    </w:p>
    <w:p w14:paraId="6A7E7917" w14:textId="10F855E1" w:rsidR="007D7136" w:rsidRPr="00505B20" w:rsidRDefault="007D7136" w:rsidP="009D7093">
      <w:pPr>
        <w:numPr>
          <w:ilvl w:val="0"/>
          <w:numId w:val="3"/>
        </w:numPr>
        <w:rPr>
          <w:rFonts w:ascii="Arial" w:hAnsi="Arial" w:cs="Arial"/>
          <w:noProof/>
          <w:szCs w:val="24"/>
        </w:rPr>
      </w:pPr>
      <w:r>
        <w:rPr>
          <w:rFonts w:ascii="Arial" w:hAnsi="Arial" w:cs="Arial"/>
          <w:noProof/>
          <w:szCs w:val="24"/>
        </w:rPr>
        <w:t>Attachment E: Sector Level Metrics: Progress to Date</w:t>
      </w:r>
    </w:p>
    <w:p w14:paraId="04570ED1" w14:textId="77777777" w:rsidR="00505B20" w:rsidRDefault="00505B20">
      <w:pPr>
        <w:spacing w:after="240"/>
        <w:rPr>
          <w:rFonts w:ascii="Arial" w:hAnsi="Arial" w:cs="Arial"/>
          <w:b/>
          <w:noProof/>
          <w:szCs w:val="24"/>
          <w:u w:val="single"/>
        </w:rPr>
      </w:pPr>
    </w:p>
    <w:p w14:paraId="31493B11" w14:textId="77777777" w:rsidR="00636DC6" w:rsidRPr="002101BF" w:rsidRDefault="00636DC6" w:rsidP="00636DC6">
      <w:pPr>
        <w:rPr>
          <w:rFonts w:ascii="Arial" w:eastAsia="Arial" w:hAnsi="Arial" w:cs="Arial"/>
        </w:rPr>
      </w:pPr>
      <w:r w:rsidRPr="002101BF">
        <w:rPr>
          <w:rFonts w:ascii="Arial" w:eastAsia="Arial" w:hAnsi="Arial" w:cs="Arial"/>
        </w:rPr>
        <w:t>This advice filing also modifies Preliminary Statement Part FF, the Public Purpose</w:t>
      </w:r>
    </w:p>
    <w:p w14:paraId="616BCFC5" w14:textId="77777777" w:rsidR="00636DC6" w:rsidRDefault="00636DC6" w:rsidP="21A98D36">
      <w:r w:rsidRPr="002101BF">
        <w:rPr>
          <w:rFonts w:ascii="Arial" w:eastAsia="Arial" w:hAnsi="Arial" w:cs="Arial"/>
        </w:rPr>
        <w:t xml:space="preserve">Programs Adjustment Mechanism (PPPAM), to reflect </w:t>
      </w:r>
      <w:r w:rsidRPr="002101BF">
        <w:rPr>
          <w:rFonts w:ascii="Arial" w:eastAsia="Arial" w:hAnsi="Arial" w:cs="Arial"/>
          <w:highlight w:val="yellow"/>
        </w:rPr>
        <w:t>$ XXX.XX million</w:t>
      </w:r>
      <w:r w:rsidRPr="002101BF">
        <w:rPr>
          <w:rFonts w:ascii="Arial" w:eastAsia="Arial" w:hAnsi="Arial" w:cs="Arial"/>
        </w:rPr>
        <w:t xml:space="preserve"> of EE funding effective January 1, 2019. In addition, SCE modifies Preliminary Statement Part Y, Demand Response Program Balancing Account (DRPBA), to reflect </w:t>
      </w:r>
      <w:r w:rsidRPr="008D4F1B">
        <w:rPr>
          <w:rFonts w:ascii="Arial" w:eastAsia="Arial" w:hAnsi="Arial" w:cs="Arial"/>
          <w:highlight w:val="yellow"/>
        </w:rPr>
        <w:t>$XX.XXX</w:t>
      </w:r>
      <w:r w:rsidRPr="002101BF">
        <w:rPr>
          <w:rFonts w:ascii="Arial" w:eastAsia="Arial" w:hAnsi="Arial" w:cs="Arial"/>
        </w:rPr>
        <w:t xml:space="preserve"> million in funding for emerging technologies and integrated demand side management (IDSM) activities.</w:t>
      </w:r>
    </w:p>
    <w:p w14:paraId="5E0C7206" w14:textId="77777777" w:rsidR="00636DC6" w:rsidRDefault="00636DC6">
      <w:pPr>
        <w:spacing w:after="240"/>
        <w:rPr>
          <w:rFonts w:ascii="Arial" w:hAnsi="Arial" w:cs="Arial"/>
          <w:b/>
          <w:noProof/>
          <w:szCs w:val="24"/>
          <w:u w:val="single"/>
        </w:rPr>
      </w:pPr>
    </w:p>
    <w:p w14:paraId="205975D9" w14:textId="77777777" w:rsidR="00B800A1" w:rsidRPr="00FD492A" w:rsidRDefault="004F2088">
      <w:pPr>
        <w:spacing w:after="240"/>
        <w:rPr>
          <w:rFonts w:ascii="Arial" w:hAnsi="Arial" w:cs="Arial"/>
          <w:b/>
          <w:szCs w:val="24"/>
          <w:u w:val="single"/>
        </w:rPr>
      </w:pPr>
      <w:r w:rsidRPr="00FD492A">
        <w:rPr>
          <w:rFonts w:ascii="Arial" w:hAnsi="Arial" w:cs="Arial"/>
          <w:b/>
          <w:noProof/>
          <w:szCs w:val="24"/>
          <w:u w:val="single"/>
        </w:rPr>
        <w:t>BACKGROUND</w:t>
      </w:r>
    </w:p>
    <w:p w14:paraId="5DEF6A22" w14:textId="09B4AB12" w:rsidR="00E62DE0" w:rsidRDefault="00E62DE0" w:rsidP="008C1D91">
      <w:pPr>
        <w:spacing w:after="240"/>
        <w:rPr>
          <w:rFonts w:ascii="Arial" w:eastAsia="Arial" w:hAnsi="Arial" w:cs="Arial"/>
        </w:rPr>
      </w:pPr>
      <w:r>
        <w:rPr>
          <w:rFonts w:ascii="Arial" w:eastAsia="Arial" w:hAnsi="Arial" w:cs="Arial"/>
        </w:rPr>
        <w:t>D.15-10-028 requires each EE Program Administrator (PA) to file a Tier 2 advice letter with the PA’s annual EE budget for the coming year in September of each year</w:t>
      </w:r>
      <w:r>
        <w:rPr>
          <w:rStyle w:val="FootnoteReference"/>
          <w:rFonts w:ascii="Arial" w:eastAsia="Arial" w:hAnsi="Arial" w:cs="Arial"/>
        </w:rPr>
        <w:footnoteReference w:id="2"/>
      </w:r>
      <w:r w:rsidR="00A16E7A">
        <w:rPr>
          <w:rFonts w:ascii="Arial" w:eastAsia="Arial" w:hAnsi="Arial" w:cs="Arial"/>
        </w:rPr>
        <w:t xml:space="preserve"> and requires such advice letters to contain: </w:t>
      </w:r>
    </w:p>
    <w:p w14:paraId="267BE4BE" w14:textId="0C8966AC" w:rsidR="00A16E7A" w:rsidRDefault="00A16E7A" w:rsidP="009D7093">
      <w:pPr>
        <w:numPr>
          <w:ilvl w:val="0"/>
          <w:numId w:val="4"/>
        </w:numPr>
        <w:spacing w:after="240"/>
        <w:rPr>
          <w:rFonts w:ascii="Arial" w:eastAsia="Arial" w:hAnsi="Arial" w:cs="Arial"/>
        </w:rPr>
      </w:pPr>
      <w:r>
        <w:rPr>
          <w:rFonts w:ascii="Arial" w:eastAsia="Arial" w:hAnsi="Arial" w:cs="Arial"/>
        </w:rPr>
        <w:t>Portfolio cost effectiveness statement; and</w:t>
      </w:r>
    </w:p>
    <w:p w14:paraId="0FA91FA7" w14:textId="1577F18C" w:rsidR="00E67BE3" w:rsidRPr="00A16E7A" w:rsidRDefault="00A16E7A" w:rsidP="009D7093">
      <w:pPr>
        <w:numPr>
          <w:ilvl w:val="0"/>
          <w:numId w:val="4"/>
        </w:numPr>
        <w:spacing w:after="240"/>
        <w:rPr>
          <w:rFonts w:ascii="Arial" w:eastAsia="Arial" w:hAnsi="Arial" w:cs="Arial"/>
        </w:rPr>
      </w:pPr>
      <w:r>
        <w:rPr>
          <w:rFonts w:ascii="Arial" w:eastAsia="Arial" w:hAnsi="Arial" w:cs="Arial"/>
        </w:rPr>
        <w:t>Application summary tables with forecast budgets and savings by sector and program/intervention.</w:t>
      </w:r>
    </w:p>
    <w:p w14:paraId="22E4AFC5" w14:textId="0A348EB3" w:rsidR="001D79F8" w:rsidRDefault="00AB76FB" w:rsidP="008C1D91">
      <w:pPr>
        <w:spacing w:after="240"/>
        <w:rPr>
          <w:rFonts w:ascii="Arial" w:eastAsia="Arial" w:hAnsi="Arial" w:cs="Arial"/>
        </w:rPr>
      </w:pPr>
      <w:r>
        <w:rPr>
          <w:rFonts w:ascii="Arial" w:eastAsia="Arial" w:hAnsi="Arial" w:cs="Arial"/>
        </w:rPr>
        <w:t>Furthermore, D.18-</w:t>
      </w:r>
      <w:r w:rsidR="00AE72B0">
        <w:rPr>
          <w:rFonts w:ascii="Arial" w:eastAsia="Arial" w:hAnsi="Arial" w:cs="Arial"/>
        </w:rPr>
        <w:t>0</w:t>
      </w:r>
      <w:r>
        <w:rPr>
          <w:rFonts w:ascii="Arial" w:eastAsia="Arial" w:hAnsi="Arial" w:cs="Arial"/>
        </w:rPr>
        <w:t xml:space="preserve">5-041 provided further guidance to PAs in </w:t>
      </w:r>
      <w:r w:rsidR="00AE72B0">
        <w:rPr>
          <w:rFonts w:ascii="Arial" w:eastAsia="Arial" w:hAnsi="Arial" w:cs="Arial"/>
        </w:rPr>
        <w:t xml:space="preserve">submitting </w:t>
      </w:r>
      <w:r>
        <w:rPr>
          <w:rFonts w:ascii="Arial" w:eastAsia="Arial" w:hAnsi="Arial" w:cs="Arial"/>
        </w:rPr>
        <w:t>Annual Budget Advice Letter</w:t>
      </w:r>
      <w:r w:rsidR="00AE72B0">
        <w:rPr>
          <w:rFonts w:ascii="Arial" w:eastAsia="Arial" w:hAnsi="Arial" w:cs="Arial"/>
        </w:rPr>
        <w:t>s</w:t>
      </w:r>
      <w:r>
        <w:rPr>
          <w:rFonts w:ascii="Arial" w:eastAsia="Arial" w:hAnsi="Arial" w:cs="Arial"/>
        </w:rPr>
        <w:t xml:space="preserve"> (ABAL).  D</w:t>
      </w:r>
      <w:r w:rsidR="001D79F8">
        <w:rPr>
          <w:rFonts w:ascii="Arial" w:eastAsia="Arial" w:hAnsi="Arial" w:cs="Arial"/>
        </w:rPr>
        <w:t xml:space="preserve">.18-05-041 </w:t>
      </w:r>
      <w:r>
        <w:rPr>
          <w:rFonts w:ascii="Arial" w:eastAsia="Arial" w:hAnsi="Arial" w:cs="Arial"/>
        </w:rPr>
        <w:t xml:space="preserve">requires that the IOU </w:t>
      </w:r>
      <w:r w:rsidR="001E15B3">
        <w:rPr>
          <w:rFonts w:ascii="Arial" w:eastAsia="Arial" w:hAnsi="Arial" w:cs="Arial"/>
        </w:rPr>
        <w:t>ABAL</w:t>
      </w:r>
      <w:r w:rsidR="00AE72B0">
        <w:rPr>
          <w:rFonts w:ascii="Arial" w:eastAsia="Arial" w:hAnsi="Arial" w:cs="Arial"/>
        </w:rPr>
        <w:t xml:space="preserve"> include</w:t>
      </w:r>
      <w:r w:rsidR="00F1709C">
        <w:rPr>
          <w:rFonts w:ascii="Arial" w:eastAsia="Arial" w:hAnsi="Arial" w:cs="Arial"/>
        </w:rPr>
        <w:t xml:space="preserve"> the following</w:t>
      </w:r>
      <w:r w:rsidR="001D79F8">
        <w:rPr>
          <w:rFonts w:ascii="Arial" w:eastAsia="Arial" w:hAnsi="Arial" w:cs="Arial"/>
        </w:rPr>
        <w:t>:</w:t>
      </w:r>
    </w:p>
    <w:p w14:paraId="3D8E542E" w14:textId="6F7EECF5" w:rsidR="00A16E7A" w:rsidRDefault="004B22A2" w:rsidP="009D7093">
      <w:pPr>
        <w:numPr>
          <w:ilvl w:val="0"/>
          <w:numId w:val="5"/>
        </w:numPr>
        <w:spacing w:after="240"/>
        <w:rPr>
          <w:rFonts w:ascii="Arial" w:eastAsia="Arial" w:hAnsi="Arial" w:cs="Arial"/>
        </w:rPr>
      </w:pPr>
      <w:r>
        <w:rPr>
          <w:rFonts w:ascii="Arial" w:eastAsia="Arial" w:hAnsi="Arial" w:cs="Arial"/>
        </w:rPr>
        <w:t>Forecasted TRC must meet or exceed 1.25, except during program years 2019-2022, when the forecasted TRC must meet or exceed 1.0;</w:t>
      </w:r>
      <w:r w:rsidR="00AB76FB">
        <w:rPr>
          <w:rFonts w:ascii="Arial" w:eastAsia="Arial" w:hAnsi="Arial" w:cs="Arial"/>
        </w:rPr>
        <w:t xml:space="preserve"> </w:t>
      </w:r>
    </w:p>
    <w:p w14:paraId="6AF8EA5A" w14:textId="459ACDDE" w:rsidR="004B22A2" w:rsidRDefault="004B22A2" w:rsidP="009D7093">
      <w:pPr>
        <w:numPr>
          <w:ilvl w:val="0"/>
          <w:numId w:val="5"/>
        </w:numPr>
        <w:spacing w:after="240"/>
        <w:rPr>
          <w:rFonts w:ascii="Arial" w:eastAsia="Arial" w:hAnsi="Arial" w:cs="Arial"/>
        </w:rPr>
      </w:pPr>
      <w:r>
        <w:rPr>
          <w:rFonts w:ascii="Arial" w:eastAsia="Arial" w:hAnsi="Arial" w:cs="Arial"/>
        </w:rPr>
        <w:t xml:space="preserve">Forecasted energy savings goals must meet or exceed Commission established savings goals for each IOU; and </w:t>
      </w:r>
    </w:p>
    <w:p w14:paraId="330AEFB5" w14:textId="1D531A55" w:rsidR="004B22A2" w:rsidRDefault="004B22A2" w:rsidP="009D7093">
      <w:pPr>
        <w:numPr>
          <w:ilvl w:val="0"/>
          <w:numId w:val="5"/>
        </w:numPr>
        <w:spacing w:after="240"/>
        <w:rPr>
          <w:rFonts w:ascii="Arial" w:eastAsia="Arial" w:hAnsi="Arial" w:cs="Arial"/>
        </w:rPr>
      </w:pPr>
      <w:r>
        <w:rPr>
          <w:rFonts w:ascii="Arial" w:eastAsia="Arial" w:hAnsi="Arial" w:cs="Arial"/>
        </w:rPr>
        <w:lastRenderedPageBreak/>
        <w:t>Forecasted budget must not exceed the PA’s annual budget in the approved business plans, o</w:t>
      </w:r>
      <w:r w:rsidR="23531330">
        <w:rPr>
          <w:rFonts w:ascii="Arial" w:eastAsia="Arial" w:hAnsi="Arial" w:cs="Arial"/>
        </w:rPr>
        <w:t>r</w:t>
      </w:r>
      <w:r>
        <w:rPr>
          <w:rFonts w:ascii="Arial" w:eastAsia="Arial" w:hAnsi="Arial" w:cs="Arial"/>
        </w:rPr>
        <w:t xml:space="preserve"> (if applicable) the revised annual budget in this ABAL.</w:t>
      </w:r>
      <w:r w:rsidRPr="004B22A2">
        <w:rPr>
          <w:rStyle w:val="FootnoteReference"/>
          <w:rFonts w:ascii="Arial" w:eastAsia="Arial" w:hAnsi="Arial" w:cs="Arial"/>
        </w:rPr>
        <w:t xml:space="preserve"> </w:t>
      </w:r>
      <w:r>
        <w:rPr>
          <w:rStyle w:val="FootnoteReference"/>
          <w:rFonts w:ascii="Arial" w:eastAsia="Arial" w:hAnsi="Arial" w:cs="Arial"/>
        </w:rPr>
        <w:footnoteReference w:id="3"/>
      </w:r>
    </w:p>
    <w:p w14:paraId="48AEA00B" w14:textId="3E52C31F" w:rsidR="008217BE" w:rsidRPr="002101BF" w:rsidRDefault="001E15B3" w:rsidP="00D12AF3">
      <w:pPr>
        <w:spacing w:after="240"/>
        <w:rPr>
          <w:b/>
          <w:bCs/>
        </w:rPr>
      </w:pPr>
      <w:r w:rsidRPr="00D331AB">
        <w:rPr>
          <w:rFonts w:ascii="Arial" w:eastAsia="Arial" w:hAnsi="Arial" w:cs="Arial"/>
        </w:rPr>
        <w:t>If a PA</w:t>
      </w:r>
      <w:r w:rsidR="00347255" w:rsidRPr="00D331AB">
        <w:rPr>
          <w:rFonts w:ascii="Arial" w:eastAsia="Arial" w:hAnsi="Arial" w:cs="Arial"/>
        </w:rPr>
        <w:t>’s</w:t>
      </w:r>
      <w:r w:rsidRPr="00D331AB">
        <w:rPr>
          <w:rFonts w:ascii="Arial" w:eastAsia="Arial" w:hAnsi="Arial" w:cs="Arial"/>
        </w:rPr>
        <w:t xml:space="preserve"> ABAL submitted for program year 2019 through program year 2022 fails to meet the criteria above, the PA</w:t>
      </w:r>
      <w:r w:rsidR="00347255" w:rsidRPr="00D331AB">
        <w:rPr>
          <w:rFonts w:ascii="Arial" w:eastAsia="Arial" w:hAnsi="Arial" w:cs="Arial"/>
        </w:rPr>
        <w:t xml:space="preserve"> is </w:t>
      </w:r>
      <w:r w:rsidRPr="00D331AB">
        <w:rPr>
          <w:rFonts w:ascii="Arial" w:eastAsia="Arial" w:hAnsi="Arial" w:cs="Arial"/>
        </w:rPr>
        <w:t>to hold a workshop to explain why it failed to meet the above criteria to provide transparency of the challenges in meeting the criteria and potentially aid the PA in revi</w:t>
      </w:r>
      <w:r w:rsidR="00353B76" w:rsidRPr="00D331AB">
        <w:rPr>
          <w:rFonts w:ascii="Arial" w:eastAsia="Arial" w:hAnsi="Arial" w:cs="Arial"/>
        </w:rPr>
        <w:t xml:space="preserve">sing its business plan pursuant to D.15-10-028 for </w:t>
      </w:r>
      <w:r w:rsidR="00547274">
        <w:rPr>
          <w:rFonts w:ascii="Arial" w:eastAsia="Arial" w:hAnsi="Arial" w:cs="Arial"/>
        </w:rPr>
        <w:t>C</w:t>
      </w:r>
      <w:r w:rsidR="00547274" w:rsidRPr="00D331AB">
        <w:rPr>
          <w:rFonts w:ascii="Arial" w:eastAsia="Arial" w:hAnsi="Arial" w:cs="Arial"/>
        </w:rPr>
        <w:t xml:space="preserve">ommission </w:t>
      </w:r>
      <w:r w:rsidR="00353B76" w:rsidRPr="00D331AB">
        <w:rPr>
          <w:rFonts w:ascii="Arial" w:eastAsia="Arial" w:hAnsi="Arial" w:cs="Arial"/>
        </w:rPr>
        <w:t>approval.</w:t>
      </w:r>
    </w:p>
    <w:p w14:paraId="5A6D849A" w14:textId="45917A58" w:rsidR="003A21DB" w:rsidRPr="003A21DB" w:rsidRDefault="003A21DB" w:rsidP="000D4EA1">
      <w:pPr>
        <w:pStyle w:val="CM112"/>
        <w:spacing w:after="225" w:line="273" w:lineRule="atLeast"/>
        <w:rPr>
          <w:b/>
          <w:bCs/>
          <w:u w:val="single"/>
        </w:rPr>
      </w:pPr>
      <w:r w:rsidRPr="003A21DB">
        <w:rPr>
          <w:b/>
          <w:bCs/>
          <w:u w:val="single"/>
        </w:rPr>
        <w:t>2019 EE PORTFOLIO</w:t>
      </w:r>
    </w:p>
    <w:p w14:paraId="2DFAD085" w14:textId="0814538F" w:rsidR="004F5939" w:rsidRPr="00105BDE" w:rsidRDefault="003A21DB" w:rsidP="004F5939">
      <w:pPr>
        <w:pStyle w:val="Default"/>
        <w:rPr>
          <w:rFonts w:ascii="Arial" w:eastAsia="Arial" w:hAnsi="Arial" w:cs="Arial"/>
        </w:rPr>
      </w:pPr>
      <w:r>
        <w:rPr>
          <w:rFonts w:ascii="Arial" w:eastAsia="Arial" w:hAnsi="Arial" w:cs="Arial"/>
        </w:rPr>
        <w:t xml:space="preserve">SCE’s proposed portfolio and budget is designed to </w:t>
      </w:r>
      <w:r w:rsidRPr="007D5694">
        <w:rPr>
          <w:rFonts w:ascii="Arial" w:eastAsia="Arial" w:hAnsi="Arial" w:cs="Arial"/>
        </w:rPr>
        <w:t xml:space="preserve">optimize </w:t>
      </w:r>
      <w:r>
        <w:rPr>
          <w:rFonts w:ascii="Arial" w:eastAsia="Arial" w:hAnsi="Arial" w:cs="Arial"/>
        </w:rPr>
        <w:t>each of the CPUC metrics, including but not limited to, cost-effectiveness, savings goals</w:t>
      </w:r>
      <w:r w:rsidRPr="007D5694">
        <w:rPr>
          <w:rFonts w:ascii="Arial" w:eastAsia="Arial" w:hAnsi="Arial" w:cs="Arial"/>
        </w:rPr>
        <w:t xml:space="preserve">, </w:t>
      </w:r>
      <w:r>
        <w:rPr>
          <w:rFonts w:ascii="Arial" w:eastAsia="Arial" w:hAnsi="Arial" w:cs="Arial"/>
        </w:rPr>
        <w:t>budgets, and Commission mandated budget caps and targets</w:t>
      </w:r>
      <w:r w:rsidR="000F59C2">
        <w:rPr>
          <w:rFonts w:ascii="Arial" w:eastAsia="Arial" w:hAnsi="Arial" w:cs="Arial"/>
        </w:rPr>
        <w:t>.</w:t>
      </w:r>
      <w:r>
        <w:rPr>
          <w:rFonts w:ascii="Arial" w:eastAsia="Arial" w:hAnsi="Arial" w:cs="Arial"/>
        </w:rPr>
        <w:t xml:space="preserve"> In addition, SCE’s portfolio reflects known CPUC measure and program savings modifications for 2019 and portfolio design elements recommended in D.18-05-041.</w:t>
      </w:r>
      <w:r w:rsidR="004F5939">
        <w:rPr>
          <w:rFonts w:ascii="Arial" w:eastAsia="Arial" w:hAnsi="Arial" w:cs="Arial"/>
        </w:rPr>
        <w:t xml:space="preserve">  </w:t>
      </w:r>
      <w:r w:rsidR="004F5939" w:rsidRPr="1EF028A6">
        <w:rPr>
          <w:rFonts w:ascii="Arial" w:eastAsia="Arial" w:hAnsi="Arial" w:cs="Arial"/>
        </w:rPr>
        <w:t>To meet the Commission’s requirement</w:t>
      </w:r>
      <w:r w:rsidR="004F5939">
        <w:rPr>
          <w:rFonts w:ascii="Arial" w:eastAsia="Arial" w:hAnsi="Arial" w:cs="Arial"/>
        </w:rPr>
        <w:t>s</w:t>
      </w:r>
      <w:r w:rsidR="004F5939" w:rsidRPr="1EF028A6">
        <w:rPr>
          <w:rFonts w:ascii="Arial" w:eastAsia="Arial" w:hAnsi="Arial" w:cs="Arial"/>
        </w:rPr>
        <w:t xml:space="preserve">, </w:t>
      </w:r>
      <w:r w:rsidR="004F5939">
        <w:rPr>
          <w:rFonts w:ascii="Arial" w:eastAsia="Arial" w:hAnsi="Arial" w:cs="Arial"/>
          <w:color w:val="auto"/>
        </w:rPr>
        <w:t>SCE proposes significant modifications to its energy efficiency portfolio for 2019, as described herein.  These modifications focus on delivering a cost-effective portfolio while beginning the transition to the Commission’s new statewide and third</w:t>
      </w:r>
      <w:r w:rsidR="0016062A">
        <w:rPr>
          <w:rFonts w:ascii="Arial" w:eastAsia="Arial" w:hAnsi="Arial" w:cs="Arial"/>
          <w:color w:val="auto"/>
        </w:rPr>
        <w:t>-</w:t>
      </w:r>
      <w:r w:rsidR="004F5939">
        <w:rPr>
          <w:rFonts w:ascii="Arial" w:eastAsia="Arial" w:hAnsi="Arial" w:cs="Arial"/>
          <w:color w:val="auto"/>
        </w:rPr>
        <w:t>party model for energy efficiency. SCE</w:t>
      </w:r>
      <w:r w:rsidR="004F5939" w:rsidDel="00DA1E09">
        <w:rPr>
          <w:rFonts w:ascii="Arial" w:eastAsia="Arial" w:hAnsi="Arial" w:cs="Arial"/>
          <w:color w:val="auto"/>
        </w:rPr>
        <w:t xml:space="preserve"> </w:t>
      </w:r>
      <w:r w:rsidR="004F5939">
        <w:rPr>
          <w:rFonts w:ascii="Arial" w:eastAsia="Arial" w:hAnsi="Arial" w:cs="Arial"/>
          <w:color w:val="auto"/>
        </w:rPr>
        <w:t xml:space="preserve">optimizes its portfolio using </w:t>
      </w:r>
      <w:r w:rsidR="00021AFA">
        <w:rPr>
          <w:rFonts w:ascii="Arial" w:eastAsia="Arial" w:hAnsi="Arial" w:cs="Arial"/>
          <w:color w:val="auto"/>
        </w:rPr>
        <w:t xml:space="preserve">three efforts not listed in sequential order because the process is iterative. </w:t>
      </w:r>
    </w:p>
    <w:p w14:paraId="0A1E5948" w14:textId="77777777" w:rsidR="004F5939" w:rsidRDefault="004F5939" w:rsidP="004F5939">
      <w:pPr>
        <w:pStyle w:val="Default"/>
        <w:rPr>
          <w:rFonts w:ascii="Arial" w:eastAsia="Arial" w:hAnsi="Arial" w:cs="Arial"/>
          <w:color w:val="auto"/>
        </w:rPr>
      </w:pPr>
    </w:p>
    <w:p w14:paraId="4953E643" w14:textId="3C8609BB" w:rsidR="004F5939" w:rsidRPr="00EF2400" w:rsidRDefault="004F5939" w:rsidP="004F5939">
      <w:pPr>
        <w:pStyle w:val="Default"/>
        <w:numPr>
          <w:ilvl w:val="0"/>
          <w:numId w:val="10"/>
        </w:numPr>
        <w:rPr>
          <w:rFonts w:ascii="Arial" w:eastAsia="Arial" w:hAnsi="Arial" w:cs="Arial"/>
          <w:color w:val="auto"/>
        </w:rPr>
      </w:pPr>
      <w:r w:rsidRPr="00E95B03">
        <w:rPr>
          <w:rFonts w:ascii="Arial" w:eastAsia="Arial" w:hAnsi="Arial" w:cs="Arial"/>
          <w:b/>
          <w:bCs/>
          <w:color w:val="auto"/>
        </w:rPr>
        <w:t>Shift</w:t>
      </w:r>
      <w:r>
        <w:rPr>
          <w:rFonts w:ascii="Arial" w:eastAsia="Arial" w:hAnsi="Arial" w:cs="Arial"/>
          <w:color w:val="auto"/>
        </w:rPr>
        <w:t xml:space="preserve"> – Increase</w:t>
      </w:r>
      <w:r w:rsidRPr="00EF2400">
        <w:rPr>
          <w:rFonts w:ascii="Arial" w:eastAsia="Arial" w:hAnsi="Arial" w:cs="Arial"/>
          <w:color w:val="auto"/>
        </w:rPr>
        <w:t xml:space="preserve"> the quantity of high cost-effective measures</w:t>
      </w:r>
      <w:r>
        <w:rPr>
          <w:rFonts w:ascii="Arial" w:eastAsia="Arial" w:hAnsi="Arial" w:cs="Arial"/>
          <w:color w:val="auto"/>
        </w:rPr>
        <w:t xml:space="preserve"> and decrease</w:t>
      </w:r>
      <w:r w:rsidRPr="00EF2400">
        <w:rPr>
          <w:rFonts w:ascii="Arial" w:eastAsia="Arial" w:hAnsi="Arial" w:cs="Arial"/>
          <w:color w:val="auto"/>
        </w:rPr>
        <w:t xml:space="preserve"> the quantity of low cost-effective measures</w:t>
      </w:r>
      <w:r>
        <w:rPr>
          <w:rFonts w:ascii="Arial" w:eastAsia="Arial" w:hAnsi="Arial" w:cs="Arial"/>
          <w:color w:val="auto"/>
        </w:rPr>
        <w:t xml:space="preserve"> </w:t>
      </w:r>
    </w:p>
    <w:p w14:paraId="32B580A4" w14:textId="475E564E" w:rsidR="004F5939" w:rsidRDefault="004F5939" w:rsidP="004F5939">
      <w:pPr>
        <w:pStyle w:val="Default"/>
        <w:numPr>
          <w:ilvl w:val="0"/>
          <w:numId w:val="10"/>
        </w:numPr>
        <w:rPr>
          <w:rFonts w:ascii="Arial" w:eastAsia="Arial" w:hAnsi="Arial" w:cs="Arial"/>
          <w:color w:val="auto"/>
        </w:rPr>
      </w:pPr>
      <w:r w:rsidRPr="00E95B03">
        <w:rPr>
          <w:rFonts w:ascii="Arial" w:eastAsia="Arial" w:hAnsi="Arial" w:cs="Arial"/>
          <w:b/>
          <w:bCs/>
          <w:color w:val="auto"/>
        </w:rPr>
        <w:t>Invest</w:t>
      </w:r>
      <w:r w:rsidRPr="00EF2400">
        <w:rPr>
          <w:rFonts w:ascii="Arial" w:eastAsia="Arial" w:hAnsi="Arial" w:cs="Arial"/>
          <w:color w:val="auto"/>
        </w:rPr>
        <w:t xml:space="preserve"> </w:t>
      </w:r>
      <w:r>
        <w:rPr>
          <w:rFonts w:ascii="Arial" w:eastAsia="Arial" w:hAnsi="Arial" w:cs="Arial"/>
          <w:color w:val="auto"/>
        </w:rPr>
        <w:t xml:space="preserve">– </w:t>
      </w:r>
      <w:r w:rsidRPr="00EF2400">
        <w:rPr>
          <w:rFonts w:ascii="Arial" w:eastAsia="Arial" w:hAnsi="Arial" w:cs="Arial"/>
          <w:color w:val="auto"/>
        </w:rPr>
        <w:t>Add</w:t>
      </w:r>
      <w:r>
        <w:rPr>
          <w:rFonts w:ascii="Arial" w:eastAsia="Arial" w:hAnsi="Arial" w:cs="Arial"/>
          <w:color w:val="auto"/>
        </w:rPr>
        <w:t xml:space="preserve"> budget to</w:t>
      </w:r>
      <w:r w:rsidR="0016062A">
        <w:rPr>
          <w:rFonts w:ascii="Arial" w:eastAsia="Arial" w:hAnsi="Arial" w:cs="Arial"/>
          <w:color w:val="auto"/>
        </w:rPr>
        <w:t xml:space="preserve"> high</w:t>
      </w:r>
      <w:r w:rsidR="00021AFA">
        <w:rPr>
          <w:rFonts w:ascii="Arial" w:eastAsia="Arial" w:hAnsi="Arial" w:cs="Arial"/>
          <w:color w:val="auto"/>
        </w:rPr>
        <w:t xml:space="preserve"> </w:t>
      </w:r>
      <w:r w:rsidR="0016062A">
        <w:rPr>
          <w:rFonts w:ascii="Arial" w:eastAsia="Arial" w:hAnsi="Arial" w:cs="Arial"/>
          <w:color w:val="auto"/>
        </w:rPr>
        <w:t>TRC measures and programs and</w:t>
      </w:r>
      <w:r w:rsidR="00021AFA">
        <w:rPr>
          <w:rFonts w:ascii="Arial" w:eastAsia="Arial" w:hAnsi="Arial" w:cs="Arial"/>
          <w:color w:val="auto"/>
        </w:rPr>
        <w:t xml:space="preserve"> to</w:t>
      </w:r>
      <w:r w:rsidR="0016062A">
        <w:rPr>
          <w:rFonts w:ascii="Arial" w:eastAsia="Arial" w:hAnsi="Arial" w:cs="Arial"/>
          <w:color w:val="auto"/>
        </w:rPr>
        <w:t xml:space="preserve"> </w:t>
      </w:r>
      <w:r>
        <w:rPr>
          <w:rFonts w:ascii="Arial" w:eastAsia="Arial" w:hAnsi="Arial" w:cs="Arial"/>
          <w:color w:val="auto"/>
        </w:rPr>
        <w:t xml:space="preserve">new third-party programs </w:t>
      </w:r>
    </w:p>
    <w:p w14:paraId="7814E76B" w14:textId="4A585205" w:rsidR="004F5939" w:rsidRPr="00DA1E09" w:rsidRDefault="004F5939" w:rsidP="004F5939">
      <w:pPr>
        <w:pStyle w:val="Default"/>
        <w:numPr>
          <w:ilvl w:val="0"/>
          <w:numId w:val="10"/>
        </w:numPr>
        <w:rPr>
          <w:rFonts w:ascii="Arial" w:eastAsia="Arial" w:hAnsi="Arial" w:cs="Arial"/>
          <w:color w:val="auto"/>
        </w:rPr>
      </w:pPr>
      <w:r w:rsidRPr="00E95B03">
        <w:rPr>
          <w:rFonts w:ascii="Arial" w:eastAsia="Arial" w:hAnsi="Arial" w:cs="Arial"/>
          <w:b/>
          <w:bCs/>
          <w:color w:val="auto"/>
        </w:rPr>
        <w:t>Reduce</w:t>
      </w:r>
      <w:r w:rsidRPr="00DA1E09">
        <w:rPr>
          <w:rFonts w:ascii="Arial" w:eastAsia="Arial" w:hAnsi="Arial" w:cs="Arial"/>
          <w:color w:val="auto"/>
        </w:rPr>
        <w:t xml:space="preserve"> – Reduce</w:t>
      </w:r>
      <w:r w:rsidR="00327CC4">
        <w:rPr>
          <w:rFonts w:ascii="Arial" w:eastAsia="Arial" w:hAnsi="Arial" w:cs="Arial"/>
          <w:color w:val="auto"/>
        </w:rPr>
        <w:t xml:space="preserve"> overhead </w:t>
      </w:r>
      <w:r w:rsidR="0068310F">
        <w:rPr>
          <w:rFonts w:ascii="Arial" w:eastAsia="Arial" w:hAnsi="Arial" w:cs="Arial"/>
          <w:color w:val="auto"/>
        </w:rPr>
        <w:t>and other</w:t>
      </w:r>
      <w:r>
        <w:rPr>
          <w:rFonts w:ascii="Arial" w:eastAsia="Arial" w:hAnsi="Arial" w:cs="Arial"/>
          <w:color w:val="auto"/>
        </w:rPr>
        <w:t xml:space="preserve"> </w:t>
      </w:r>
      <w:r w:rsidRPr="00DA1E09">
        <w:rPr>
          <w:rFonts w:ascii="Arial" w:eastAsia="Arial" w:hAnsi="Arial" w:cs="Arial"/>
          <w:color w:val="auto"/>
        </w:rPr>
        <w:t>non-r</w:t>
      </w:r>
      <w:r>
        <w:rPr>
          <w:rFonts w:ascii="Arial" w:eastAsia="Arial" w:hAnsi="Arial" w:cs="Arial"/>
          <w:color w:val="auto"/>
        </w:rPr>
        <w:t>esource</w:t>
      </w:r>
      <w:r w:rsidR="0016062A">
        <w:rPr>
          <w:rFonts w:ascii="Arial" w:eastAsia="Arial" w:hAnsi="Arial" w:cs="Arial"/>
          <w:color w:val="auto"/>
        </w:rPr>
        <w:t>-</w:t>
      </w:r>
      <w:r>
        <w:rPr>
          <w:rFonts w:ascii="Arial" w:eastAsia="Arial" w:hAnsi="Arial" w:cs="Arial"/>
          <w:color w:val="auto"/>
        </w:rPr>
        <w:t>related costs</w:t>
      </w:r>
      <w:r w:rsidR="00221107">
        <w:rPr>
          <w:rFonts w:ascii="Arial" w:eastAsia="Arial" w:hAnsi="Arial" w:cs="Arial"/>
          <w:color w:val="auto"/>
        </w:rPr>
        <w:t xml:space="preserve"> and the number of cost-ineffective programs.</w:t>
      </w:r>
    </w:p>
    <w:p w14:paraId="54FEFDE3" w14:textId="77777777" w:rsidR="004F5939" w:rsidRDefault="004F5939" w:rsidP="00021AFA">
      <w:pPr>
        <w:pStyle w:val="Default"/>
        <w:rPr>
          <w:rFonts w:ascii="Arial" w:eastAsia="Arial" w:hAnsi="Arial" w:cs="Arial"/>
          <w:color w:val="auto"/>
        </w:rPr>
      </w:pPr>
    </w:p>
    <w:p w14:paraId="555EDDC8" w14:textId="6178F880" w:rsidR="004F5939" w:rsidRDefault="0068310F" w:rsidP="004F5939">
      <w:pPr>
        <w:pStyle w:val="Default"/>
        <w:rPr>
          <w:rFonts w:ascii="Arial" w:eastAsia="Arial" w:hAnsi="Arial" w:cs="Arial"/>
        </w:rPr>
      </w:pPr>
      <w:r>
        <w:rPr>
          <w:rFonts w:ascii="Arial" w:eastAsia="Arial" w:hAnsi="Arial" w:cs="Arial"/>
        </w:rPr>
        <w:t>Using the three</w:t>
      </w:r>
      <w:r w:rsidR="00021AFA">
        <w:rPr>
          <w:rFonts w:ascii="Arial" w:eastAsia="Arial" w:hAnsi="Arial" w:cs="Arial"/>
        </w:rPr>
        <w:t xml:space="preserve"> efforts described</w:t>
      </w:r>
      <w:r w:rsidR="00EC3183">
        <w:rPr>
          <w:rFonts w:ascii="Arial" w:eastAsia="Arial" w:hAnsi="Arial" w:cs="Arial"/>
        </w:rPr>
        <w:t xml:space="preserve"> above</w:t>
      </w:r>
      <w:r>
        <w:rPr>
          <w:rFonts w:ascii="Arial" w:eastAsia="Arial" w:hAnsi="Arial" w:cs="Arial"/>
        </w:rPr>
        <w:t xml:space="preserve">, </w:t>
      </w:r>
      <w:r w:rsidR="004F5939" w:rsidRPr="1EF028A6">
        <w:rPr>
          <w:rFonts w:ascii="Arial" w:eastAsia="Arial" w:hAnsi="Arial" w:cs="Arial"/>
        </w:rPr>
        <w:t>SCE optimize</w:t>
      </w:r>
      <w:r w:rsidR="004F5939">
        <w:rPr>
          <w:rFonts w:ascii="Arial" w:eastAsia="Arial" w:hAnsi="Arial" w:cs="Arial"/>
        </w:rPr>
        <w:t>d</w:t>
      </w:r>
      <w:r w:rsidR="004F5939" w:rsidRPr="1EF028A6">
        <w:rPr>
          <w:rFonts w:ascii="Arial" w:eastAsia="Arial" w:hAnsi="Arial" w:cs="Arial"/>
        </w:rPr>
        <w:t xml:space="preserve"> its portfolio to achieve a high TRC value</w:t>
      </w:r>
      <w:r w:rsidR="004F5939">
        <w:rPr>
          <w:rFonts w:ascii="Arial" w:eastAsia="Arial" w:hAnsi="Arial" w:cs="Arial"/>
        </w:rPr>
        <w:t xml:space="preserve"> by</w:t>
      </w:r>
      <w:r w:rsidR="004F5939" w:rsidRPr="1EF028A6">
        <w:rPr>
          <w:rFonts w:ascii="Arial" w:eastAsia="Arial" w:hAnsi="Arial" w:cs="Arial"/>
        </w:rPr>
        <w:t xml:space="preserve"> </w:t>
      </w:r>
      <w:r w:rsidR="004F5939">
        <w:rPr>
          <w:rFonts w:ascii="Arial" w:eastAsia="Arial" w:hAnsi="Arial" w:cs="Arial"/>
        </w:rPr>
        <w:t>building upon</w:t>
      </w:r>
      <w:r w:rsidR="004F5939" w:rsidRPr="1EF028A6">
        <w:rPr>
          <w:rFonts w:ascii="Arial" w:eastAsia="Arial" w:hAnsi="Arial" w:cs="Arial"/>
        </w:rPr>
        <w:t xml:space="preserve"> programs </w:t>
      </w:r>
      <w:r w:rsidR="004F5939">
        <w:rPr>
          <w:rFonts w:ascii="Arial" w:eastAsia="Arial" w:hAnsi="Arial" w:cs="Arial"/>
        </w:rPr>
        <w:t xml:space="preserve">and measures </w:t>
      </w:r>
      <w:r w:rsidR="004F5939" w:rsidRPr="1EF028A6">
        <w:rPr>
          <w:rFonts w:ascii="Arial" w:eastAsia="Arial" w:hAnsi="Arial" w:cs="Arial"/>
        </w:rPr>
        <w:t>with high cost</w:t>
      </w:r>
      <w:r w:rsidR="004F5939">
        <w:rPr>
          <w:rFonts w:ascii="Arial" w:eastAsia="Arial" w:hAnsi="Arial" w:cs="Arial"/>
        </w:rPr>
        <w:t>-</w:t>
      </w:r>
      <w:r w:rsidR="004F5939" w:rsidRPr="1EF028A6">
        <w:rPr>
          <w:rFonts w:ascii="Arial" w:eastAsia="Arial" w:hAnsi="Arial" w:cs="Arial"/>
        </w:rPr>
        <w:t xml:space="preserve">effectiveness </w:t>
      </w:r>
      <w:r w:rsidR="004F5939">
        <w:rPr>
          <w:rFonts w:ascii="Arial" w:eastAsia="Arial" w:hAnsi="Arial" w:cs="Arial"/>
        </w:rPr>
        <w:t xml:space="preserve">while </w:t>
      </w:r>
      <w:r w:rsidR="004F5939" w:rsidRPr="1EF028A6">
        <w:rPr>
          <w:rFonts w:ascii="Arial" w:eastAsia="Arial" w:hAnsi="Arial" w:cs="Arial"/>
        </w:rPr>
        <w:t>reduc</w:t>
      </w:r>
      <w:r w:rsidR="004F5939">
        <w:rPr>
          <w:rFonts w:ascii="Arial" w:eastAsia="Arial" w:hAnsi="Arial" w:cs="Arial"/>
        </w:rPr>
        <w:t>ing</w:t>
      </w:r>
      <w:r w:rsidR="004F5939" w:rsidRPr="1EF028A6">
        <w:rPr>
          <w:rFonts w:ascii="Arial" w:eastAsia="Arial" w:hAnsi="Arial" w:cs="Arial"/>
        </w:rPr>
        <w:t xml:space="preserve"> programs </w:t>
      </w:r>
      <w:r w:rsidR="004F5939">
        <w:rPr>
          <w:rFonts w:ascii="Arial" w:eastAsia="Arial" w:hAnsi="Arial" w:cs="Arial"/>
        </w:rPr>
        <w:t xml:space="preserve">and measures </w:t>
      </w:r>
      <w:r w:rsidR="004F5939" w:rsidRPr="1EF028A6">
        <w:rPr>
          <w:rFonts w:ascii="Arial" w:eastAsia="Arial" w:hAnsi="Arial" w:cs="Arial"/>
        </w:rPr>
        <w:t>with low cost</w:t>
      </w:r>
      <w:r w:rsidR="004F5939">
        <w:rPr>
          <w:rFonts w:ascii="Arial" w:eastAsia="Arial" w:hAnsi="Arial" w:cs="Arial"/>
        </w:rPr>
        <w:t>-</w:t>
      </w:r>
      <w:r w:rsidR="004F5939" w:rsidRPr="1EF028A6">
        <w:rPr>
          <w:rFonts w:ascii="Arial" w:eastAsia="Arial" w:hAnsi="Arial" w:cs="Arial"/>
        </w:rPr>
        <w:t>effectiveness</w:t>
      </w:r>
      <w:r w:rsidR="004F5939">
        <w:rPr>
          <w:rFonts w:ascii="Arial" w:eastAsia="Arial" w:hAnsi="Arial" w:cs="Arial"/>
        </w:rPr>
        <w:t xml:space="preserve">. </w:t>
      </w:r>
      <w:r w:rsidR="003600A9">
        <w:rPr>
          <w:rFonts w:ascii="Arial" w:eastAsia="Arial" w:hAnsi="Arial" w:cs="Arial"/>
        </w:rPr>
        <w:t>The</w:t>
      </w:r>
      <w:r w:rsidR="004F5939">
        <w:rPr>
          <w:rFonts w:ascii="Arial" w:eastAsia="Arial" w:hAnsi="Arial" w:cs="Arial"/>
        </w:rPr>
        <w:t xml:space="preserve"> result of SCE’s program optimization efforts, SCE’s portfolio budget, savings</w:t>
      </w:r>
      <w:r w:rsidR="003600A9">
        <w:rPr>
          <w:rFonts w:ascii="Arial" w:eastAsia="Arial" w:hAnsi="Arial" w:cs="Arial"/>
        </w:rPr>
        <w:t>,</w:t>
      </w:r>
      <w:r w:rsidR="004F5939">
        <w:rPr>
          <w:rFonts w:ascii="Arial" w:eastAsia="Arial" w:hAnsi="Arial" w:cs="Arial"/>
        </w:rPr>
        <w:t xml:space="preserve"> and cost-effectiveness </w:t>
      </w:r>
      <w:r w:rsidR="003600A9">
        <w:rPr>
          <w:rFonts w:ascii="Arial" w:eastAsia="Arial" w:hAnsi="Arial" w:cs="Arial"/>
        </w:rPr>
        <w:t>are detailed</w:t>
      </w:r>
      <w:r w:rsidR="004F5939">
        <w:rPr>
          <w:rFonts w:ascii="Arial" w:eastAsia="Arial" w:hAnsi="Arial" w:cs="Arial"/>
        </w:rPr>
        <w:t xml:space="preserve"> below.</w:t>
      </w:r>
    </w:p>
    <w:p w14:paraId="2F1925F6" w14:textId="4CEFFE47" w:rsidR="003A21DB" w:rsidRDefault="003A21DB" w:rsidP="003A21DB">
      <w:pPr>
        <w:pStyle w:val="Default"/>
        <w:rPr>
          <w:rFonts w:ascii="Arial" w:eastAsia="Arial" w:hAnsi="Arial" w:cs="Arial"/>
          <w:color w:val="auto"/>
        </w:rPr>
      </w:pPr>
    </w:p>
    <w:p w14:paraId="4569D33E" w14:textId="34ABC36D" w:rsidR="00C671B4" w:rsidRDefault="00C671B4" w:rsidP="00C35D50">
      <w:pPr>
        <w:spacing w:after="240"/>
        <w:rPr>
          <w:rFonts w:ascii="Arial" w:eastAsia="Arial" w:hAnsi="Arial" w:cs="Arial"/>
        </w:rPr>
      </w:pPr>
      <w:r>
        <w:rPr>
          <w:rFonts w:ascii="Arial" w:eastAsia="Arial" w:hAnsi="Arial" w:cs="Arial"/>
        </w:rPr>
        <w:t xml:space="preserve">SCE is proposing a portfolio cost-effectiveness and budget based upon currently-approved energy savings and cost-effectiveness inputs to its measure and program mix.  While SCE’s target cost-effectiveness is above 1.0, this mix and resulting cost-effectiveness may change in 2018 or 2019 as the Commission releases measure dispositions, DEER updates, and other key inputs which could reduce or improve portfolio savings and cost-effectiveness.  Significant negative changes to measures in high-volume programs such as Primary Lighting could have a significant impact on SCE’s ability to achieve its cost-effectiveness and goals targets.  Early notifications of </w:t>
      </w:r>
      <w:r>
        <w:rPr>
          <w:rFonts w:ascii="Arial" w:eastAsia="Arial" w:hAnsi="Arial" w:cs="Arial"/>
        </w:rPr>
        <w:lastRenderedPageBreak/>
        <w:t xml:space="preserve">such dispositions would assist SCE in responding to such changes.  SCE is committed to working closely with the Commission </w:t>
      </w:r>
      <w:r w:rsidR="002101BF">
        <w:rPr>
          <w:rFonts w:ascii="Arial" w:eastAsia="Arial" w:hAnsi="Arial" w:cs="Arial"/>
        </w:rPr>
        <w:t>so</w:t>
      </w:r>
      <w:r>
        <w:rPr>
          <w:rFonts w:ascii="Arial" w:eastAsia="Arial" w:hAnsi="Arial" w:cs="Arial"/>
        </w:rPr>
        <w:t xml:space="preserve"> that its measure and program forecasts utilize the most recent information, while also </w:t>
      </w:r>
      <w:r w:rsidR="002101BF">
        <w:rPr>
          <w:rFonts w:ascii="Arial" w:eastAsia="Arial" w:hAnsi="Arial" w:cs="Arial"/>
        </w:rPr>
        <w:t>providing</w:t>
      </w:r>
      <w:r>
        <w:rPr>
          <w:rFonts w:ascii="Arial" w:eastAsia="Arial" w:hAnsi="Arial" w:cs="Arial"/>
        </w:rPr>
        <w:t xml:space="preserve"> customers, vendors, and SCE sufficient certainty in making energy efficiency investment decisions.  As cost</w:t>
      </w:r>
      <w:r w:rsidR="00671083">
        <w:rPr>
          <w:rFonts w:ascii="Arial" w:eastAsia="Arial" w:hAnsi="Arial" w:cs="Arial"/>
        </w:rPr>
        <w:t>-</w:t>
      </w:r>
      <w:r>
        <w:rPr>
          <w:rFonts w:ascii="Arial" w:eastAsia="Arial" w:hAnsi="Arial" w:cs="Arial"/>
        </w:rPr>
        <w:t>effectiveness inputs change, SCE will continue to evaluate the available mix of measures and make portfolio adjustments as necessary</w:t>
      </w:r>
      <w:r w:rsidR="001C6D85">
        <w:rPr>
          <w:rFonts w:ascii="Arial" w:eastAsia="Arial" w:hAnsi="Arial" w:cs="Arial"/>
        </w:rPr>
        <w:t xml:space="preserve"> </w:t>
      </w:r>
      <w:r w:rsidR="002101BF">
        <w:rPr>
          <w:rFonts w:ascii="Arial" w:eastAsia="Arial" w:hAnsi="Arial" w:cs="Arial"/>
        </w:rPr>
        <w:t xml:space="preserve">to </w:t>
      </w:r>
      <w:r w:rsidR="00843223">
        <w:rPr>
          <w:rFonts w:ascii="Arial" w:eastAsia="Arial" w:hAnsi="Arial" w:cs="Arial"/>
        </w:rPr>
        <w:t xml:space="preserve">cost-effectively </w:t>
      </w:r>
      <w:r w:rsidR="001C6D85">
        <w:rPr>
          <w:rFonts w:ascii="Arial" w:eastAsia="Arial" w:hAnsi="Arial" w:cs="Arial"/>
        </w:rPr>
        <w:t xml:space="preserve">meet </w:t>
      </w:r>
      <w:r w:rsidR="002101BF">
        <w:rPr>
          <w:rFonts w:ascii="Arial" w:eastAsia="Arial" w:hAnsi="Arial" w:cs="Arial"/>
        </w:rPr>
        <w:t>the</w:t>
      </w:r>
      <w:r w:rsidR="001C6D85">
        <w:rPr>
          <w:rFonts w:ascii="Arial" w:eastAsia="Arial" w:hAnsi="Arial" w:cs="Arial"/>
        </w:rPr>
        <w:t xml:space="preserve"> savings goal</w:t>
      </w:r>
      <w:r w:rsidR="00F8057E">
        <w:rPr>
          <w:rFonts w:ascii="Arial" w:eastAsia="Arial" w:hAnsi="Arial" w:cs="Arial"/>
        </w:rPr>
        <w:t>s</w:t>
      </w:r>
      <w:r w:rsidR="001C6D85">
        <w:rPr>
          <w:rFonts w:ascii="Arial" w:eastAsia="Arial" w:hAnsi="Arial" w:cs="Arial"/>
        </w:rPr>
        <w:t xml:space="preserve"> that </w:t>
      </w:r>
      <w:r w:rsidR="00F8057E">
        <w:rPr>
          <w:rFonts w:ascii="Arial" w:eastAsia="Arial" w:hAnsi="Arial" w:cs="Arial"/>
        </w:rPr>
        <w:t>are</w:t>
      </w:r>
      <w:r w:rsidR="001C6D85">
        <w:rPr>
          <w:rFonts w:ascii="Arial" w:eastAsia="Arial" w:hAnsi="Arial" w:cs="Arial"/>
        </w:rPr>
        <w:t xml:space="preserve"> based on old inputs</w:t>
      </w:r>
      <w:r>
        <w:rPr>
          <w:rFonts w:ascii="Arial" w:eastAsia="Arial" w:hAnsi="Arial" w:cs="Arial"/>
        </w:rPr>
        <w:t xml:space="preserve">. </w:t>
      </w:r>
      <w:r w:rsidR="001C6D85">
        <w:rPr>
          <w:rFonts w:ascii="Arial" w:eastAsia="Arial" w:hAnsi="Arial" w:cs="Arial"/>
        </w:rPr>
        <w:t xml:space="preserve"> </w:t>
      </w:r>
      <w:r>
        <w:rPr>
          <w:rFonts w:ascii="Arial" w:eastAsia="Arial" w:hAnsi="Arial" w:cs="Arial"/>
        </w:rPr>
        <w:t>This may include, but is not limited to fund shifting, measure and program elimination, and modifications to rebate levels.</w:t>
      </w:r>
      <w:r w:rsidR="001C6D85">
        <w:rPr>
          <w:rFonts w:ascii="Arial" w:eastAsia="Arial" w:hAnsi="Arial" w:cs="Arial"/>
        </w:rPr>
        <w:t xml:space="preserve">  </w:t>
      </w:r>
    </w:p>
    <w:p w14:paraId="3187713B" w14:textId="0B8EC018" w:rsidR="004F5939" w:rsidRDefault="004F5939" w:rsidP="003A21DB">
      <w:pPr>
        <w:pStyle w:val="Default"/>
        <w:rPr>
          <w:rFonts w:ascii="Arial" w:eastAsia="Arial" w:hAnsi="Arial" w:cs="Arial"/>
          <w:color w:val="auto"/>
        </w:rPr>
      </w:pPr>
    </w:p>
    <w:p w14:paraId="0C55C623" w14:textId="77777777" w:rsidR="004F5939" w:rsidRDefault="004F5939" w:rsidP="004F5939">
      <w:pPr>
        <w:pStyle w:val="CM112"/>
        <w:spacing w:after="225" w:line="273" w:lineRule="atLeast"/>
        <w:ind w:left="720"/>
        <w:rPr>
          <w:b/>
          <w:bCs/>
          <w:u w:val="single"/>
        </w:rPr>
      </w:pPr>
      <w:r>
        <w:rPr>
          <w:b/>
          <w:bCs/>
          <w:u w:val="single"/>
        </w:rPr>
        <w:t>2019 EE PORTFOLIO BUDGET</w:t>
      </w:r>
    </w:p>
    <w:p w14:paraId="519EE7AF" w14:textId="70406E71" w:rsidR="004F5939" w:rsidRPr="004F59AE" w:rsidRDefault="004F5939" w:rsidP="004F5939">
      <w:pPr>
        <w:ind w:left="720"/>
        <w:rPr>
          <w:rFonts w:ascii="Arial" w:eastAsia="Arial" w:hAnsi="Arial" w:cs="Arial"/>
          <w:i/>
        </w:rPr>
      </w:pPr>
      <w:r w:rsidRPr="008D4F1B">
        <w:rPr>
          <w:rFonts w:ascii="Arial" w:eastAsia="Arial" w:hAnsi="Arial" w:cs="Arial"/>
          <w:i/>
          <w:highlight w:val="yellow"/>
        </w:rPr>
        <w:t>SCE is still in the process of optimizing its Portfolio, as such, the tables below do not reflect its final 2019 EE Portfolio Budget</w:t>
      </w:r>
    </w:p>
    <w:p w14:paraId="582AFC8A" w14:textId="77777777" w:rsidR="004F5939" w:rsidRDefault="004F5939" w:rsidP="004F5939">
      <w:pPr>
        <w:ind w:left="720"/>
      </w:pPr>
    </w:p>
    <w:p w14:paraId="04271D6B" w14:textId="7522A71F" w:rsidR="004F5939" w:rsidRPr="007C665B" w:rsidRDefault="004F5939" w:rsidP="007C665B">
      <w:pPr>
        <w:pStyle w:val="CM112"/>
        <w:spacing w:after="225" w:line="273" w:lineRule="atLeast"/>
        <w:ind w:left="720"/>
        <w:rPr>
          <w:rFonts w:eastAsia="Arial"/>
        </w:rPr>
      </w:pPr>
      <w:r w:rsidRPr="00B30B8E">
        <w:t>Table X below provides SCE’s 2019 EE portfolio budget.</w:t>
      </w:r>
      <w:r w:rsidRPr="641C5C5C">
        <w:rPr>
          <w:rFonts w:eastAsia="Arial"/>
        </w:rPr>
        <w:t xml:space="preserve">  </w:t>
      </w:r>
      <w:r w:rsidR="008D4F1B">
        <w:rPr>
          <w:rFonts w:eastAsia="Arial"/>
        </w:rPr>
        <w:t xml:space="preserve">Please see </w:t>
      </w:r>
      <w:r w:rsidR="008D4F1B" w:rsidRPr="008D4F1B">
        <w:rPr>
          <w:rFonts w:eastAsia="Arial"/>
          <w:highlight w:val="yellow"/>
        </w:rPr>
        <w:t>Attachment XX</w:t>
      </w:r>
      <w:r w:rsidR="008D4F1B">
        <w:rPr>
          <w:rFonts w:eastAsia="Arial"/>
        </w:rPr>
        <w:t xml:space="preserve"> for the complete table provide by Commission </w:t>
      </w:r>
    </w:p>
    <w:p w14:paraId="6BA038D5" w14:textId="77777777" w:rsidR="004F5939" w:rsidRPr="00396559" w:rsidRDefault="004F5939">
      <w:pPr>
        <w:pStyle w:val="Default"/>
        <w:rPr>
          <w:b/>
          <w:bCs/>
        </w:rPr>
      </w:pPr>
      <w:r>
        <w:tab/>
      </w:r>
      <w:r w:rsidRPr="00E95B03">
        <w:rPr>
          <w:rFonts w:ascii="Arial" w:eastAsia="Arial" w:hAnsi="Arial" w:cs="Arial"/>
          <w:b/>
          <w:bCs/>
          <w:color w:val="auto"/>
        </w:rPr>
        <w:t>Table X: 2019 EE Portfolio Budget</w:t>
      </w:r>
    </w:p>
    <w:tbl>
      <w:tblPr>
        <w:tblpPr w:leftFromText="180" w:rightFromText="180" w:vertAnchor="text" w:horzAnchor="page" w:tblpX="2218" w:tblpY="91"/>
        <w:tblOverlap w:val="never"/>
        <w:tblW w:w="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070"/>
      </w:tblGrid>
      <w:tr w:rsidR="004F5939" w:rsidRPr="004F5939" w14:paraId="5411AC6C" w14:textId="77777777" w:rsidTr="004F59AE">
        <w:trPr>
          <w:trHeight w:val="630"/>
        </w:trPr>
        <w:tc>
          <w:tcPr>
            <w:tcW w:w="2970" w:type="dxa"/>
            <w:shd w:val="clear" w:color="auto" w:fill="auto"/>
            <w:noWrap/>
            <w:vAlign w:val="center"/>
            <w:hideMark/>
          </w:tcPr>
          <w:p w14:paraId="7CB12E99" w14:textId="77777777" w:rsidR="004F5939" w:rsidRPr="00396559" w:rsidRDefault="004F5939" w:rsidP="002101BF">
            <w:pPr>
              <w:pStyle w:val="Default"/>
              <w:ind w:left="162"/>
              <w:jc w:val="center"/>
              <w:rPr>
                <w:rFonts w:ascii="Arial,Times New Roman" w:eastAsia="Arial,Times New Roman" w:hAnsi="Arial,Times New Roman" w:cs="Arial,Times New Roman"/>
                <w:color w:val="auto"/>
              </w:rPr>
            </w:pPr>
            <w:r w:rsidRPr="00396559">
              <w:rPr>
                <w:rFonts w:ascii="Arial" w:eastAsia="Arial" w:hAnsi="Arial" w:cs="Arial"/>
                <w:color w:val="auto"/>
              </w:rPr>
              <w:t>Sector</w:t>
            </w:r>
          </w:p>
        </w:tc>
        <w:tc>
          <w:tcPr>
            <w:tcW w:w="2070" w:type="dxa"/>
            <w:shd w:val="clear" w:color="auto" w:fill="auto"/>
            <w:noWrap/>
            <w:vAlign w:val="center"/>
            <w:hideMark/>
          </w:tcPr>
          <w:p w14:paraId="3455A117" w14:textId="77777777" w:rsidR="004F5939" w:rsidRPr="00396559" w:rsidRDefault="004F5939" w:rsidP="002101BF">
            <w:pPr>
              <w:pStyle w:val="Default"/>
              <w:ind w:left="72"/>
              <w:jc w:val="center"/>
              <w:rPr>
                <w:rFonts w:ascii="Arial,Times New Roman" w:eastAsia="Arial,Times New Roman" w:hAnsi="Arial,Times New Roman" w:cs="Arial,Times New Roman"/>
                <w:color w:val="auto"/>
              </w:rPr>
            </w:pPr>
            <w:r w:rsidRPr="00396559">
              <w:rPr>
                <w:rFonts w:ascii="Arial" w:eastAsia="Arial" w:hAnsi="Arial" w:cs="Arial"/>
                <w:color w:val="auto"/>
              </w:rPr>
              <w:t>Program Year (PY) Budget</w:t>
            </w:r>
          </w:p>
        </w:tc>
      </w:tr>
      <w:tr w:rsidR="00662657" w:rsidRPr="004F5939" w14:paraId="1972EBB8" w14:textId="77777777" w:rsidTr="002101BF">
        <w:trPr>
          <w:trHeight w:val="330"/>
        </w:trPr>
        <w:tc>
          <w:tcPr>
            <w:tcW w:w="2970" w:type="dxa"/>
            <w:shd w:val="clear" w:color="auto" w:fill="auto"/>
            <w:noWrap/>
            <w:hideMark/>
          </w:tcPr>
          <w:p w14:paraId="4510867F" w14:textId="77777777" w:rsidR="00662657" w:rsidRPr="00396559" w:rsidRDefault="00662657" w:rsidP="00662657">
            <w:pPr>
              <w:pStyle w:val="Default"/>
              <w:ind w:left="162"/>
              <w:rPr>
                <w:rFonts w:ascii="Arial,Times New Roman" w:eastAsia="Arial,Times New Roman" w:hAnsi="Arial,Times New Roman" w:cs="Arial,Times New Roman"/>
                <w:color w:val="auto"/>
              </w:rPr>
            </w:pPr>
            <w:r w:rsidRPr="00396559">
              <w:rPr>
                <w:rFonts w:ascii="Arial" w:eastAsia="Arial" w:hAnsi="Arial" w:cs="Arial"/>
                <w:color w:val="auto"/>
              </w:rPr>
              <w:t>Residential</w:t>
            </w:r>
          </w:p>
        </w:tc>
        <w:tc>
          <w:tcPr>
            <w:tcW w:w="2070" w:type="dxa"/>
            <w:shd w:val="clear" w:color="auto" w:fill="auto"/>
            <w:noWrap/>
            <w:hideMark/>
          </w:tcPr>
          <w:p w14:paraId="2604991E" w14:textId="3E5E04AF" w:rsidR="00662657" w:rsidRPr="004F59AE" w:rsidRDefault="00662657" w:rsidP="00662657">
            <w:pPr>
              <w:pStyle w:val="Default"/>
              <w:ind w:left="72"/>
              <w:jc w:val="center"/>
              <w:rPr>
                <w:rFonts w:ascii="Arial,Arial,Times New Roman" w:eastAsia="Arial,Arial,Times New Roman" w:hAnsi="Arial,Arial,Times New Roman" w:cs="Arial,Arial,Times New Roman"/>
                <w:color w:val="auto"/>
              </w:rPr>
            </w:pPr>
            <w:r w:rsidRPr="004F59AE">
              <w:rPr>
                <w:rFonts w:ascii="Arial" w:eastAsia="Arial" w:hAnsi="Arial" w:cs="Arial"/>
              </w:rPr>
              <w:t xml:space="preserve"> $96,805,388 </w:t>
            </w:r>
          </w:p>
        </w:tc>
      </w:tr>
      <w:tr w:rsidR="00662657" w:rsidRPr="004F5939" w14:paraId="14E212D2" w14:textId="77777777" w:rsidTr="002101BF">
        <w:trPr>
          <w:trHeight w:val="300"/>
        </w:trPr>
        <w:tc>
          <w:tcPr>
            <w:tcW w:w="2970" w:type="dxa"/>
            <w:shd w:val="clear" w:color="auto" w:fill="auto"/>
            <w:noWrap/>
            <w:hideMark/>
          </w:tcPr>
          <w:p w14:paraId="68C9A0D2" w14:textId="77777777" w:rsidR="00662657" w:rsidRPr="00396559" w:rsidRDefault="00662657" w:rsidP="00662657">
            <w:pPr>
              <w:pStyle w:val="Default"/>
              <w:ind w:left="162"/>
              <w:rPr>
                <w:rFonts w:ascii="Arial,Times New Roman" w:eastAsia="Arial,Times New Roman" w:hAnsi="Arial,Times New Roman" w:cs="Arial,Times New Roman"/>
                <w:color w:val="auto"/>
              </w:rPr>
            </w:pPr>
            <w:r w:rsidRPr="00396559">
              <w:rPr>
                <w:rFonts w:ascii="Arial" w:eastAsia="Arial" w:hAnsi="Arial" w:cs="Arial"/>
                <w:color w:val="auto"/>
              </w:rPr>
              <w:t>Commercial</w:t>
            </w:r>
          </w:p>
        </w:tc>
        <w:tc>
          <w:tcPr>
            <w:tcW w:w="2070" w:type="dxa"/>
            <w:shd w:val="clear" w:color="auto" w:fill="auto"/>
            <w:noWrap/>
            <w:hideMark/>
          </w:tcPr>
          <w:p w14:paraId="1A2B9439" w14:textId="37E67189" w:rsidR="00662657" w:rsidRPr="004F59AE" w:rsidRDefault="00662657" w:rsidP="00662657">
            <w:pPr>
              <w:pStyle w:val="Default"/>
              <w:ind w:left="72"/>
              <w:jc w:val="center"/>
              <w:rPr>
                <w:rFonts w:ascii="Arial,Arial,Times New Roman" w:eastAsia="Arial,Arial,Times New Roman" w:hAnsi="Arial,Arial,Times New Roman" w:cs="Arial,Arial,Times New Roman"/>
                <w:color w:val="auto"/>
              </w:rPr>
            </w:pPr>
            <w:r w:rsidRPr="004F59AE">
              <w:rPr>
                <w:rFonts w:ascii="Arial" w:eastAsia="Arial" w:hAnsi="Arial" w:cs="Arial"/>
              </w:rPr>
              <w:t xml:space="preserve"> $49,381,315 </w:t>
            </w:r>
          </w:p>
        </w:tc>
      </w:tr>
      <w:tr w:rsidR="00662657" w:rsidRPr="004F5939" w14:paraId="2D368B89" w14:textId="77777777" w:rsidTr="002101BF">
        <w:trPr>
          <w:trHeight w:val="300"/>
        </w:trPr>
        <w:tc>
          <w:tcPr>
            <w:tcW w:w="2970" w:type="dxa"/>
            <w:shd w:val="clear" w:color="auto" w:fill="auto"/>
            <w:noWrap/>
            <w:hideMark/>
          </w:tcPr>
          <w:p w14:paraId="3FF8BA09" w14:textId="77777777" w:rsidR="00662657" w:rsidRPr="00396559" w:rsidRDefault="00662657" w:rsidP="00662657">
            <w:pPr>
              <w:pStyle w:val="Default"/>
              <w:ind w:left="162"/>
              <w:rPr>
                <w:rFonts w:ascii="Arial,Times New Roman" w:eastAsia="Arial,Times New Roman" w:hAnsi="Arial,Times New Roman" w:cs="Arial,Times New Roman"/>
                <w:color w:val="auto"/>
              </w:rPr>
            </w:pPr>
            <w:r w:rsidRPr="00396559">
              <w:rPr>
                <w:rFonts w:ascii="Arial" w:eastAsia="Arial" w:hAnsi="Arial" w:cs="Arial"/>
                <w:color w:val="auto"/>
              </w:rPr>
              <w:t>Industrial</w:t>
            </w:r>
          </w:p>
        </w:tc>
        <w:tc>
          <w:tcPr>
            <w:tcW w:w="2070" w:type="dxa"/>
            <w:shd w:val="clear" w:color="auto" w:fill="auto"/>
            <w:noWrap/>
            <w:hideMark/>
          </w:tcPr>
          <w:p w14:paraId="4405CA81" w14:textId="1E9E64F2" w:rsidR="00662657" w:rsidRPr="004F59AE" w:rsidRDefault="00662657" w:rsidP="00662657">
            <w:pPr>
              <w:pStyle w:val="Default"/>
              <w:ind w:left="72"/>
              <w:jc w:val="center"/>
              <w:rPr>
                <w:rFonts w:ascii="Arial,Arial,Times New Roman" w:eastAsia="Arial,Arial,Times New Roman" w:hAnsi="Arial,Arial,Times New Roman" w:cs="Arial,Arial,Times New Roman"/>
                <w:color w:val="auto"/>
              </w:rPr>
            </w:pPr>
            <w:r w:rsidRPr="004F59AE">
              <w:rPr>
                <w:rFonts w:ascii="Arial" w:eastAsia="Arial" w:hAnsi="Arial" w:cs="Arial"/>
              </w:rPr>
              <w:t xml:space="preserve"> $20,089,424 </w:t>
            </w:r>
          </w:p>
        </w:tc>
      </w:tr>
      <w:tr w:rsidR="00662657" w:rsidRPr="004F5939" w14:paraId="2A151120" w14:textId="77777777" w:rsidTr="002101BF">
        <w:trPr>
          <w:trHeight w:val="300"/>
        </w:trPr>
        <w:tc>
          <w:tcPr>
            <w:tcW w:w="2970" w:type="dxa"/>
            <w:shd w:val="clear" w:color="auto" w:fill="auto"/>
            <w:noWrap/>
            <w:hideMark/>
          </w:tcPr>
          <w:p w14:paraId="2093C3FD" w14:textId="77777777" w:rsidR="00662657" w:rsidRPr="00396559" w:rsidRDefault="00662657" w:rsidP="00662657">
            <w:pPr>
              <w:pStyle w:val="Default"/>
              <w:ind w:left="162"/>
              <w:rPr>
                <w:rFonts w:ascii="Arial,Times New Roman" w:eastAsia="Arial,Times New Roman" w:hAnsi="Arial,Times New Roman" w:cs="Arial,Times New Roman"/>
                <w:color w:val="auto"/>
              </w:rPr>
            </w:pPr>
            <w:r w:rsidRPr="00396559">
              <w:rPr>
                <w:rFonts w:ascii="Arial" w:eastAsia="Arial" w:hAnsi="Arial" w:cs="Arial"/>
                <w:color w:val="auto"/>
              </w:rPr>
              <w:t>Agriculture</w:t>
            </w:r>
          </w:p>
        </w:tc>
        <w:tc>
          <w:tcPr>
            <w:tcW w:w="2070" w:type="dxa"/>
            <w:shd w:val="clear" w:color="auto" w:fill="auto"/>
            <w:noWrap/>
            <w:hideMark/>
          </w:tcPr>
          <w:p w14:paraId="5FD283BF" w14:textId="3D935907" w:rsidR="00662657" w:rsidRPr="004F59AE" w:rsidRDefault="00662657" w:rsidP="00662657">
            <w:pPr>
              <w:pStyle w:val="Default"/>
              <w:ind w:left="72"/>
              <w:jc w:val="center"/>
              <w:rPr>
                <w:rFonts w:ascii="Arial,Arial,Times New Roman" w:eastAsia="Arial,Arial,Times New Roman" w:hAnsi="Arial,Arial,Times New Roman" w:cs="Arial,Arial,Times New Roman"/>
                <w:color w:val="auto"/>
              </w:rPr>
            </w:pPr>
            <w:r w:rsidRPr="004F59AE">
              <w:rPr>
                <w:rFonts w:ascii="Arial" w:eastAsia="Arial" w:hAnsi="Arial" w:cs="Arial"/>
              </w:rPr>
              <w:t xml:space="preserve"> $2,436,876 </w:t>
            </w:r>
          </w:p>
        </w:tc>
      </w:tr>
      <w:tr w:rsidR="00662657" w:rsidRPr="004F5939" w14:paraId="5CA59F2A" w14:textId="77777777" w:rsidTr="002101BF">
        <w:trPr>
          <w:trHeight w:val="300"/>
        </w:trPr>
        <w:tc>
          <w:tcPr>
            <w:tcW w:w="2970" w:type="dxa"/>
            <w:shd w:val="clear" w:color="auto" w:fill="auto"/>
            <w:noWrap/>
            <w:hideMark/>
          </w:tcPr>
          <w:p w14:paraId="053ED132" w14:textId="77777777" w:rsidR="00662657" w:rsidRPr="00396559" w:rsidRDefault="00662657" w:rsidP="00662657">
            <w:pPr>
              <w:pStyle w:val="Default"/>
              <w:ind w:left="162"/>
              <w:rPr>
                <w:rFonts w:ascii="Arial,Times New Roman" w:eastAsia="Arial,Times New Roman" w:hAnsi="Arial,Times New Roman" w:cs="Arial,Times New Roman"/>
                <w:color w:val="auto"/>
              </w:rPr>
            </w:pPr>
            <w:r w:rsidRPr="00396559">
              <w:rPr>
                <w:rFonts w:ascii="Arial" w:eastAsia="Arial" w:hAnsi="Arial" w:cs="Arial"/>
                <w:color w:val="auto"/>
              </w:rPr>
              <w:t>Emerging Tech</w:t>
            </w:r>
          </w:p>
        </w:tc>
        <w:tc>
          <w:tcPr>
            <w:tcW w:w="2070" w:type="dxa"/>
            <w:shd w:val="clear" w:color="auto" w:fill="auto"/>
            <w:noWrap/>
            <w:hideMark/>
          </w:tcPr>
          <w:p w14:paraId="55EC131A" w14:textId="58CB3576" w:rsidR="00662657" w:rsidRPr="004F59AE" w:rsidRDefault="00662657" w:rsidP="00662657">
            <w:pPr>
              <w:pStyle w:val="Default"/>
              <w:ind w:left="72"/>
              <w:jc w:val="center"/>
              <w:rPr>
                <w:rFonts w:ascii="Arial,Arial,Times New Roman" w:eastAsia="Arial,Arial,Times New Roman" w:hAnsi="Arial,Arial,Times New Roman" w:cs="Arial,Arial,Times New Roman"/>
                <w:color w:val="auto"/>
              </w:rPr>
            </w:pPr>
            <w:r w:rsidRPr="004F59AE">
              <w:rPr>
                <w:rFonts w:ascii="Arial" w:eastAsia="Arial" w:hAnsi="Arial" w:cs="Arial"/>
              </w:rPr>
              <w:t xml:space="preserve"> $10,621,617 </w:t>
            </w:r>
          </w:p>
        </w:tc>
      </w:tr>
      <w:tr w:rsidR="00662657" w:rsidRPr="004F5939" w14:paraId="502BBFC3" w14:textId="77777777" w:rsidTr="002101BF">
        <w:trPr>
          <w:trHeight w:val="300"/>
        </w:trPr>
        <w:tc>
          <w:tcPr>
            <w:tcW w:w="2970" w:type="dxa"/>
            <w:shd w:val="clear" w:color="auto" w:fill="auto"/>
            <w:noWrap/>
            <w:hideMark/>
          </w:tcPr>
          <w:p w14:paraId="58D7FC7A" w14:textId="77777777" w:rsidR="00662657" w:rsidRPr="00396559" w:rsidRDefault="00662657" w:rsidP="00662657">
            <w:pPr>
              <w:pStyle w:val="Default"/>
              <w:ind w:left="162"/>
              <w:rPr>
                <w:rFonts w:ascii="Arial,Times New Roman" w:eastAsia="Arial,Times New Roman" w:hAnsi="Arial,Times New Roman" w:cs="Arial,Times New Roman"/>
                <w:color w:val="auto"/>
              </w:rPr>
            </w:pPr>
            <w:r w:rsidRPr="00396559">
              <w:rPr>
                <w:rFonts w:ascii="Arial" w:eastAsia="Arial" w:hAnsi="Arial" w:cs="Arial"/>
                <w:color w:val="auto"/>
              </w:rPr>
              <w:t>Public</w:t>
            </w:r>
          </w:p>
        </w:tc>
        <w:tc>
          <w:tcPr>
            <w:tcW w:w="2070" w:type="dxa"/>
            <w:shd w:val="clear" w:color="auto" w:fill="auto"/>
            <w:noWrap/>
            <w:hideMark/>
          </w:tcPr>
          <w:p w14:paraId="70FDB593" w14:textId="06CEDA7E" w:rsidR="00662657" w:rsidRPr="004F59AE" w:rsidRDefault="00662657" w:rsidP="00662657">
            <w:pPr>
              <w:pStyle w:val="Default"/>
              <w:ind w:left="72"/>
              <w:jc w:val="center"/>
              <w:rPr>
                <w:rFonts w:ascii="Arial,Arial,Times New Roman" w:eastAsia="Arial,Arial,Times New Roman" w:hAnsi="Arial,Arial,Times New Roman" w:cs="Arial,Arial,Times New Roman"/>
                <w:color w:val="auto"/>
              </w:rPr>
            </w:pPr>
            <w:r w:rsidRPr="004F59AE">
              <w:rPr>
                <w:rFonts w:ascii="Arial" w:eastAsia="Arial" w:hAnsi="Arial" w:cs="Arial"/>
              </w:rPr>
              <w:t xml:space="preserve"> $24,076,595 </w:t>
            </w:r>
          </w:p>
        </w:tc>
      </w:tr>
      <w:tr w:rsidR="00662657" w:rsidRPr="004F5939" w14:paraId="209BB098" w14:textId="77777777" w:rsidTr="002101BF">
        <w:trPr>
          <w:trHeight w:val="300"/>
        </w:trPr>
        <w:tc>
          <w:tcPr>
            <w:tcW w:w="2970" w:type="dxa"/>
            <w:shd w:val="clear" w:color="auto" w:fill="auto"/>
            <w:noWrap/>
            <w:hideMark/>
          </w:tcPr>
          <w:p w14:paraId="39688351" w14:textId="67634C5A" w:rsidR="00662657" w:rsidRPr="00396559" w:rsidRDefault="00662657" w:rsidP="00662657">
            <w:pPr>
              <w:pStyle w:val="Default"/>
              <w:ind w:left="162"/>
              <w:rPr>
                <w:rFonts w:ascii="Arial,Times New Roman" w:eastAsia="Arial,Times New Roman" w:hAnsi="Arial,Times New Roman" w:cs="Arial,Times New Roman"/>
                <w:color w:val="auto"/>
              </w:rPr>
            </w:pPr>
            <w:r w:rsidRPr="00396559">
              <w:rPr>
                <w:rFonts w:ascii="Arial" w:eastAsia="Arial" w:hAnsi="Arial" w:cs="Arial"/>
                <w:color w:val="auto"/>
              </w:rPr>
              <w:t>WE&amp;T</w:t>
            </w:r>
          </w:p>
        </w:tc>
        <w:tc>
          <w:tcPr>
            <w:tcW w:w="2070" w:type="dxa"/>
            <w:shd w:val="clear" w:color="auto" w:fill="auto"/>
            <w:noWrap/>
            <w:hideMark/>
          </w:tcPr>
          <w:p w14:paraId="79828E58" w14:textId="19142F92" w:rsidR="00662657" w:rsidRPr="004F59AE" w:rsidRDefault="00662657" w:rsidP="00662657">
            <w:pPr>
              <w:pStyle w:val="Default"/>
              <w:ind w:left="72"/>
              <w:jc w:val="center"/>
              <w:rPr>
                <w:rFonts w:ascii="Arial,Arial,Times New Roman" w:eastAsia="Arial,Arial,Times New Roman" w:hAnsi="Arial,Arial,Times New Roman" w:cs="Arial,Arial,Times New Roman"/>
                <w:color w:val="auto"/>
              </w:rPr>
            </w:pPr>
            <w:r w:rsidRPr="004F59AE">
              <w:rPr>
                <w:rFonts w:ascii="Arial" w:eastAsia="Arial" w:hAnsi="Arial" w:cs="Arial"/>
              </w:rPr>
              <w:t xml:space="preserve"> $5,599,837 </w:t>
            </w:r>
          </w:p>
        </w:tc>
      </w:tr>
      <w:tr w:rsidR="00662657" w:rsidRPr="004F5939" w14:paraId="4ABAA9F4" w14:textId="77777777" w:rsidTr="00662657">
        <w:trPr>
          <w:trHeight w:val="300"/>
        </w:trPr>
        <w:tc>
          <w:tcPr>
            <w:tcW w:w="2970" w:type="dxa"/>
            <w:shd w:val="clear" w:color="auto" w:fill="auto"/>
            <w:noWrap/>
          </w:tcPr>
          <w:p w14:paraId="0FD27CFB" w14:textId="5E6B8896" w:rsidR="00662657" w:rsidRPr="00396559" w:rsidRDefault="00662657" w:rsidP="00662657">
            <w:pPr>
              <w:pStyle w:val="Default"/>
              <w:ind w:left="162"/>
              <w:rPr>
                <w:rFonts w:ascii="Arial,Times New Roman" w:eastAsia="Arial,Times New Roman" w:hAnsi="Arial,Times New Roman" w:cs="Arial,Times New Roman"/>
                <w:color w:val="auto"/>
              </w:rPr>
            </w:pPr>
            <w:r w:rsidRPr="00396559">
              <w:rPr>
                <w:rFonts w:ascii="Arial" w:eastAsia="Arial" w:hAnsi="Arial" w:cs="Arial"/>
                <w:color w:val="auto"/>
              </w:rPr>
              <w:t>Finance</w:t>
            </w:r>
          </w:p>
        </w:tc>
        <w:tc>
          <w:tcPr>
            <w:tcW w:w="2070" w:type="dxa"/>
            <w:shd w:val="clear" w:color="auto" w:fill="auto"/>
            <w:noWrap/>
            <w:hideMark/>
          </w:tcPr>
          <w:p w14:paraId="191160C8" w14:textId="4DC1AB76" w:rsidR="00662657" w:rsidRPr="004F59AE" w:rsidRDefault="00662657" w:rsidP="00662657">
            <w:pPr>
              <w:pStyle w:val="Default"/>
              <w:ind w:left="72"/>
              <w:jc w:val="center"/>
              <w:rPr>
                <w:rFonts w:ascii="Arial,Arial,Times New Roman" w:eastAsia="Arial,Arial,Times New Roman" w:hAnsi="Arial,Arial,Times New Roman" w:cs="Arial,Arial,Times New Roman"/>
                <w:color w:val="auto"/>
              </w:rPr>
            </w:pPr>
            <w:r w:rsidRPr="004F59AE">
              <w:rPr>
                <w:rFonts w:ascii="Arial" w:eastAsia="Arial" w:hAnsi="Arial" w:cs="Arial"/>
              </w:rPr>
              <w:t xml:space="preserve"> $1,913,947 </w:t>
            </w:r>
          </w:p>
        </w:tc>
      </w:tr>
      <w:tr w:rsidR="00662657" w:rsidRPr="004F5939" w14:paraId="41F7390A" w14:textId="77777777" w:rsidTr="00662657">
        <w:trPr>
          <w:trHeight w:val="300"/>
        </w:trPr>
        <w:tc>
          <w:tcPr>
            <w:tcW w:w="2970" w:type="dxa"/>
            <w:shd w:val="clear" w:color="auto" w:fill="auto"/>
            <w:noWrap/>
          </w:tcPr>
          <w:p w14:paraId="7616D28C" w14:textId="5E63C193" w:rsidR="00662657" w:rsidRPr="00396559" w:rsidRDefault="00662657" w:rsidP="00662657">
            <w:pPr>
              <w:pStyle w:val="Default"/>
              <w:ind w:left="162"/>
              <w:rPr>
                <w:rFonts w:ascii="Arial,Times New Roman" w:eastAsia="Arial,Times New Roman" w:hAnsi="Arial,Times New Roman" w:cs="Arial,Times New Roman"/>
                <w:color w:val="auto"/>
              </w:rPr>
            </w:pPr>
            <w:r w:rsidRPr="00396559">
              <w:rPr>
                <w:rFonts w:ascii="Arial" w:eastAsia="Arial" w:hAnsi="Arial" w:cs="Arial"/>
                <w:color w:val="auto"/>
              </w:rPr>
              <w:t>OBF Loan Pool</w:t>
            </w:r>
          </w:p>
        </w:tc>
        <w:tc>
          <w:tcPr>
            <w:tcW w:w="2070" w:type="dxa"/>
            <w:shd w:val="clear" w:color="auto" w:fill="auto"/>
            <w:noWrap/>
            <w:hideMark/>
          </w:tcPr>
          <w:p w14:paraId="64984E0D" w14:textId="273A9B22" w:rsidR="00662657" w:rsidRPr="004F59AE" w:rsidRDefault="00662657" w:rsidP="00662657">
            <w:pPr>
              <w:pStyle w:val="Default"/>
              <w:ind w:left="72"/>
              <w:jc w:val="center"/>
              <w:rPr>
                <w:rFonts w:ascii="Arial,Arial,Times New Roman" w:eastAsia="Arial,Arial,Times New Roman" w:hAnsi="Arial,Arial,Times New Roman" w:cs="Arial,Arial,Times New Roman"/>
                <w:color w:val="auto"/>
              </w:rPr>
            </w:pPr>
            <w:r w:rsidRPr="004F59AE">
              <w:rPr>
                <w:rFonts w:ascii="Arial" w:eastAsia="Arial" w:hAnsi="Arial" w:cs="Arial"/>
              </w:rPr>
              <w:t xml:space="preserve"> $-   </w:t>
            </w:r>
          </w:p>
        </w:tc>
      </w:tr>
      <w:tr w:rsidR="0001301F" w:rsidRPr="004F5939" w14:paraId="10C7B203" w14:textId="77777777" w:rsidTr="004F59AE">
        <w:trPr>
          <w:trHeight w:val="300"/>
        </w:trPr>
        <w:tc>
          <w:tcPr>
            <w:tcW w:w="2970" w:type="dxa"/>
            <w:shd w:val="clear" w:color="auto" w:fill="auto"/>
            <w:noWrap/>
          </w:tcPr>
          <w:p w14:paraId="39C5605A" w14:textId="7FCE5BA8" w:rsidR="0001301F" w:rsidRDefault="007B7298" w:rsidP="00662657">
            <w:pPr>
              <w:pStyle w:val="Default"/>
              <w:ind w:left="162"/>
              <w:rPr>
                <w:rFonts w:ascii="Arial" w:eastAsia="Arial" w:hAnsi="Arial" w:cs="Arial"/>
                <w:color w:val="auto"/>
              </w:rPr>
            </w:pPr>
            <w:r>
              <w:rPr>
                <w:rFonts w:ascii="Arial" w:eastAsia="Arial" w:hAnsi="Arial" w:cs="Arial"/>
                <w:color w:val="auto"/>
              </w:rPr>
              <w:t>Codes and Standards</w:t>
            </w:r>
          </w:p>
        </w:tc>
        <w:tc>
          <w:tcPr>
            <w:tcW w:w="2070" w:type="dxa"/>
            <w:shd w:val="clear" w:color="auto" w:fill="auto"/>
            <w:noWrap/>
          </w:tcPr>
          <w:p w14:paraId="640E39AE" w14:textId="039ECF86" w:rsidR="0001301F" w:rsidRPr="007B7298" w:rsidRDefault="007B7298" w:rsidP="00662657">
            <w:pPr>
              <w:pStyle w:val="Default"/>
              <w:ind w:left="72"/>
              <w:jc w:val="center"/>
              <w:rPr>
                <w:rFonts w:ascii="Arial" w:hAnsi="Arial" w:cs="Arial"/>
              </w:rPr>
            </w:pPr>
            <w:r w:rsidRPr="002675D2">
              <w:rPr>
                <w:rFonts w:ascii="Arial" w:hAnsi="Arial" w:cs="Arial"/>
              </w:rPr>
              <w:t xml:space="preserve"> </w:t>
            </w:r>
            <w:r>
              <w:rPr>
                <w:rFonts w:ascii="Arial" w:hAnsi="Arial" w:cs="Arial"/>
              </w:rPr>
              <w:t>$</w:t>
            </w:r>
            <w:r w:rsidRPr="007B7298">
              <w:rPr>
                <w:rFonts w:ascii="Arial" w:hAnsi="Arial" w:cs="Arial"/>
                <w:color w:val="auto"/>
              </w:rPr>
              <w:t>8</w:t>
            </w:r>
            <w:r w:rsidR="002675D2">
              <w:rPr>
                <w:rFonts w:ascii="Arial" w:hAnsi="Arial" w:cs="Arial"/>
                <w:color w:val="auto"/>
              </w:rPr>
              <w:t>,</w:t>
            </w:r>
            <w:r w:rsidRPr="007B7298">
              <w:rPr>
                <w:rFonts w:ascii="Arial" w:hAnsi="Arial" w:cs="Arial"/>
                <w:color w:val="auto"/>
              </w:rPr>
              <w:t>974</w:t>
            </w:r>
            <w:r w:rsidR="002675D2">
              <w:rPr>
                <w:rFonts w:ascii="Arial" w:hAnsi="Arial" w:cs="Arial"/>
                <w:color w:val="auto"/>
              </w:rPr>
              <w:t>,</w:t>
            </w:r>
            <w:r w:rsidRPr="007B7298">
              <w:rPr>
                <w:rFonts w:ascii="Arial" w:hAnsi="Arial" w:cs="Arial"/>
                <w:color w:val="auto"/>
              </w:rPr>
              <w:t>52</w:t>
            </w:r>
            <w:r>
              <w:rPr>
                <w:rFonts w:ascii="Arial" w:hAnsi="Arial" w:cs="Arial"/>
                <w:color w:val="auto"/>
              </w:rPr>
              <w:t>4</w:t>
            </w:r>
          </w:p>
        </w:tc>
      </w:tr>
      <w:tr w:rsidR="0001301F" w:rsidRPr="004F5939" w14:paraId="2E3F3A05" w14:textId="77777777" w:rsidTr="004F59AE">
        <w:trPr>
          <w:trHeight w:val="300"/>
        </w:trPr>
        <w:tc>
          <w:tcPr>
            <w:tcW w:w="2970" w:type="dxa"/>
            <w:shd w:val="clear" w:color="auto" w:fill="auto"/>
            <w:noWrap/>
          </w:tcPr>
          <w:p w14:paraId="3F67CE79" w14:textId="34F85171" w:rsidR="0001301F" w:rsidRDefault="002675D2" w:rsidP="00662657">
            <w:pPr>
              <w:pStyle w:val="Default"/>
              <w:ind w:left="162"/>
              <w:rPr>
                <w:rFonts w:ascii="Arial" w:eastAsia="Arial" w:hAnsi="Arial" w:cs="Arial"/>
                <w:color w:val="auto"/>
              </w:rPr>
            </w:pPr>
            <w:r>
              <w:rPr>
                <w:rFonts w:ascii="Arial" w:eastAsia="Arial" w:hAnsi="Arial" w:cs="Arial"/>
                <w:color w:val="auto"/>
              </w:rPr>
              <w:t>IOU EM&amp;V</w:t>
            </w:r>
          </w:p>
        </w:tc>
        <w:tc>
          <w:tcPr>
            <w:tcW w:w="2070" w:type="dxa"/>
            <w:shd w:val="clear" w:color="auto" w:fill="auto"/>
            <w:noWrap/>
          </w:tcPr>
          <w:p w14:paraId="0C68DEFD" w14:textId="1EB1B363" w:rsidR="0001301F" w:rsidRPr="008B5239" w:rsidRDefault="002675D2" w:rsidP="00662657">
            <w:pPr>
              <w:pStyle w:val="Default"/>
              <w:ind w:left="72"/>
              <w:jc w:val="center"/>
              <w:rPr>
                <w:rFonts w:ascii="Arial" w:hAnsi="Arial" w:cs="Arial"/>
              </w:rPr>
            </w:pPr>
            <w:r>
              <w:rPr>
                <w:rFonts w:ascii="Arial" w:hAnsi="Arial" w:cs="Arial"/>
                <w:color w:val="auto"/>
              </w:rPr>
              <w:t>$</w:t>
            </w:r>
            <w:r w:rsidRPr="002675D2">
              <w:rPr>
                <w:rFonts w:ascii="Arial" w:hAnsi="Arial" w:cs="Arial"/>
              </w:rPr>
              <w:t>10</w:t>
            </w:r>
            <w:r>
              <w:rPr>
                <w:rFonts w:ascii="Arial" w:hAnsi="Arial" w:cs="Arial"/>
              </w:rPr>
              <w:t>,</w:t>
            </w:r>
            <w:r w:rsidRPr="002675D2">
              <w:rPr>
                <w:rFonts w:ascii="Arial" w:hAnsi="Arial" w:cs="Arial"/>
              </w:rPr>
              <w:t>024</w:t>
            </w:r>
            <w:r>
              <w:rPr>
                <w:rFonts w:ascii="Arial" w:hAnsi="Arial" w:cs="Arial"/>
              </w:rPr>
              <w:t>,</w:t>
            </w:r>
            <w:r w:rsidRPr="002675D2">
              <w:rPr>
                <w:rFonts w:ascii="Arial" w:hAnsi="Arial" w:cs="Arial"/>
              </w:rPr>
              <w:t>009</w:t>
            </w:r>
          </w:p>
        </w:tc>
      </w:tr>
      <w:tr w:rsidR="00662657" w:rsidRPr="004F5939" w14:paraId="4D1F653E" w14:textId="77777777" w:rsidTr="00662657">
        <w:trPr>
          <w:trHeight w:val="315"/>
        </w:trPr>
        <w:tc>
          <w:tcPr>
            <w:tcW w:w="2970" w:type="dxa"/>
            <w:shd w:val="clear" w:color="auto" w:fill="auto"/>
            <w:noWrap/>
          </w:tcPr>
          <w:p w14:paraId="44541930" w14:textId="4AC1CED9" w:rsidR="00662657" w:rsidRPr="002675D2" w:rsidRDefault="002675D2" w:rsidP="00662657">
            <w:pPr>
              <w:pStyle w:val="Default"/>
              <w:ind w:left="162"/>
              <w:rPr>
                <w:rFonts w:ascii="Arial,Times New Roman" w:eastAsia="Arial,Times New Roman" w:hAnsi="Arial,Times New Roman" w:cs="Arial,Times New Roman"/>
                <w:b/>
                <w:color w:val="auto"/>
              </w:rPr>
            </w:pPr>
            <w:r w:rsidRPr="002675D2">
              <w:rPr>
                <w:rFonts w:ascii="Arial" w:eastAsia="Arial" w:hAnsi="Arial" w:cs="Arial"/>
                <w:b/>
                <w:color w:val="auto"/>
              </w:rPr>
              <w:t>Total</w:t>
            </w:r>
          </w:p>
        </w:tc>
        <w:tc>
          <w:tcPr>
            <w:tcW w:w="2070" w:type="dxa"/>
            <w:shd w:val="clear" w:color="auto" w:fill="auto"/>
            <w:noWrap/>
            <w:hideMark/>
          </w:tcPr>
          <w:p w14:paraId="69571722" w14:textId="25F27F0E" w:rsidR="00662657" w:rsidRPr="002675D2" w:rsidRDefault="00662657" w:rsidP="00662657">
            <w:pPr>
              <w:pStyle w:val="Default"/>
              <w:ind w:left="72"/>
              <w:jc w:val="center"/>
              <w:rPr>
                <w:rFonts w:ascii="Arial" w:eastAsia="Arial,Times New Roman" w:hAnsi="Arial" w:cs="Arial"/>
                <w:b/>
                <w:color w:val="auto"/>
              </w:rPr>
            </w:pPr>
            <w:r w:rsidRPr="002675D2">
              <w:rPr>
                <w:rFonts w:ascii="Arial" w:hAnsi="Arial" w:cs="Arial"/>
                <w:b/>
              </w:rPr>
              <w:t xml:space="preserve"> $2</w:t>
            </w:r>
            <w:r w:rsidR="002675D2" w:rsidRPr="002675D2">
              <w:rPr>
                <w:rFonts w:ascii="Arial" w:hAnsi="Arial" w:cs="Arial"/>
                <w:b/>
              </w:rPr>
              <w:t>29</w:t>
            </w:r>
            <w:r w:rsidRPr="002675D2">
              <w:rPr>
                <w:rFonts w:ascii="Arial" w:hAnsi="Arial" w:cs="Arial"/>
                <w:b/>
              </w:rPr>
              <w:t>,92</w:t>
            </w:r>
            <w:r w:rsidR="002675D2" w:rsidRPr="002675D2">
              <w:rPr>
                <w:rFonts w:ascii="Arial" w:hAnsi="Arial" w:cs="Arial"/>
                <w:b/>
              </w:rPr>
              <w:t>3</w:t>
            </w:r>
            <w:r w:rsidRPr="002675D2">
              <w:rPr>
                <w:rFonts w:ascii="Arial" w:hAnsi="Arial" w:cs="Arial"/>
                <w:b/>
              </w:rPr>
              <w:t>,</w:t>
            </w:r>
            <w:r w:rsidR="002675D2" w:rsidRPr="002675D2">
              <w:rPr>
                <w:rFonts w:ascii="Arial" w:hAnsi="Arial" w:cs="Arial"/>
                <w:b/>
              </w:rPr>
              <w:t>530</w:t>
            </w:r>
            <w:r w:rsidRPr="002675D2">
              <w:rPr>
                <w:rFonts w:ascii="Arial" w:hAnsi="Arial" w:cs="Arial"/>
                <w:b/>
              </w:rPr>
              <w:t xml:space="preserve"> </w:t>
            </w:r>
          </w:p>
        </w:tc>
      </w:tr>
    </w:tbl>
    <w:p w14:paraId="553F1826" w14:textId="649DBE4B" w:rsidR="004F5939" w:rsidRPr="007644B7" w:rsidRDefault="00E45ED5" w:rsidP="004F5939">
      <w:pPr>
        <w:pStyle w:val="Default"/>
      </w:pPr>
      <w:r>
        <w:br w:type="textWrapping" w:clear="all"/>
      </w:r>
    </w:p>
    <w:p w14:paraId="5C41DDE9" w14:textId="43DB0520" w:rsidR="004F5939" w:rsidRDefault="004F5939" w:rsidP="002101BF">
      <w:pPr>
        <w:pStyle w:val="CM112"/>
        <w:spacing w:after="225" w:line="273" w:lineRule="atLeast"/>
        <w:ind w:left="720"/>
        <w:rPr>
          <w:b/>
          <w:bCs/>
          <w:u w:val="single"/>
        </w:rPr>
      </w:pPr>
      <w:r>
        <w:rPr>
          <w:b/>
          <w:bCs/>
          <w:u w:val="single"/>
        </w:rPr>
        <w:t>2019 EE PORTFOLIO SAVINGS</w:t>
      </w:r>
    </w:p>
    <w:p w14:paraId="65EB2BAD" w14:textId="2C1CCFC4" w:rsidR="004F5939" w:rsidRPr="008D4F1B" w:rsidRDefault="004F5939" w:rsidP="004F5939">
      <w:pPr>
        <w:ind w:left="720"/>
        <w:rPr>
          <w:rFonts w:ascii="Arial" w:eastAsia="Arial" w:hAnsi="Arial" w:cs="Arial"/>
          <w:i/>
          <w:highlight w:val="yellow"/>
        </w:rPr>
      </w:pPr>
      <w:r w:rsidRPr="008D4F1B">
        <w:rPr>
          <w:rFonts w:ascii="Arial" w:eastAsia="Arial" w:hAnsi="Arial" w:cs="Arial"/>
          <w:i/>
          <w:highlight w:val="yellow"/>
        </w:rPr>
        <w:t>SCE is still in the process of optimizing its Portfolio, as such, the tables below do not reflect its final 2019 EE Portfolio Savings.</w:t>
      </w:r>
    </w:p>
    <w:p w14:paraId="09F78B9B" w14:textId="77777777" w:rsidR="004F5939" w:rsidRDefault="004F5939" w:rsidP="004F5939">
      <w:pPr>
        <w:ind w:left="720"/>
        <w:rPr>
          <w:rFonts w:ascii="Arial" w:eastAsia="Arial" w:hAnsi="Arial" w:cs="Arial"/>
        </w:rPr>
      </w:pPr>
    </w:p>
    <w:p w14:paraId="78B3612B" w14:textId="7F0CA1EB" w:rsidR="004F5939" w:rsidRPr="004872A4" w:rsidRDefault="004F5939" w:rsidP="004F5939">
      <w:pPr>
        <w:ind w:left="720"/>
        <w:rPr>
          <w:rFonts w:ascii="Arial" w:eastAsia="Arial" w:hAnsi="Arial" w:cs="Arial"/>
        </w:rPr>
      </w:pPr>
      <w:r w:rsidRPr="00B30B8E">
        <w:rPr>
          <w:rFonts w:ascii="Arial" w:eastAsia="Arial" w:hAnsi="Arial" w:cs="Arial"/>
        </w:rPr>
        <w:t xml:space="preserve">Table X below provides SCE’s forecast of energy savings and demand reduction for its 2019 EE portfolio.  Low Income Energy </w:t>
      </w:r>
      <w:r w:rsidR="003B2EC6">
        <w:rPr>
          <w:rFonts w:ascii="Arial" w:eastAsia="Arial" w:hAnsi="Arial" w:cs="Arial"/>
        </w:rPr>
        <w:t xml:space="preserve">Efficiency program, </w:t>
      </w:r>
      <w:r w:rsidRPr="00B30B8E">
        <w:rPr>
          <w:rFonts w:ascii="Arial" w:eastAsia="Arial" w:hAnsi="Arial" w:cs="Arial"/>
        </w:rPr>
        <w:t>Energy Savings Assistance</w:t>
      </w:r>
      <w:r w:rsidR="003B2EC6">
        <w:rPr>
          <w:rFonts w:ascii="Arial" w:eastAsia="Arial" w:hAnsi="Arial" w:cs="Arial"/>
        </w:rPr>
        <w:t>,</w:t>
      </w:r>
      <w:r w:rsidRPr="00B30B8E">
        <w:rPr>
          <w:rFonts w:ascii="Arial" w:eastAsia="Arial" w:hAnsi="Arial" w:cs="Arial"/>
        </w:rPr>
        <w:t xml:space="preserve"> are included in the figures</w:t>
      </w:r>
      <w:r w:rsidR="008B5239">
        <w:rPr>
          <w:rFonts w:ascii="Arial" w:eastAsia="Arial" w:hAnsi="Arial" w:cs="Arial"/>
        </w:rPr>
        <w:t xml:space="preserve"> below</w:t>
      </w:r>
      <w:r w:rsidRPr="00B30B8E">
        <w:rPr>
          <w:rFonts w:ascii="Arial" w:eastAsia="Arial" w:hAnsi="Arial" w:cs="Arial"/>
        </w:rPr>
        <w:t>.</w:t>
      </w:r>
    </w:p>
    <w:p w14:paraId="14A3A0BD" w14:textId="77777777" w:rsidR="004F5939" w:rsidRDefault="004F5939" w:rsidP="004F5939">
      <w:pPr>
        <w:pStyle w:val="Default"/>
        <w:ind w:left="720"/>
      </w:pPr>
    </w:p>
    <w:p w14:paraId="645A3EB6" w14:textId="77777777" w:rsidR="004F5939" w:rsidRPr="00396559" w:rsidRDefault="004F5939">
      <w:pPr>
        <w:pStyle w:val="Default"/>
        <w:ind w:left="720"/>
        <w:rPr>
          <w:rFonts w:ascii="Arial" w:eastAsia="Arial" w:hAnsi="Arial" w:cs="Arial"/>
          <w:b/>
          <w:bCs/>
          <w:color w:val="auto"/>
        </w:rPr>
      </w:pPr>
      <w:r w:rsidRPr="00E95B03">
        <w:rPr>
          <w:rFonts w:ascii="Arial" w:eastAsia="Arial" w:hAnsi="Arial" w:cs="Arial"/>
          <w:b/>
          <w:bCs/>
          <w:color w:val="auto"/>
        </w:rPr>
        <w:t>Table X: 2019 EE Portfolio Savings</w:t>
      </w:r>
    </w:p>
    <w:tbl>
      <w:tblPr>
        <w:tblW w:w="882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1440"/>
        <w:gridCol w:w="1620"/>
        <w:gridCol w:w="2070"/>
      </w:tblGrid>
      <w:tr w:rsidR="004F5939" w14:paraId="065B14DF" w14:textId="77777777" w:rsidTr="004F59AE">
        <w:tc>
          <w:tcPr>
            <w:tcW w:w="3690" w:type="dxa"/>
            <w:shd w:val="clear" w:color="auto" w:fill="auto"/>
          </w:tcPr>
          <w:p w14:paraId="7524B3F7" w14:textId="77777777" w:rsidR="004F5939" w:rsidRPr="004F5939" w:rsidRDefault="004F5939" w:rsidP="004F5939">
            <w:pPr>
              <w:pStyle w:val="Default"/>
              <w:rPr>
                <w:rFonts w:ascii="Arial" w:eastAsia="Arial" w:hAnsi="Arial" w:cs="Arial"/>
                <w:color w:val="auto"/>
                <w:szCs w:val="20"/>
              </w:rPr>
            </w:pPr>
          </w:p>
        </w:tc>
        <w:tc>
          <w:tcPr>
            <w:tcW w:w="5130" w:type="dxa"/>
            <w:gridSpan w:val="3"/>
            <w:shd w:val="clear" w:color="auto" w:fill="auto"/>
          </w:tcPr>
          <w:p w14:paraId="1C19017F" w14:textId="33BD9012" w:rsidR="004F5939" w:rsidRPr="00396559" w:rsidRDefault="004F5939">
            <w:pPr>
              <w:pStyle w:val="Default"/>
              <w:jc w:val="center"/>
              <w:rPr>
                <w:rFonts w:ascii="Arial" w:eastAsia="Arial" w:hAnsi="Arial" w:cs="Arial"/>
                <w:b/>
                <w:bCs/>
                <w:color w:val="auto"/>
              </w:rPr>
            </w:pPr>
            <w:r w:rsidRPr="00E95B03">
              <w:rPr>
                <w:rFonts w:ascii="Arial" w:eastAsia="Arial" w:hAnsi="Arial" w:cs="Arial"/>
                <w:b/>
                <w:bCs/>
                <w:color w:val="auto"/>
              </w:rPr>
              <w:t>201</w:t>
            </w:r>
            <w:r w:rsidR="238737F3" w:rsidRPr="00E95B03">
              <w:rPr>
                <w:rFonts w:ascii="Arial" w:eastAsia="Arial" w:hAnsi="Arial" w:cs="Arial"/>
                <w:b/>
                <w:bCs/>
                <w:color w:val="auto"/>
              </w:rPr>
              <w:t>9</w:t>
            </w:r>
            <w:r w:rsidRPr="00E95B03">
              <w:rPr>
                <w:rFonts w:ascii="Arial" w:eastAsia="Arial" w:hAnsi="Arial" w:cs="Arial"/>
                <w:b/>
                <w:bCs/>
                <w:color w:val="auto"/>
              </w:rPr>
              <w:t xml:space="preserve"> Forecast</w:t>
            </w:r>
          </w:p>
        </w:tc>
      </w:tr>
      <w:tr w:rsidR="004F5939" w14:paraId="07CB42CC" w14:textId="77777777" w:rsidTr="641C5C5C">
        <w:tc>
          <w:tcPr>
            <w:tcW w:w="3690" w:type="dxa"/>
            <w:shd w:val="clear" w:color="auto" w:fill="auto"/>
          </w:tcPr>
          <w:p w14:paraId="6F3C572C" w14:textId="77777777" w:rsidR="004F5939" w:rsidRPr="004F5939" w:rsidRDefault="004F5939" w:rsidP="004F5939">
            <w:pPr>
              <w:pStyle w:val="Default"/>
              <w:rPr>
                <w:rFonts w:ascii="Arial" w:eastAsia="Arial" w:hAnsi="Arial" w:cs="Arial"/>
                <w:color w:val="auto"/>
                <w:szCs w:val="20"/>
              </w:rPr>
            </w:pPr>
          </w:p>
        </w:tc>
        <w:tc>
          <w:tcPr>
            <w:tcW w:w="1440" w:type="dxa"/>
            <w:shd w:val="clear" w:color="auto" w:fill="auto"/>
          </w:tcPr>
          <w:p w14:paraId="78E91A9B" w14:textId="77777777" w:rsidR="004F5939" w:rsidRPr="00396559" w:rsidRDefault="004F5939">
            <w:pPr>
              <w:pStyle w:val="Default"/>
              <w:jc w:val="center"/>
              <w:rPr>
                <w:rFonts w:ascii="Arial" w:eastAsia="Arial" w:hAnsi="Arial" w:cs="Arial"/>
                <w:b/>
                <w:bCs/>
                <w:color w:val="auto"/>
              </w:rPr>
            </w:pPr>
            <w:r w:rsidRPr="00E95B03">
              <w:rPr>
                <w:rFonts w:ascii="Arial" w:eastAsia="Arial" w:hAnsi="Arial" w:cs="Arial"/>
                <w:b/>
                <w:bCs/>
                <w:color w:val="auto"/>
              </w:rPr>
              <w:t>Total</w:t>
            </w:r>
          </w:p>
        </w:tc>
        <w:tc>
          <w:tcPr>
            <w:tcW w:w="1620" w:type="dxa"/>
            <w:shd w:val="clear" w:color="auto" w:fill="auto"/>
          </w:tcPr>
          <w:p w14:paraId="21AEB49B" w14:textId="77777777" w:rsidR="004F5939" w:rsidRPr="00396559" w:rsidRDefault="004F5939">
            <w:pPr>
              <w:pStyle w:val="Default"/>
              <w:jc w:val="center"/>
              <w:rPr>
                <w:rFonts w:ascii="Arial" w:eastAsia="Arial" w:hAnsi="Arial" w:cs="Arial"/>
                <w:b/>
                <w:bCs/>
                <w:color w:val="auto"/>
              </w:rPr>
            </w:pPr>
            <w:r w:rsidRPr="00E95B03">
              <w:rPr>
                <w:rFonts w:ascii="Arial" w:eastAsia="Arial" w:hAnsi="Arial" w:cs="Arial"/>
                <w:b/>
                <w:bCs/>
                <w:color w:val="auto"/>
              </w:rPr>
              <w:t>CPUC Goal</w:t>
            </w:r>
          </w:p>
        </w:tc>
        <w:tc>
          <w:tcPr>
            <w:tcW w:w="2070" w:type="dxa"/>
            <w:shd w:val="clear" w:color="auto" w:fill="auto"/>
          </w:tcPr>
          <w:p w14:paraId="4653615F" w14:textId="77777777" w:rsidR="004F5939" w:rsidRPr="00396559" w:rsidRDefault="004F5939">
            <w:pPr>
              <w:pStyle w:val="Default"/>
              <w:jc w:val="center"/>
              <w:rPr>
                <w:rFonts w:ascii="Arial" w:eastAsia="Arial" w:hAnsi="Arial" w:cs="Arial"/>
                <w:b/>
                <w:bCs/>
                <w:color w:val="auto"/>
              </w:rPr>
            </w:pPr>
            <w:r w:rsidRPr="00E95B03">
              <w:rPr>
                <w:rFonts w:ascii="Arial" w:eastAsia="Arial" w:hAnsi="Arial" w:cs="Arial"/>
                <w:b/>
                <w:bCs/>
                <w:color w:val="auto"/>
              </w:rPr>
              <w:t>% of 2018 Goal</w:t>
            </w:r>
          </w:p>
        </w:tc>
      </w:tr>
      <w:tr w:rsidR="004F5939" w14:paraId="66B27500" w14:textId="77777777" w:rsidTr="641C5C5C">
        <w:tc>
          <w:tcPr>
            <w:tcW w:w="3690" w:type="dxa"/>
            <w:shd w:val="clear" w:color="auto" w:fill="auto"/>
          </w:tcPr>
          <w:p w14:paraId="1BCE31F3" w14:textId="77777777" w:rsidR="004F5939" w:rsidRPr="00396559" w:rsidRDefault="004F5939">
            <w:pPr>
              <w:pStyle w:val="Default"/>
              <w:rPr>
                <w:rFonts w:ascii="Arial" w:eastAsia="Arial" w:hAnsi="Arial" w:cs="Arial"/>
                <w:color w:val="auto"/>
              </w:rPr>
            </w:pPr>
            <w:r w:rsidRPr="00E95B03">
              <w:rPr>
                <w:rFonts w:ascii="Arial" w:eastAsia="Arial" w:hAnsi="Arial" w:cs="Arial"/>
                <w:color w:val="auto"/>
              </w:rPr>
              <w:t>Energy Savings (Gross GWH)</w:t>
            </w:r>
          </w:p>
        </w:tc>
        <w:tc>
          <w:tcPr>
            <w:tcW w:w="1440" w:type="dxa"/>
            <w:shd w:val="clear" w:color="auto" w:fill="auto"/>
          </w:tcPr>
          <w:p w14:paraId="505F06B3" w14:textId="341A20F6" w:rsidR="004F5939" w:rsidRPr="00396559" w:rsidRDefault="008B5239">
            <w:pPr>
              <w:pStyle w:val="Default"/>
              <w:jc w:val="center"/>
              <w:rPr>
                <w:rFonts w:ascii="Arial" w:eastAsia="Arial" w:hAnsi="Arial" w:cs="Arial"/>
                <w:color w:val="auto"/>
              </w:rPr>
            </w:pPr>
            <w:r>
              <w:rPr>
                <w:rFonts w:ascii="Arial" w:eastAsia="Arial" w:hAnsi="Arial" w:cs="Arial"/>
                <w:color w:val="auto"/>
              </w:rPr>
              <w:t>532</w:t>
            </w:r>
          </w:p>
        </w:tc>
        <w:tc>
          <w:tcPr>
            <w:tcW w:w="1620" w:type="dxa"/>
            <w:shd w:val="clear" w:color="auto" w:fill="auto"/>
          </w:tcPr>
          <w:p w14:paraId="6890EF8B" w14:textId="696F5375" w:rsidR="004F5939" w:rsidRPr="00396559" w:rsidRDefault="008B5239">
            <w:pPr>
              <w:pStyle w:val="Default"/>
              <w:jc w:val="center"/>
              <w:rPr>
                <w:rFonts w:ascii="Arial" w:eastAsia="Arial" w:hAnsi="Arial" w:cs="Arial"/>
                <w:color w:val="auto"/>
              </w:rPr>
            </w:pPr>
            <w:r>
              <w:rPr>
                <w:rFonts w:ascii="Arial" w:eastAsia="Arial" w:hAnsi="Arial" w:cs="Arial"/>
                <w:color w:val="auto"/>
              </w:rPr>
              <w:t>442</w:t>
            </w:r>
          </w:p>
        </w:tc>
        <w:tc>
          <w:tcPr>
            <w:tcW w:w="2070" w:type="dxa"/>
            <w:shd w:val="clear" w:color="auto" w:fill="auto"/>
          </w:tcPr>
          <w:p w14:paraId="1B42A4A1" w14:textId="6EE1A464" w:rsidR="004F5939" w:rsidRPr="00396559" w:rsidRDefault="008B5239" w:rsidP="008B5239">
            <w:pPr>
              <w:pStyle w:val="Default"/>
              <w:jc w:val="center"/>
              <w:rPr>
                <w:rFonts w:ascii="Arial" w:eastAsia="Arial" w:hAnsi="Arial" w:cs="Arial"/>
                <w:color w:val="auto"/>
              </w:rPr>
            </w:pPr>
            <w:r w:rsidRPr="00E95B03">
              <w:rPr>
                <w:rFonts w:ascii="Arial" w:eastAsia="Arial" w:hAnsi="Arial" w:cs="Arial"/>
                <w:color w:val="auto"/>
              </w:rPr>
              <w:t>1</w:t>
            </w:r>
            <w:r>
              <w:rPr>
                <w:rFonts w:ascii="Arial" w:eastAsia="Arial" w:hAnsi="Arial" w:cs="Arial"/>
                <w:color w:val="auto"/>
              </w:rPr>
              <w:t>20</w:t>
            </w:r>
            <w:r w:rsidR="004F5939" w:rsidRPr="00E95B03">
              <w:rPr>
                <w:rFonts w:ascii="Arial" w:eastAsia="Arial" w:hAnsi="Arial" w:cs="Arial"/>
                <w:color w:val="auto"/>
              </w:rPr>
              <w:t>%</w:t>
            </w:r>
          </w:p>
        </w:tc>
      </w:tr>
      <w:tr w:rsidR="004F5939" w14:paraId="0B431266" w14:textId="77777777" w:rsidTr="641C5C5C">
        <w:tc>
          <w:tcPr>
            <w:tcW w:w="3690" w:type="dxa"/>
            <w:shd w:val="clear" w:color="auto" w:fill="auto"/>
          </w:tcPr>
          <w:p w14:paraId="673F69E6" w14:textId="77777777" w:rsidR="004F5939" w:rsidRPr="00396559" w:rsidRDefault="004F5939">
            <w:pPr>
              <w:pStyle w:val="Default"/>
              <w:rPr>
                <w:rFonts w:ascii="Arial" w:eastAsia="Arial" w:hAnsi="Arial" w:cs="Arial"/>
                <w:color w:val="auto"/>
              </w:rPr>
            </w:pPr>
            <w:r w:rsidRPr="00E95B03">
              <w:rPr>
                <w:rFonts w:ascii="Arial" w:eastAsia="Arial" w:hAnsi="Arial" w:cs="Arial"/>
                <w:color w:val="auto"/>
              </w:rPr>
              <w:t>Demand Reduction (Gross MW)</w:t>
            </w:r>
          </w:p>
        </w:tc>
        <w:tc>
          <w:tcPr>
            <w:tcW w:w="1440" w:type="dxa"/>
            <w:shd w:val="clear" w:color="auto" w:fill="auto"/>
          </w:tcPr>
          <w:p w14:paraId="06CE81C9" w14:textId="616C77F4" w:rsidR="004F5939" w:rsidRPr="00396559" w:rsidRDefault="008B5239">
            <w:pPr>
              <w:pStyle w:val="Default"/>
              <w:jc w:val="center"/>
              <w:rPr>
                <w:rFonts w:ascii="Arial" w:eastAsia="Arial" w:hAnsi="Arial" w:cs="Arial"/>
                <w:color w:val="auto"/>
              </w:rPr>
            </w:pPr>
            <w:r>
              <w:rPr>
                <w:rFonts w:ascii="Arial" w:eastAsia="Arial" w:hAnsi="Arial" w:cs="Arial"/>
                <w:color w:val="auto"/>
              </w:rPr>
              <w:t>95</w:t>
            </w:r>
          </w:p>
        </w:tc>
        <w:tc>
          <w:tcPr>
            <w:tcW w:w="1620" w:type="dxa"/>
            <w:shd w:val="clear" w:color="auto" w:fill="auto"/>
          </w:tcPr>
          <w:p w14:paraId="3B55BEB5" w14:textId="1942AD93" w:rsidR="004F5939" w:rsidRPr="00396559" w:rsidRDefault="008B5239">
            <w:pPr>
              <w:pStyle w:val="Default"/>
              <w:jc w:val="center"/>
              <w:rPr>
                <w:rFonts w:ascii="Arial" w:eastAsia="Arial" w:hAnsi="Arial" w:cs="Arial"/>
                <w:color w:val="auto"/>
              </w:rPr>
            </w:pPr>
            <w:r>
              <w:rPr>
                <w:rFonts w:ascii="Arial" w:eastAsia="Arial" w:hAnsi="Arial" w:cs="Arial"/>
                <w:color w:val="auto"/>
              </w:rPr>
              <w:t>91</w:t>
            </w:r>
          </w:p>
        </w:tc>
        <w:tc>
          <w:tcPr>
            <w:tcW w:w="2070" w:type="dxa"/>
            <w:shd w:val="clear" w:color="auto" w:fill="auto"/>
          </w:tcPr>
          <w:p w14:paraId="6381F28E" w14:textId="2E09A364" w:rsidR="004F5939" w:rsidRPr="00396559" w:rsidRDefault="008B5239">
            <w:pPr>
              <w:pStyle w:val="Default"/>
              <w:jc w:val="center"/>
              <w:rPr>
                <w:rFonts w:ascii="Arial" w:eastAsia="Arial" w:hAnsi="Arial" w:cs="Arial"/>
                <w:color w:val="auto"/>
              </w:rPr>
            </w:pPr>
            <w:r>
              <w:rPr>
                <w:rFonts w:ascii="Arial" w:eastAsia="Arial" w:hAnsi="Arial" w:cs="Arial"/>
                <w:color w:val="auto"/>
              </w:rPr>
              <w:t>104</w:t>
            </w:r>
            <w:r w:rsidR="004F5939" w:rsidRPr="00E95B03">
              <w:rPr>
                <w:rFonts w:ascii="Arial" w:eastAsia="Arial" w:hAnsi="Arial" w:cs="Arial"/>
                <w:color w:val="auto"/>
              </w:rPr>
              <w:t>%</w:t>
            </w:r>
          </w:p>
        </w:tc>
      </w:tr>
    </w:tbl>
    <w:p w14:paraId="284EABD7" w14:textId="77777777" w:rsidR="003A21DB" w:rsidRDefault="003A21DB" w:rsidP="000D4EA1">
      <w:pPr>
        <w:pStyle w:val="CM112"/>
        <w:spacing w:after="225" w:line="273" w:lineRule="atLeast"/>
        <w:rPr>
          <w:b/>
          <w:bCs/>
          <w:u w:val="single"/>
        </w:rPr>
      </w:pPr>
    </w:p>
    <w:p w14:paraId="435A47C3" w14:textId="116E880B" w:rsidR="004F5939" w:rsidRDefault="004F5939" w:rsidP="004F5939">
      <w:pPr>
        <w:pStyle w:val="CM112"/>
        <w:spacing w:after="225" w:line="273" w:lineRule="atLeast"/>
        <w:ind w:left="720"/>
        <w:rPr>
          <w:b/>
          <w:bCs/>
          <w:u w:val="single"/>
        </w:rPr>
      </w:pPr>
      <w:r>
        <w:rPr>
          <w:b/>
          <w:bCs/>
          <w:u w:val="single"/>
        </w:rPr>
        <w:t>2019 EE PORTFOLIO COST</w:t>
      </w:r>
      <w:r w:rsidR="00671083">
        <w:rPr>
          <w:b/>
          <w:bCs/>
          <w:u w:val="single"/>
        </w:rPr>
        <w:t>-</w:t>
      </w:r>
      <w:r>
        <w:rPr>
          <w:b/>
          <w:bCs/>
          <w:u w:val="single"/>
        </w:rPr>
        <w:t xml:space="preserve">EFFECTIVENESS </w:t>
      </w:r>
    </w:p>
    <w:p w14:paraId="797FDE5A" w14:textId="0295F82F" w:rsidR="004F5939" w:rsidRPr="003279D2" w:rsidRDefault="004F5939" w:rsidP="004F5939">
      <w:pPr>
        <w:ind w:left="720"/>
        <w:rPr>
          <w:rFonts w:ascii="Arial" w:eastAsia="Arial" w:hAnsi="Arial" w:cs="Arial"/>
          <w:i/>
        </w:rPr>
      </w:pPr>
      <w:r w:rsidRPr="008D4F1B">
        <w:rPr>
          <w:rFonts w:ascii="Arial" w:eastAsia="Arial" w:hAnsi="Arial" w:cs="Arial"/>
          <w:i/>
          <w:highlight w:val="yellow"/>
        </w:rPr>
        <w:t>SCE is still in the process of optimizing its Portfolio, as such, the tables below do not reflect its final 2019 Total Resource Cost (TRC) test and Program Administrator Cost (PAC) test</w:t>
      </w:r>
      <w:r w:rsidRPr="007C665B">
        <w:rPr>
          <w:rFonts w:ascii="Arial" w:eastAsia="Arial" w:hAnsi="Arial" w:cs="Arial"/>
          <w:i/>
        </w:rPr>
        <w:t>.</w:t>
      </w:r>
    </w:p>
    <w:p w14:paraId="39820CB8" w14:textId="77777777" w:rsidR="004F5939" w:rsidRDefault="004F5939" w:rsidP="004F5939">
      <w:pPr>
        <w:ind w:left="720"/>
        <w:rPr>
          <w:rFonts w:ascii="Arial" w:eastAsia="Arial" w:hAnsi="Arial" w:cs="Arial"/>
        </w:rPr>
      </w:pPr>
    </w:p>
    <w:p w14:paraId="77C8EB09" w14:textId="61019C41" w:rsidR="00F8057E" w:rsidRPr="004872A4" w:rsidRDefault="004F5939" w:rsidP="00F8057E">
      <w:pPr>
        <w:ind w:left="720"/>
        <w:rPr>
          <w:rFonts w:ascii="Arial" w:eastAsia="Arial" w:hAnsi="Arial" w:cs="Arial"/>
        </w:rPr>
      </w:pPr>
      <w:r w:rsidRPr="00B30B8E">
        <w:rPr>
          <w:rFonts w:ascii="Arial" w:eastAsia="Arial" w:hAnsi="Arial" w:cs="Arial"/>
        </w:rPr>
        <w:t xml:space="preserve">Tables X below provide the Total Resource Cost (TRC) test and Program Administrator Cost (PAC) test </w:t>
      </w:r>
      <w:r w:rsidR="00F8057E">
        <w:rPr>
          <w:rFonts w:ascii="Arial" w:eastAsia="Arial" w:hAnsi="Arial" w:cs="Arial"/>
        </w:rPr>
        <w:t xml:space="preserve">results </w:t>
      </w:r>
      <w:r w:rsidRPr="00B30B8E">
        <w:rPr>
          <w:rFonts w:ascii="Arial" w:eastAsia="Arial" w:hAnsi="Arial" w:cs="Arial"/>
        </w:rPr>
        <w:t>for its 2019 EE portfolio.</w:t>
      </w:r>
      <w:r w:rsidR="00F8057E">
        <w:rPr>
          <w:rFonts w:ascii="Arial" w:eastAsia="Arial" w:hAnsi="Arial" w:cs="Arial"/>
        </w:rPr>
        <w:t xml:space="preserve">  Such estimates exclude impacts from SCE’s </w:t>
      </w:r>
      <w:r w:rsidR="00F8057E" w:rsidRPr="00B30B8E">
        <w:rPr>
          <w:rFonts w:ascii="Arial" w:eastAsia="Arial" w:hAnsi="Arial" w:cs="Arial"/>
        </w:rPr>
        <w:t>Codes and Standards</w:t>
      </w:r>
      <w:r w:rsidR="00F8057E">
        <w:rPr>
          <w:rFonts w:ascii="Arial" w:eastAsia="Arial" w:hAnsi="Arial" w:cs="Arial"/>
        </w:rPr>
        <w:t xml:space="preserve"> programs</w:t>
      </w:r>
      <w:r w:rsidR="00F8057E" w:rsidRPr="00B30B8E">
        <w:rPr>
          <w:rFonts w:ascii="Arial" w:eastAsia="Arial" w:hAnsi="Arial" w:cs="Arial"/>
        </w:rPr>
        <w:t xml:space="preserve"> and Low Income Energy </w:t>
      </w:r>
      <w:r w:rsidR="00F8057E">
        <w:rPr>
          <w:rFonts w:ascii="Arial" w:eastAsia="Arial" w:hAnsi="Arial" w:cs="Arial"/>
        </w:rPr>
        <w:t xml:space="preserve">Efficiency program, </w:t>
      </w:r>
      <w:r w:rsidR="00F8057E" w:rsidRPr="00B30B8E">
        <w:rPr>
          <w:rFonts w:ascii="Arial" w:eastAsia="Arial" w:hAnsi="Arial" w:cs="Arial"/>
        </w:rPr>
        <w:t>Energy Savings Assistance.</w:t>
      </w:r>
    </w:p>
    <w:p w14:paraId="4D2EC995" w14:textId="61EDB86C" w:rsidR="004F5939" w:rsidRDefault="004F5939" w:rsidP="004F5939">
      <w:pPr>
        <w:ind w:left="720"/>
        <w:rPr>
          <w:rFonts w:ascii="Arial" w:eastAsia="Arial" w:hAnsi="Arial" w:cs="Arial"/>
        </w:rPr>
      </w:pPr>
    </w:p>
    <w:p w14:paraId="16F831B2" w14:textId="77777777" w:rsidR="004F5939" w:rsidRDefault="004F5939" w:rsidP="004F59AE">
      <w:pPr>
        <w:rPr>
          <w:rFonts w:ascii="Arial" w:eastAsia="Arial" w:hAnsi="Arial" w:cs="Arial"/>
        </w:rPr>
      </w:pPr>
    </w:p>
    <w:p w14:paraId="4A9747F7" w14:textId="77777777" w:rsidR="004F5939" w:rsidRPr="007C665B" w:rsidRDefault="004F5939">
      <w:pPr>
        <w:ind w:left="720"/>
        <w:rPr>
          <w:rFonts w:ascii="Arial" w:eastAsia="Arial" w:hAnsi="Arial" w:cs="Arial"/>
          <w:b/>
        </w:rPr>
      </w:pPr>
      <w:r w:rsidRPr="00E95B03">
        <w:rPr>
          <w:rFonts w:ascii="Arial" w:eastAsia="Arial" w:hAnsi="Arial" w:cs="Arial"/>
          <w:b/>
          <w:bCs/>
        </w:rPr>
        <w:t>Table X: 2019 EE Portfolio TRC and PAC</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2730"/>
      </w:tblGrid>
      <w:tr w:rsidR="004F5939" w:rsidRPr="004F5939" w14:paraId="67C965E4" w14:textId="77777777" w:rsidTr="641C5C5C">
        <w:trPr>
          <w:trHeight w:val="248"/>
        </w:trPr>
        <w:tc>
          <w:tcPr>
            <w:tcW w:w="1905" w:type="dxa"/>
            <w:shd w:val="clear" w:color="auto" w:fill="auto"/>
          </w:tcPr>
          <w:p w14:paraId="28B0A174" w14:textId="77777777" w:rsidR="004F5939" w:rsidRPr="004F5939" w:rsidRDefault="004F5939" w:rsidP="004F5939">
            <w:pPr>
              <w:rPr>
                <w:rFonts w:ascii="Arial" w:eastAsia="Arial" w:hAnsi="Arial" w:cs="Arial"/>
              </w:rPr>
            </w:pPr>
          </w:p>
        </w:tc>
        <w:tc>
          <w:tcPr>
            <w:tcW w:w="2730" w:type="dxa"/>
            <w:shd w:val="clear" w:color="auto" w:fill="auto"/>
          </w:tcPr>
          <w:p w14:paraId="1B2EA700" w14:textId="77777777" w:rsidR="004F5939" w:rsidRPr="004F59AE" w:rsidRDefault="004F5939">
            <w:pPr>
              <w:jc w:val="center"/>
              <w:rPr>
                <w:rFonts w:ascii="Arial" w:eastAsia="Arial" w:hAnsi="Arial" w:cs="Arial"/>
                <w:b/>
              </w:rPr>
            </w:pPr>
            <w:r w:rsidRPr="004F59AE">
              <w:rPr>
                <w:rFonts w:ascii="Arial" w:eastAsia="Arial" w:hAnsi="Arial" w:cs="Arial"/>
                <w:b/>
              </w:rPr>
              <w:t>2019 Forecast</w:t>
            </w:r>
          </w:p>
        </w:tc>
      </w:tr>
      <w:tr w:rsidR="004F5939" w:rsidRPr="004F5939" w14:paraId="0BFC680F" w14:textId="77777777" w:rsidTr="641C5C5C">
        <w:trPr>
          <w:trHeight w:val="264"/>
        </w:trPr>
        <w:tc>
          <w:tcPr>
            <w:tcW w:w="1905" w:type="dxa"/>
            <w:shd w:val="clear" w:color="auto" w:fill="auto"/>
          </w:tcPr>
          <w:p w14:paraId="3456D331" w14:textId="77777777" w:rsidR="004F5939" w:rsidRPr="004F5939" w:rsidRDefault="004F5939" w:rsidP="004F5939">
            <w:pPr>
              <w:rPr>
                <w:rFonts w:ascii="Arial" w:eastAsia="Arial" w:hAnsi="Arial" w:cs="Arial"/>
              </w:rPr>
            </w:pPr>
            <w:r w:rsidRPr="004F5939">
              <w:rPr>
                <w:rFonts w:ascii="Arial" w:eastAsia="Arial" w:hAnsi="Arial" w:cs="Arial"/>
              </w:rPr>
              <w:t>TRC</w:t>
            </w:r>
          </w:p>
        </w:tc>
        <w:tc>
          <w:tcPr>
            <w:tcW w:w="2730" w:type="dxa"/>
            <w:shd w:val="clear" w:color="auto" w:fill="auto"/>
          </w:tcPr>
          <w:p w14:paraId="01F0BFD8" w14:textId="77777777" w:rsidR="004F5939" w:rsidRPr="004F5939" w:rsidRDefault="004F5939" w:rsidP="004F5939">
            <w:pPr>
              <w:jc w:val="center"/>
              <w:rPr>
                <w:rFonts w:ascii="Arial" w:eastAsia="Arial" w:hAnsi="Arial" w:cs="Arial"/>
              </w:rPr>
            </w:pPr>
            <w:r w:rsidRPr="004F5939">
              <w:rPr>
                <w:rFonts w:ascii="Arial" w:eastAsia="Arial" w:hAnsi="Arial" w:cs="Arial"/>
              </w:rPr>
              <w:t>1.19</w:t>
            </w:r>
          </w:p>
        </w:tc>
      </w:tr>
      <w:tr w:rsidR="004F5939" w:rsidRPr="004F5939" w14:paraId="551ACDE3" w14:textId="77777777" w:rsidTr="641C5C5C">
        <w:trPr>
          <w:trHeight w:val="264"/>
        </w:trPr>
        <w:tc>
          <w:tcPr>
            <w:tcW w:w="1905" w:type="dxa"/>
            <w:shd w:val="clear" w:color="auto" w:fill="auto"/>
          </w:tcPr>
          <w:p w14:paraId="6D30CFD4" w14:textId="77777777" w:rsidR="004F5939" w:rsidRPr="004F5939" w:rsidRDefault="004F5939" w:rsidP="004F5939">
            <w:pPr>
              <w:rPr>
                <w:rFonts w:ascii="Arial" w:eastAsia="Arial" w:hAnsi="Arial" w:cs="Arial"/>
              </w:rPr>
            </w:pPr>
            <w:r w:rsidRPr="004F5939">
              <w:rPr>
                <w:rFonts w:ascii="Arial" w:eastAsia="Arial" w:hAnsi="Arial" w:cs="Arial"/>
              </w:rPr>
              <w:t>PAC</w:t>
            </w:r>
          </w:p>
        </w:tc>
        <w:tc>
          <w:tcPr>
            <w:tcW w:w="2730" w:type="dxa"/>
            <w:shd w:val="clear" w:color="auto" w:fill="auto"/>
          </w:tcPr>
          <w:p w14:paraId="04A1FAAF" w14:textId="3F1B4643" w:rsidR="004F5939" w:rsidRPr="004F5939" w:rsidRDefault="004F5939" w:rsidP="004F5939">
            <w:pPr>
              <w:jc w:val="center"/>
              <w:rPr>
                <w:rFonts w:ascii="Arial" w:eastAsia="Arial" w:hAnsi="Arial" w:cs="Arial"/>
              </w:rPr>
            </w:pPr>
            <w:r w:rsidRPr="004F5939">
              <w:rPr>
                <w:rFonts w:ascii="Arial" w:eastAsia="Arial" w:hAnsi="Arial" w:cs="Arial"/>
              </w:rPr>
              <w:t>1.4</w:t>
            </w:r>
            <w:r w:rsidR="00662657">
              <w:rPr>
                <w:rFonts w:ascii="Arial" w:eastAsia="Arial" w:hAnsi="Arial" w:cs="Arial"/>
              </w:rPr>
              <w:t>8</w:t>
            </w:r>
          </w:p>
        </w:tc>
      </w:tr>
    </w:tbl>
    <w:p w14:paraId="0952E78B" w14:textId="77777777" w:rsidR="004F5939" w:rsidRDefault="004F5939" w:rsidP="003A21DB">
      <w:pPr>
        <w:pStyle w:val="CM112"/>
        <w:spacing w:after="225" w:line="273" w:lineRule="atLeast"/>
        <w:ind w:left="720"/>
        <w:rPr>
          <w:b/>
          <w:bCs/>
          <w:u w:val="single"/>
        </w:rPr>
      </w:pPr>
    </w:p>
    <w:p w14:paraId="2BD44EB5" w14:textId="0712EAA9" w:rsidR="00967750" w:rsidRPr="00967750" w:rsidRDefault="00967750" w:rsidP="00967750">
      <w:pPr>
        <w:pStyle w:val="Default"/>
      </w:pPr>
    </w:p>
    <w:p w14:paraId="10D9411C" w14:textId="61BE9DBA" w:rsidR="00482F18" w:rsidRPr="007C665B" w:rsidRDefault="0007288C" w:rsidP="007C665B">
      <w:pPr>
        <w:pStyle w:val="CM112"/>
        <w:spacing w:after="225" w:line="273" w:lineRule="atLeast"/>
        <w:rPr>
          <w:rFonts w:eastAsia="Arial"/>
        </w:rPr>
      </w:pPr>
      <w:r>
        <w:rPr>
          <w:b/>
          <w:bCs/>
          <w:u w:val="single"/>
        </w:rPr>
        <w:t>P</w:t>
      </w:r>
      <w:r w:rsidR="00DE39C3">
        <w:rPr>
          <w:b/>
          <w:bCs/>
          <w:u w:val="single"/>
        </w:rPr>
        <w:t xml:space="preserve">ROPOSED PROGRAM AND PORTFOLIO CHANGES </w:t>
      </w:r>
    </w:p>
    <w:p w14:paraId="3B6FCE7D" w14:textId="4743BF7E" w:rsidR="00221107" w:rsidRDefault="00221107" w:rsidP="00221107">
      <w:pPr>
        <w:pStyle w:val="Default"/>
        <w:rPr>
          <w:rFonts w:ascii="Arial" w:eastAsia="Arial" w:hAnsi="Arial" w:cs="Arial"/>
        </w:rPr>
      </w:pPr>
      <w:r>
        <w:rPr>
          <w:rFonts w:ascii="Arial" w:eastAsia="Arial" w:hAnsi="Arial" w:cs="Arial"/>
        </w:rPr>
        <w:t xml:space="preserve">SCE’s primary focus in the development of its 2019 proposed portfolio and budget is cost-effectiveness.  SCE’s proposed portfolio is designed to maximize cost-effectiveness while also managing towards other Commission metrics and preparing to meet a </w:t>
      </w:r>
      <w:r w:rsidR="00604CB1">
        <w:rPr>
          <w:rFonts w:ascii="Arial" w:eastAsia="Arial" w:hAnsi="Arial" w:cs="Arial"/>
        </w:rPr>
        <w:t xml:space="preserve">minimum forecasted </w:t>
      </w:r>
      <w:r>
        <w:rPr>
          <w:rFonts w:ascii="Arial" w:eastAsia="Arial" w:hAnsi="Arial" w:cs="Arial"/>
        </w:rPr>
        <w:t xml:space="preserve">cost benefit ratio of 1.25 beginning in </w:t>
      </w:r>
      <w:r w:rsidR="004F7BB9">
        <w:rPr>
          <w:rFonts w:ascii="Arial" w:eastAsia="Arial" w:hAnsi="Arial" w:cs="Arial"/>
        </w:rPr>
        <w:t>2023</w:t>
      </w:r>
      <w:r>
        <w:rPr>
          <w:rFonts w:ascii="Arial" w:eastAsia="Arial" w:hAnsi="Arial" w:cs="Arial"/>
        </w:rPr>
        <w:t xml:space="preserve">.  SCE’s proposed portfolio budget of </w:t>
      </w:r>
      <w:r w:rsidRPr="00910499">
        <w:rPr>
          <w:rFonts w:ascii="Arial" w:eastAsia="Arial" w:hAnsi="Arial" w:cs="Arial"/>
          <w:bCs/>
          <w:highlight w:val="yellow"/>
        </w:rPr>
        <w:t>$X</w:t>
      </w:r>
      <w:r>
        <w:rPr>
          <w:rFonts w:ascii="Arial" w:eastAsia="Arial" w:hAnsi="Arial" w:cs="Arial"/>
        </w:rPr>
        <w:t xml:space="preserve"> is significantly lower than its </w:t>
      </w:r>
      <w:r w:rsidR="00312365">
        <w:rPr>
          <w:rFonts w:ascii="Arial" w:eastAsia="Arial" w:hAnsi="Arial" w:cs="Arial"/>
        </w:rPr>
        <w:t xml:space="preserve">most recently </w:t>
      </w:r>
      <w:r>
        <w:rPr>
          <w:rFonts w:ascii="Arial" w:eastAsia="Arial" w:hAnsi="Arial" w:cs="Arial"/>
        </w:rPr>
        <w:t>approved budget of $333m</w:t>
      </w:r>
      <w:r w:rsidR="00312365">
        <w:rPr>
          <w:rFonts w:ascii="Arial" w:eastAsia="Arial" w:hAnsi="Arial" w:cs="Arial"/>
        </w:rPr>
        <w:t xml:space="preserve"> for 2017</w:t>
      </w:r>
      <w:r>
        <w:rPr>
          <w:rFonts w:ascii="Arial" w:eastAsia="Arial" w:hAnsi="Arial" w:cs="Arial"/>
        </w:rPr>
        <w:t xml:space="preserve">. </w:t>
      </w:r>
      <w:r w:rsidR="00EF204E">
        <w:rPr>
          <w:rFonts w:ascii="Arial" w:eastAsia="Arial" w:hAnsi="Arial" w:cs="Arial"/>
        </w:rPr>
        <w:t xml:space="preserve">Per D.18-05-041, SCE’s 2018 Budget Advice Letter budget request </w:t>
      </w:r>
      <w:r w:rsidR="00164DAB">
        <w:rPr>
          <w:rFonts w:ascii="Arial" w:eastAsia="Arial" w:hAnsi="Arial" w:cs="Arial"/>
        </w:rPr>
        <w:t>of $</w:t>
      </w:r>
      <w:r w:rsidR="00662657">
        <w:rPr>
          <w:rFonts w:ascii="Arial" w:eastAsia="Arial" w:hAnsi="Arial" w:cs="Arial"/>
        </w:rPr>
        <w:t>299.6 million</w:t>
      </w:r>
      <w:r w:rsidR="00164DAB">
        <w:rPr>
          <w:rFonts w:ascii="Arial" w:eastAsia="Arial" w:hAnsi="Arial" w:cs="Arial"/>
        </w:rPr>
        <w:t xml:space="preserve"> was not approved.</w:t>
      </w:r>
      <w:r>
        <w:rPr>
          <w:rFonts w:ascii="Arial" w:eastAsia="Arial" w:hAnsi="Arial" w:cs="Arial"/>
        </w:rPr>
        <w:t xml:space="preserve"> To help meet the Commission’s goals for energy efficiency, SCE is proposing to reduce its non-resource program portfolio, eliminate low-performing programs, and </w:t>
      </w:r>
      <w:r w:rsidR="003D6F58">
        <w:rPr>
          <w:rFonts w:ascii="Arial" w:eastAsia="Arial" w:hAnsi="Arial" w:cs="Arial"/>
        </w:rPr>
        <w:t>maximize savings from cost-effective programs and measures</w:t>
      </w:r>
      <w:r>
        <w:rPr>
          <w:rFonts w:ascii="Arial" w:eastAsia="Arial" w:hAnsi="Arial" w:cs="Arial"/>
        </w:rPr>
        <w:t>.</w:t>
      </w:r>
    </w:p>
    <w:p w14:paraId="1CB352C4" w14:textId="77777777" w:rsidR="00221107" w:rsidRDefault="00221107" w:rsidP="00482F18">
      <w:pPr>
        <w:pStyle w:val="Default"/>
        <w:rPr>
          <w:rFonts w:ascii="Arial" w:eastAsia="Arial" w:hAnsi="Arial" w:cs="Arial"/>
          <w:color w:val="auto"/>
        </w:rPr>
      </w:pPr>
    </w:p>
    <w:p w14:paraId="523C5A3B" w14:textId="0CFCD179" w:rsidR="00482F18" w:rsidRPr="00D15B86" w:rsidRDefault="000C6104" w:rsidP="00482F18">
      <w:pPr>
        <w:pStyle w:val="Default"/>
        <w:rPr>
          <w:rFonts w:ascii="Arial" w:eastAsia="Arial" w:hAnsi="Arial" w:cs="Arial"/>
        </w:rPr>
      </w:pPr>
      <w:r>
        <w:rPr>
          <w:rFonts w:ascii="Arial" w:eastAsia="Arial" w:hAnsi="Arial" w:cs="Arial"/>
          <w:color w:val="auto"/>
        </w:rPr>
        <w:t xml:space="preserve">Second, </w:t>
      </w:r>
      <w:r w:rsidR="00482F18">
        <w:rPr>
          <w:rFonts w:ascii="Arial" w:eastAsia="Arial" w:hAnsi="Arial" w:cs="Arial"/>
          <w:color w:val="auto"/>
        </w:rPr>
        <w:t xml:space="preserve">SCE is working towards the implementation of </w:t>
      </w:r>
      <w:r w:rsidR="00482F18" w:rsidRPr="009A3208">
        <w:rPr>
          <w:rFonts w:ascii="Arial" w:eastAsia="Arial" w:hAnsi="Arial" w:cs="Arial"/>
          <w:color w:val="auto"/>
        </w:rPr>
        <w:t>third</w:t>
      </w:r>
      <w:r w:rsidR="00164DAB">
        <w:rPr>
          <w:rFonts w:ascii="Arial" w:eastAsia="Arial" w:hAnsi="Arial" w:cs="Arial"/>
          <w:color w:val="auto"/>
        </w:rPr>
        <w:t>-</w:t>
      </w:r>
      <w:r w:rsidR="00482F18" w:rsidRPr="009A3208">
        <w:rPr>
          <w:rFonts w:ascii="Arial" w:eastAsia="Arial" w:hAnsi="Arial" w:cs="Arial"/>
          <w:color w:val="auto"/>
        </w:rPr>
        <w:t xml:space="preserve">party </w:t>
      </w:r>
      <w:r w:rsidR="00C14253">
        <w:rPr>
          <w:rFonts w:ascii="Arial" w:eastAsia="Arial" w:hAnsi="Arial" w:cs="Arial"/>
          <w:color w:val="auto"/>
        </w:rPr>
        <w:t xml:space="preserve">proposed, </w:t>
      </w:r>
      <w:r w:rsidR="00482F18" w:rsidRPr="009A3208">
        <w:rPr>
          <w:rFonts w:ascii="Arial" w:eastAsia="Arial" w:hAnsi="Arial" w:cs="Arial"/>
          <w:color w:val="auto"/>
        </w:rPr>
        <w:t>designed</w:t>
      </w:r>
      <w:r w:rsidR="00C14253">
        <w:rPr>
          <w:rFonts w:ascii="Arial" w:eastAsia="Arial" w:hAnsi="Arial" w:cs="Arial"/>
          <w:color w:val="auto"/>
        </w:rPr>
        <w:t>,</w:t>
      </w:r>
      <w:r w:rsidR="00482F18" w:rsidRPr="009A3208">
        <w:rPr>
          <w:rFonts w:ascii="Arial" w:eastAsia="Arial" w:hAnsi="Arial" w:cs="Arial"/>
          <w:color w:val="auto"/>
        </w:rPr>
        <w:t xml:space="preserve"> and implemented programs as directed in D.18-01-004</w:t>
      </w:r>
      <w:r w:rsidR="00482F18">
        <w:rPr>
          <w:rFonts w:ascii="Arial" w:eastAsia="Arial" w:hAnsi="Arial" w:cs="Arial"/>
          <w:color w:val="auto"/>
        </w:rPr>
        <w:t>, including third</w:t>
      </w:r>
      <w:r w:rsidR="00164DAB">
        <w:rPr>
          <w:rFonts w:ascii="Arial" w:eastAsia="Arial" w:hAnsi="Arial" w:cs="Arial"/>
          <w:color w:val="auto"/>
        </w:rPr>
        <w:t>-</w:t>
      </w:r>
      <w:r w:rsidR="00482F18">
        <w:rPr>
          <w:rFonts w:ascii="Arial" w:eastAsia="Arial" w:hAnsi="Arial" w:cs="Arial"/>
          <w:color w:val="auto"/>
        </w:rPr>
        <w:t>party delivered statewide programs.  Solicitations are scheduled to begin in late 2018 for program implementation as early as 2019</w:t>
      </w:r>
      <w:r w:rsidR="00482F18" w:rsidRPr="009A3208">
        <w:rPr>
          <w:rFonts w:ascii="Arial" w:eastAsia="Arial" w:hAnsi="Arial" w:cs="Arial"/>
          <w:color w:val="auto"/>
        </w:rPr>
        <w:t xml:space="preserve">. </w:t>
      </w:r>
      <w:r w:rsidR="00482F18">
        <w:rPr>
          <w:rFonts w:ascii="Arial" w:eastAsia="Arial" w:hAnsi="Arial" w:cs="Arial"/>
          <w:color w:val="auto"/>
        </w:rPr>
        <w:t xml:space="preserve"> </w:t>
      </w:r>
      <w:r w:rsidR="00482F18" w:rsidRPr="009A3208">
        <w:rPr>
          <w:rFonts w:ascii="Arial" w:eastAsia="Arial" w:hAnsi="Arial" w:cs="Arial"/>
          <w:color w:val="auto"/>
        </w:rPr>
        <w:t>To prepare for the implementation of new third-party designed and delivered programs by year-end 2019, SCE</w:t>
      </w:r>
      <w:r w:rsidR="00482F18">
        <w:rPr>
          <w:rFonts w:ascii="Arial" w:eastAsia="Arial" w:hAnsi="Arial" w:cs="Arial"/>
          <w:color w:val="auto"/>
        </w:rPr>
        <w:t xml:space="preserve">’s 2019 budget </w:t>
      </w:r>
      <w:r w:rsidR="00482F18" w:rsidRPr="009A3208">
        <w:rPr>
          <w:rFonts w:ascii="Arial" w:eastAsia="Arial" w:hAnsi="Arial" w:cs="Arial"/>
          <w:color w:val="auto"/>
        </w:rPr>
        <w:t xml:space="preserve">accounts for </w:t>
      </w:r>
      <w:r w:rsidR="00482F18">
        <w:rPr>
          <w:rFonts w:ascii="Arial" w:eastAsia="Arial" w:hAnsi="Arial" w:cs="Arial"/>
          <w:color w:val="auto"/>
        </w:rPr>
        <w:t xml:space="preserve">ramp-up funding for </w:t>
      </w:r>
      <w:r w:rsidR="00482F18" w:rsidRPr="009A3208">
        <w:rPr>
          <w:rFonts w:ascii="Arial" w:eastAsia="Arial" w:hAnsi="Arial" w:cs="Arial"/>
          <w:color w:val="auto"/>
        </w:rPr>
        <w:t>new programs in 2019</w:t>
      </w:r>
      <w:r w:rsidR="00482F18">
        <w:rPr>
          <w:rFonts w:ascii="Arial" w:eastAsia="Arial" w:hAnsi="Arial" w:cs="Arial"/>
          <w:color w:val="auto"/>
        </w:rPr>
        <w:t xml:space="preserve">.  In addition, </w:t>
      </w:r>
      <w:r w:rsidR="00C37042">
        <w:rPr>
          <w:rFonts w:ascii="Arial" w:eastAsia="Arial" w:hAnsi="Arial" w:cs="Arial"/>
          <w:color w:val="auto"/>
        </w:rPr>
        <w:t xml:space="preserve">SCE has </w:t>
      </w:r>
      <w:r w:rsidR="00482F18">
        <w:rPr>
          <w:rFonts w:ascii="Arial" w:eastAsia="Arial" w:hAnsi="Arial" w:cs="Arial"/>
          <w:color w:val="auto"/>
        </w:rPr>
        <w:t xml:space="preserve">budgeted funds for </w:t>
      </w:r>
      <w:r w:rsidR="00482F18" w:rsidRPr="009A3208">
        <w:rPr>
          <w:rFonts w:ascii="Arial" w:eastAsia="Arial" w:hAnsi="Arial" w:cs="Arial"/>
          <w:color w:val="auto"/>
        </w:rPr>
        <w:t>the continued implementation of third-party energy efficiency program and</w:t>
      </w:r>
      <w:r w:rsidR="00482F18">
        <w:rPr>
          <w:rFonts w:ascii="Arial" w:eastAsia="Arial" w:hAnsi="Arial" w:cs="Arial"/>
          <w:color w:val="auto"/>
        </w:rPr>
        <w:t xml:space="preserve"> projects from </w:t>
      </w:r>
      <w:r w:rsidR="00482F18">
        <w:rPr>
          <w:rFonts w:ascii="Arial" w:eastAsia="Arial" w:hAnsi="Arial" w:cs="Arial"/>
          <w:color w:val="auto"/>
        </w:rPr>
        <w:lastRenderedPageBreak/>
        <w:t>previous years</w:t>
      </w:r>
      <w:r w:rsidR="00482F18" w:rsidRPr="009A3208">
        <w:rPr>
          <w:rFonts w:ascii="Arial" w:eastAsia="Arial" w:hAnsi="Arial" w:cs="Arial"/>
          <w:color w:val="auto"/>
        </w:rPr>
        <w:t>.</w:t>
      </w:r>
      <w:r w:rsidR="00D331AB">
        <w:rPr>
          <w:rFonts w:ascii="Arial" w:eastAsia="Arial" w:hAnsi="Arial" w:cs="Arial"/>
          <w:color w:val="auto"/>
        </w:rPr>
        <w:t xml:space="preserve"> SCE also increased its investment in its Emerging Technologies Program.</w:t>
      </w:r>
    </w:p>
    <w:p w14:paraId="15F67DEA" w14:textId="77777777" w:rsidR="00482F18" w:rsidRDefault="00482F18" w:rsidP="00DF74C6">
      <w:pPr>
        <w:pStyle w:val="Default"/>
        <w:rPr>
          <w:rFonts w:ascii="Arial" w:eastAsia="Arial" w:hAnsi="Arial" w:cs="Arial"/>
          <w:color w:val="auto"/>
        </w:rPr>
      </w:pPr>
    </w:p>
    <w:p w14:paraId="3A0150B9" w14:textId="59FCD071" w:rsidR="002675D2" w:rsidRDefault="00482F18" w:rsidP="00640325">
      <w:pPr>
        <w:pStyle w:val="Default"/>
        <w:rPr>
          <w:rFonts w:ascii="Arial" w:eastAsia="Arial" w:hAnsi="Arial" w:cs="Arial"/>
        </w:rPr>
      </w:pPr>
      <w:r>
        <w:rPr>
          <w:rFonts w:ascii="Arial" w:eastAsia="Arial" w:hAnsi="Arial" w:cs="Arial"/>
          <w:color w:val="auto"/>
        </w:rPr>
        <w:t xml:space="preserve">Finally, </w:t>
      </w:r>
      <w:r w:rsidR="00C37042">
        <w:rPr>
          <w:rFonts w:ascii="Arial" w:eastAsia="Arial" w:hAnsi="Arial" w:cs="Arial"/>
          <w:color w:val="auto"/>
        </w:rPr>
        <w:t xml:space="preserve">SCE reduced its administrative costs by </w:t>
      </w:r>
      <w:r w:rsidR="0001301F">
        <w:rPr>
          <w:rFonts w:ascii="Arial" w:eastAsia="Arial" w:hAnsi="Arial" w:cs="Arial"/>
          <w:color w:val="auto"/>
        </w:rPr>
        <w:t>over 40 percent</w:t>
      </w:r>
      <w:r w:rsidR="00DF74C6">
        <w:rPr>
          <w:rFonts w:ascii="Arial" w:eastAsia="Arial" w:hAnsi="Arial" w:cs="Arial"/>
          <w:color w:val="auto"/>
        </w:rPr>
        <w:t xml:space="preserve"> from its </w:t>
      </w:r>
      <w:r w:rsidR="00DF74C6" w:rsidRPr="002675D2">
        <w:rPr>
          <w:rFonts w:ascii="Arial" w:eastAsia="Arial" w:hAnsi="Arial" w:cs="Arial"/>
          <w:color w:val="auto"/>
          <w:highlight w:val="yellow"/>
        </w:rPr>
        <w:t>2018</w:t>
      </w:r>
      <w:r w:rsidR="00DF74C6">
        <w:rPr>
          <w:rFonts w:ascii="Arial" w:eastAsia="Arial" w:hAnsi="Arial" w:cs="Arial"/>
          <w:color w:val="auto"/>
        </w:rPr>
        <w:t xml:space="preserve"> budgets</w:t>
      </w:r>
      <w:r w:rsidR="0034674A">
        <w:rPr>
          <w:rFonts w:ascii="Arial" w:eastAsia="Arial" w:hAnsi="Arial" w:cs="Arial"/>
          <w:color w:val="auto"/>
        </w:rPr>
        <w:t>.</w:t>
      </w:r>
      <w:r w:rsidR="0034674A" w:rsidDel="00DF74C6">
        <w:rPr>
          <w:rFonts w:ascii="Arial" w:eastAsia="Arial" w:hAnsi="Arial" w:cs="Arial"/>
          <w:color w:val="auto"/>
        </w:rPr>
        <w:t xml:space="preserve"> </w:t>
      </w:r>
      <w:r w:rsidR="0034674A">
        <w:rPr>
          <w:rFonts w:ascii="Arial" w:eastAsia="Arial" w:hAnsi="Arial" w:cs="Arial"/>
        </w:rPr>
        <w:t xml:space="preserve">In order to maintain a cost-effective portfolio, SCE is committed to managing its administrative and other </w:t>
      </w:r>
      <w:r w:rsidR="00BA45F3">
        <w:rPr>
          <w:rFonts w:ascii="Arial" w:eastAsia="Arial" w:hAnsi="Arial" w:cs="Arial"/>
        </w:rPr>
        <w:t xml:space="preserve">non-resource-related </w:t>
      </w:r>
      <w:r w:rsidR="0034674A">
        <w:rPr>
          <w:rFonts w:ascii="Arial" w:eastAsia="Arial" w:hAnsi="Arial" w:cs="Arial"/>
        </w:rPr>
        <w:t xml:space="preserve">costs while making sure there is appropriate oversight of its portfolio during and after the transition to </w:t>
      </w:r>
      <w:r w:rsidR="00C61E3A">
        <w:rPr>
          <w:rFonts w:ascii="Arial" w:eastAsia="Arial" w:hAnsi="Arial" w:cs="Arial"/>
        </w:rPr>
        <w:t>the</w:t>
      </w:r>
      <w:r w:rsidR="0034674A">
        <w:rPr>
          <w:rFonts w:ascii="Arial" w:eastAsia="Arial" w:hAnsi="Arial" w:cs="Arial"/>
        </w:rPr>
        <w:t xml:space="preserve"> new energy efficiency </w:t>
      </w:r>
      <w:r w:rsidR="00C61E3A">
        <w:rPr>
          <w:rFonts w:ascii="Arial" w:eastAsia="Arial" w:hAnsi="Arial" w:cs="Arial"/>
        </w:rPr>
        <w:t>model</w:t>
      </w:r>
      <w:r w:rsidR="0034674A">
        <w:rPr>
          <w:rFonts w:ascii="Arial" w:eastAsia="Arial" w:hAnsi="Arial" w:cs="Arial"/>
        </w:rPr>
        <w:t>.</w:t>
      </w:r>
    </w:p>
    <w:p w14:paraId="545E5BEB" w14:textId="17516AE5" w:rsidR="00D65117" w:rsidRDefault="00D65117" w:rsidP="00260F48">
      <w:pPr>
        <w:pStyle w:val="Default"/>
        <w:rPr>
          <w:rFonts w:ascii="Arial" w:eastAsia="Arial" w:hAnsi="Arial" w:cs="Arial"/>
        </w:rPr>
      </w:pPr>
    </w:p>
    <w:p w14:paraId="2BE26A33" w14:textId="02A027C5" w:rsidR="00975D52" w:rsidRPr="007F3ECC" w:rsidRDefault="00975D52" w:rsidP="00975D52">
      <w:pPr>
        <w:pStyle w:val="CM112"/>
        <w:spacing w:after="225" w:line="273" w:lineRule="atLeast"/>
        <w:ind w:left="720"/>
        <w:rPr>
          <w:b/>
          <w:bCs/>
          <w:u w:val="single"/>
        </w:rPr>
      </w:pPr>
      <w:r w:rsidRPr="0063733D">
        <w:rPr>
          <w:b/>
          <w:bCs/>
          <w:u w:val="single"/>
        </w:rPr>
        <w:t>Program and</w:t>
      </w:r>
      <w:r w:rsidRPr="641C5C5C">
        <w:rPr>
          <w:rFonts w:eastAsia="Arial"/>
          <w:u w:val="single"/>
        </w:rPr>
        <w:t xml:space="preserve"> </w:t>
      </w:r>
      <w:r>
        <w:rPr>
          <w:b/>
          <w:bCs/>
          <w:u w:val="single"/>
        </w:rPr>
        <w:t>Sub-</w:t>
      </w:r>
      <w:r w:rsidRPr="7FBA53CB">
        <w:rPr>
          <w:b/>
          <w:bCs/>
          <w:u w:val="single"/>
        </w:rPr>
        <w:t>Program Cancellation</w:t>
      </w:r>
    </w:p>
    <w:p w14:paraId="598D287A" w14:textId="77777777" w:rsidR="007207A2" w:rsidRDefault="00221107" w:rsidP="00221107">
      <w:pPr>
        <w:pStyle w:val="Default"/>
        <w:ind w:left="720"/>
        <w:rPr>
          <w:rFonts w:ascii="Arial" w:eastAsia="Arial" w:hAnsi="Arial" w:cs="Arial"/>
        </w:rPr>
      </w:pPr>
      <w:r w:rsidRPr="1EF028A6">
        <w:rPr>
          <w:rFonts w:ascii="Arial" w:eastAsia="Arial" w:hAnsi="Arial" w:cs="Arial"/>
        </w:rPr>
        <w:t xml:space="preserve">SCE </w:t>
      </w:r>
      <w:r>
        <w:rPr>
          <w:rFonts w:ascii="Arial" w:eastAsia="Arial" w:hAnsi="Arial" w:cs="Arial"/>
        </w:rPr>
        <w:t>is requesting</w:t>
      </w:r>
      <w:r w:rsidRPr="1EF028A6">
        <w:rPr>
          <w:rFonts w:ascii="Arial" w:eastAsia="Arial" w:hAnsi="Arial" w:cs="Arial"/>
        </w:rPr>
        <w:t xml:space="preserve"> to discontinue programs that are not cost-effective</w:t>
      </w:r>
      <w:r>
        <w:rPr>
          <w:rFonts w:ascii="Arial" w:eastAsia="Arial" w:hAnsi="Arial" w:cs="Arial"/>
        </w:rPr>
        <w:t xml:space="preserve"> as listed below and for reasons discussed in Attachment </w:t>
      </w:r>
      <w:r w:rsidRPr="00105BDE">
        <w:rPr>
          <w:rFonts w:ascii="Arial" w:eastAsia="Arial" w:hAnsi="Arial" w:cs="Arial"/>
          <w:highlight w:val="yellow"/>
        </w:rPr>
        <w:t>XX</w:t>
      </w:r>
      <w:r w:rsidRPr="1EF028A6">
        <w:rPr>
          <w:rFonts w:ascii="Arial" w:eastAsia="Arial" w:hAnsi="Arial" w:cs="Arial"/>
        </w:rPr>
        <w:t>.</w:t>
      </w:r>
    </w:p>
    <w:p w14:paraId="106BA436" w14:textId="77777777" w:rsidR="007207A2" w:rsidRDefault="007207A2" w:rsidP="00221107">
      <w:pPr>
        <w:pStyle w:val="Default"/>
        <w:ind w:left="720"/>
        <w:rPr>
          <w:rFonts w:ascii="Arial" w:eastAsia="Arial" w:hAnsi="Arial" w:cs="Arial"/>
        </w:rPr>
      </w:pPr>
    </w:p>
    <w:p w14:paraId="0C87646B" w14:textId="1B228393" w:rsidR="007207A2" w:rsidRPr="004F59AE" w:rsidRDefault="007207A2" w:rsidP="004F59AE">
      <w:pPr>
        <w:pStyle w:val="Default"/>
        <w:ind w:left="720"/>
        <w:rPr>
          <w:rFonts w:ascii="Arial" w:eastAsia="Arial" w:hAnsi="Arial" w:cs="Arial"/>
        </w:rPr>
      </w:pPr>
      <w:r>
        <w:rPr>
          <w:rFonts w:ascii="Arial" w:eastAsia="Arial" w:hAnsi="Arial" w:cs="Arial"/>
        </w:rPr>
        <w:t>SCE is proposing to eliminate certain Workforce Education and Training (WE&amp;T) program and sub-programs to improve the overall cost-effectiveness of its energy efficiency portfolio.  Pursuant to current Commission requirements on portfolio cost-effectiveness, the WE&amp;T programs provide no claimable resource value due to the inability to directly link the results to energy efficiency resource impacts and, as such, can only be included as a “cost” in the TRC and PAC cost-effectiveness calculations.  SCE recommends the Commission consider removing the costs of WE&amp;T programs from the cost-effectiveness evaluations.  Such a removal would be similar to the treatment of the Emerging Technology Program budgets, whose removal was approved in Decision D.05-04-051.</w:t>
      </w:r>
      <w:r>
        <w:rPr>
          <w:rStyle w:val="FootnoteReference"/>
          <w:rFonts w:ascii="Arial" w:eastAsia="Arial" w:hAnsi="Arial" w:cs="Arial"/>
        </w:rPr>
        <w:footnoteReference w:id="4"/>
      </w:r>
      <w:r>
        <w:rPr>
          <w:rFonts w:ascii="Arial" w:eastAsia="Arial" w:hAnsi="Arial" w:cs="Arial"/>
        </w:rPr>
        <w:t xml:space="preserve">  In that Decision, in reference to Emerging Technology Program budgets, the Commission stated “</w:t>
      </w:r>
      <w:r w:rsidRPr="00D331AB">
        <w:rPr>
          <w:rFonts w:ascii="Arial" w:eastAsia="Arial" w:hAnsi="Arial" w:cs="Arial"/>
        </w:rPr>
        <w:t>The usefulness of the TRC test as a primary indicator of cost-effectiveness is limited for certain programs which do not necessarily focus on the timing or type of resource needs of the utility</w:t>
      </w:r>
      <w:r>
        <w:rPr>
          <w:rFonts w:ascii="Arial" w:eastAsia="Arial" w:hAnsi="Arial" w:cs="Arial"/>
        </w:rPr>
        <w:t>”</w:t>
      </w:r>
      <w:r>
        <w:rPr>
          <w:rStyle w:val="FootnoteReference"/>
          <w:rFonts w:ascii="Arial" w:eastAsia="Arial" w:hAnsi="Arial" w:cs="Arial"/>
        </w:rPr>
        <w:footnoteReference w:id="5"/>
      </w:r>
      <w:r>
        <w:rPr>
          <w:rFonts w:ascii="Arial" w:eastAsia="Arial" w:hAnsi="Arial" w:cs="Arial"/>
        </w:rPr>
        <w:t xml:space="preserve">  If the Commission adopts SCE’s recommendation, SCE will continue the WE&amp;T programs and will require an additional $</w:t>
      </w:r>
      <w:r w:rsidRPr="004F59AE">
        <w:rPr>
          <w:rFonts w:ascii="Arial" w:eastAsia="Arial" w:hAnsi="Arial" w:cs="Arial"/>
          <w:highlight w:val="yellow"/>
        </w:rPr>
        <w:t>X</w:t>
      </w:r>
      <w:r>
        <w:rPr>
          <w:rFonts w:ascii="Arial" w:eastAsia="Arial" w:hAnsi="Arial" w:cs="Arial"/>
        </w:rPr>
        <w:t xml:space="preserve"> million in its proposed budget.</w:t>
      </w:r>
    </w:p>
    <w:p w14:paraId="4E1939E9" w14:textId="1756B52D" w:rsidR="00221107" w:rsidRDefault="00221107" w:rsidP="00221107">
      <w:pPr>
        <w:pStyle w:val="Default"/>
        <w:ind w:left="720"/>
        <w:rPr>
          <w:rFonts w:ascii="Arial" w:eastAsia="Arial" w:hAnsi="Arial" w:cs="Arial"/>
        </w:rPr>
      </w:pPr>
      <w:r w:rsidRPr="1EF028A6">
        <w:rPr>
          <w:rFonts w:ascii="Arial" w:eastAsia="Arial" w:hAnsi="Arial" w:cs="Arial"/>
        </w:rPr>
        <w:t xml:space="preserve">  </w:t>
      </w:r>
    </w:p>
    <w:p w14:paraId="38CF8519" w14:textId="77777777" w:rsidR="00221107" w:rsidRDefault="00221107" w:rsidP="004F59AE">
      <w:pPr>
        <w:pStyle w:val="Default"/>
        <w:rPr>
          <w:rFonts w:ascii="Arial" w:eastAsia="Arial" w:hAnsi="Arial" w:cs="Arial"/>
        </w:rPr>
      </w:pPr>
    </w:p>
    <w:p w14:paraId="0C31E7AD" w14:textId="77777777" w:rsidR="00221107" w:rsidRDefault="00221107" w:rsidP="00221107">
      <w:pPr>
        <w:ind w:firstLine="720"/>
        <w:rPr>
          <w:rFonts w:ascii="Arial" w:eastAsia="Arial" w:hAnsi="Arial" w:cs="Arial"/>
        </w:rPr>
      </w:pPr>
      <w:r>
        <w:rPr>
          <w:rFonts w:ascii="Arial" w:eastAsia="Arial" w:hAnsi="Arial" w:cs="Arial"/>
        </w:rPr>
        <w:t>Program and Subprograms to be discontinued</w:t>
      </w:r>
    </w:p>
    <w:p w14:paraId="63EAF6C3" w14:textId="2025771F" w:rsidR="00A64A3B" w:rsidRPr="00BF3E17" w:rsidRDefault="00221107" w:rsidP="00221107">
      <w:pPr>
        <w:numPr>
          <w:ilvl w:val="0"/>
          <w:numId w:val="1"/>
        </w:numPr>
        <w:ind w:left="1440"/>
        <w:rPr>
          <w:rFonts w:ascii="Arial" w:eastAsia="Arial" w:hAnsi="Arial" w:cs="Arial"/>
        </w:rPr>
      </w:pPr>
      <w:r w:rsidRPr="00BF3E17">
        <w:rPr>
          <w:rFonts w:ascii="Arial" w:eastAsia="Arial" w:hAnsi="Arial" w:cs="Arial"/>
        </w:rPr>
        <w:t>Energy Upgrade California</w:t>
      </w:r>
    </w:p>
    <w:p w14:paraId="6134B64F" w14:textId="77777777" w:rsidR="006F0216" w:rsidRPr="00347C85" w:rsidRDefault="006F0216" w:rsidP="002101BF">
      <w:pPr>
        <w:numPr>
          <w:ilvl w:val="0"/>
          <w:numId w:val="1"/>
        </w:numPr>
        <w:ind w:left="1440"/>
        <w:rPr>
          <w:rFonts w:ascii="Arial" w:eastAsia="Arial" w:hAnsi="Arial" w:cs="Arial"/>
        </w:rPr>
      </w:pPr>
      <w:r w:rsidRPr="006F0216">
        <w:rPr>
          <w:rFonts w:ascii="Arial" w:eastAsia="Arial" w:hAnsi="Arial" w:cs="Arial"/>
        </w:rPr>
        <w:t>IDEEA365 Program</w:t>
      </w:r>
    </w:p>
    <w:p w14:paraId="3E42E5FE" w14:textId="77777777" w:rsidR="006F0216" w:rsidRPr="00347C85" w:rsidRDefault="006F0216" w:rsidP="002101BF">
      <w:pPr>
        <w:numPr>
          <w:ilvl w:val="0"/>
          <w:numId w:val="1"/>
        </w:numPr>
        <w:ind w:left="1440"/>
        <w:rPr>
          <w:rFonts w:ascii="Arial" w:eastAsia="Arial" w:hAnsi="Arial" w:cs="Arial"/>
        </w:rPr>
      </w:pPr>
      <w:r w:rsidRPr="006F0216">
        <w:rPr>
          <w:rFonts w:ascii="Arial" w:eastAsia="Arial" w:hAnsi="Arial" w:cs="Arial"/>
        </w:rPr>
        <w:t xml:space="preserve">Cool Planet </w:t>
      </w:r>
    </w:p>
    <w:p w14:paraId="277E0D54" w14:textId="77777777" w:rsidR="006F0216" w:rsidRPr="007C665B" w:rsidRDefault="006F0216" w:rsidP="004F59AE">
      <w:pPr>
        <w:numPr>
          <w:ilvl w:val="0"/>
          <w:numId w:val="1"/>
        </w:numPr>
        <w:ind w:left="1440"/>
        <w:rPr>
          <w:rFonts w:ascii="Arial" w:eastAsia="Arial" w:hAnsi="Arial" w:cs="Arial"/>
        </w:rPr>
      </w:pPr>
      <w:r w:rsidRPr="006F0216">
        <w:rPr>
          <w:rFonts w:ascii="Arial" w:eastAsia="Arial" w:hAnsi="Arial" w:cs="Arial"/>
        </w:rPr>
        <w:t xml:space="preserve">Cool Schools </w:t>
      </w:r>
    </w:p>
    <w:p w14:paraId="29D21101" w14:textId="77777777" w:rsidR="006F0216" w:rsidRPr="007C665B" w:rsidRDefault="006F0216" w:rsidP="004F59AE">
      <w:pPr>
        <w:numPr>
          <w:ilvl w:val="0"/>
          <w:numId w:val="1"/>
        </w:numPr>
        <w:ind w:left="1440"/>
        <w:rPr>
          <w:rFonts w:ascii="Arial" w:eastAsia="Arial" w:hAnsi="Arial" w:cs="Arial"/>
        </w:rPr>
      </w:pPr>
      <w:r w:rsidRPr="006F0216">
        <w:rPr>
          <w:rFonts w:ascii="Arial" w:eastAsia="Arial" w:hAnsi="Arial" w:cs="Arial"/>
        </w:rPr>
        <w:t>Commercial Utility Building Efficiency</w:t>
      </w:r>
    </w:p>
    <w:p w14:paraId="01B6507C" w14:textId="77777777" w:rsidR="006F0216" w:rsidRPr="007C665B" w:rsidRDefault="006F0216" w:rsidP="004F59AE">
      <w:pPr>
        <w:numPr>
          <w:ilvl w:val="0"/>
          <w:numId w:val="1"/>
        </w:numPr>
        <w:ind w:left="1440"/>
        <w:rPr>
          <w:rFonts w:ascii="Arial" w:eastAsia="Arial" w:hAnsi="Arial" w:cs="Arial"/>
        </w:rPr>
      </w:pPr>
      <w:r w:rsidRPr="006F0216">
        <w:rPr>
          <w:rFonts w:ascii="Arial" w:eastAsia="Arial" w:hAnsi="Arial" w:cs="Arial"/>
        </w:rPr>
        <w:t>Energy Leader Partnership Program</w:t>
      </w:r>
    </w:p>
    <w:p w14:paraId="4A3A4424" w14:textId="77777777" w:rsidR="006F0216" w:rsidRPr="007C665B" w:rsidRDefault="006F0216" w:rsidP="004F59AE">
      <w:pPr>
        <w:numPr>
          <w:ilvl w:val="0"/>
          <w:numId w:val="1"/>
        </w:numPr>
        <w:ind w:left="1440"/>
        <w:rPr>
          <w:rFonts w:ascii="Arial" w:eastAsia="Arial" w:hAnsi="Arial" w:cs="Arial"/>
        </w:rPr>
      </w:pPr>
      <w:r w:rsidRPr="006F0216">
        <w:rPr>
          <w:rFonts w:ascii="Arial" w:eastAsia="Arial" w:hAnsi="Arial" w:cs="Arial"/>
        </w:rPr>
        <w:t>Lighting Market Transformation</w:t>
      </w:r>
    </w:p>
    <w:p w14:paraId="38550188" w14:textId="77777777" w:rsidR="006F0216" w:rsidRPr="007C665B" w:rsidRDefault="006F0216" w:rsidP="004F59AE">
      <w:pPr>
        <w:numPr>
          <w:ilvl w:val="0"/>
          <w:numId w:val="1"/>
        </w:numPr>
        <w:ind w:left="1440"/>
        <w:rPr>
          <w:rFonts w:ascii="Arial" w:eastAsia="Arial" w:hAnsi="Arial" w:cs="Arial"/>
        </w:rPr>
      </w:pPr>
      <w:r w:rsidRPr="006F0216">
        <w:rPr>
          <w:rFonts w:ascii="Arial" w:eastAsia="Arial" w:hAnsi="Arial" w:cs="Arial"/>
        </w:rPr>
        <w:t>Lighting Innovation Program</w:t>
      </w:r>
    </w:p>
    <w:p w14:paraId="302890D4" w14:textId="77777777" w:rsidR="006F0216" w:rsidRPr="007C665B" w:rsidRDefault="006F0216" w:rsidP="004F59AE">
      <w:pPr>
        <w:numPr>
          <w:ilvl w:val="0"/>
          <w:numId w:val="1"/>
        </w:numPr>
        <w:ind w:left="1440"/>
        <w:rPr>
          <w:rFonts w:ascii="Arial" w:eastAsia="Arial" w:hAnsi="Arial" w:cs="Arial"/>
        </w:rPr>
      </w:pPr>
      <w:r w:rsidRPr="006F0216">
        <w:rPr>
          <w:rFonts w:ascii="Arial" w:eastAsia="Arial" w:hAnsi="Arial" w:cs="Arial"/>
        </w:rPr>
        <w:lastRenderedPageBreak/>
        <w:t>WE&amp;T  Planning</w:t>
      </w:r>
    </w:p>
    <w:p w14:paraId="1F48E75D" w14:textId="77777777" w:rsidR="006F0216" w:rsidRPr="007C665B" w:rsidRDefault="006F0216" w:rsidP="004F59AE">
      <w:pPr>
        <w:numPr>
          <w:ilvl w:val="0"/>
          <w:numId w:val="1"/>
        </w:numPr>
        <w:ind w:left="1440"/>
        <w:rPr>
          <w:rFonts w:ascii="Arial" w:eastAsia="Arial" w:hAnsi="Arial" w:cs="Arial"/>
        </w:rPr>
      </w:pPr>
      <w:r w:rsidRPr="006F0216">
        <w:rPr>
          <w:rFonts w:ascii="Arial" w:eastAsia="Arial" w:hAnsi="Arial" w:cs="Arial"/>
        </w:rPr>
        <w:t>WE&amp;T – Mobile Energy Unit</w:t>
      </w:r>
    </w:p>
    <w:p w14:paraId="4AE0A62A" w14:textId="77777777" w:rsidR="006F0216" w:rsidRPr="007C665B" w:rsidRDefault="006F0216" w:rsidP="004F59AE">
      <w:pPr>
        <w:numPr>
          <w:ilvl w:val="0"/>
          <w:numId w:val="1"/>
        </w:numPr>
        <w:ind w:left="1440"/>
        <w:rPr>
          <w:rFonts w:ascii="Arial" w:eastAsia="Arial" w:hAnsi="Arial" w:cs="Arial"/>
        </w:rPr>
      </w:pPr>
      <w:r w:rsidRPr="006F0216">
        <w:rPr>
          <w:rFonts w:ascii="Arial" w:eastAsia="Arial" w:hAnsi="Arial" w:cs="Arial"/>
        </w:rPr>
        <w:t>WE&amp;T – Community Language Efficiency Outreach</w:t>
      </w:r>
    </w:p>
    <w:p w14:paraId="275368C2" w14:textId="77777777" w:rsidR="006F0216" w:rsidRPr="007C665B" w:rsidRDefault="006F0216" w:rsidP="004F59AE">
      <w:pPr>
        <w:numPr>
          <w:ilvl w:val="0"/>
          <w:numId w:val="1"/>
        </w:numPr>
        <w:ind w:left="1440"/>
        <w:rPr>
          <w:rFonts w:ascii="Arial" w:eastAsia="Arial" w:hAnsi="Arial" w:cs="Arial"/>
        </w:rPr>
      </w:pPr>
      <w:r w:rsidRPr="006F0216">
        <w:rPr>
          <w:rFonts w:ascii="Arial" w:eastAsia="Arial" w:hAnsi="Arial" w:cs="Arial"/>
        </w:rPr>
        <w:t>Sustainable Communities</w:t>
      </w:r>
    </w:p>
    <w:p w14:paraId="45E6A99A" w14:textId="77777777" w:rsidR="006F0216" w:rsidRPr="007C665B" w:rsidRDefault="006F0216" w:rsidP="004F59AE">
      <w:pPr>
        <w:numPr>
          <w:ilvl w:val="0"/>
          <w:numId w:val="1"/>
        </w:numPr>
        <w:ind w:left="1440"/>
        <w:rPr>
          <w:rFonts w:ascii="Arial" w:eastAsia="Arial" w:hAnsi="Arial" w:cs="Arial"/>
        </w:rPr>
      </w:pPr>
      <w:r w:rsidRPr="006F0216">
        <w:rPr>
          <w:rFonts w:ascii="Arial" w:eastAsia="Arial" w:hAnsi="Arial" w:cs="Arial"/>
        </w:rPr>
        <w:t>American Reinvestment Recovery Act (ARRA)-Originated Financing. Also known “Empower Energy Efficiency Program.”</w:t>
      </w:r>
    </w:p>
    <w:p w14:paraId="5F3EB9B5" w14:textId="6D349CBB" w:rsidR="00221107" w:rsidRPr="004F59AE" w:rsidRDefault="00221107" w:rsidP="00221107">
      <w:pPr>
        <w:numPr>
          <w:ilvl w:val="0"/>
          <w:numId w:val="1"/>
        </w:numPr>
        <w:ind w:left="1440"/>
        <w:rPr>
          <w:rFonts w:ascii="Arial" w:eastAsia="Arial" w:hAnsi="Arial" w:cs="Arial"/>
        </w:rPr>
      </w:pPr>
      <w:r w:rsidRPr="004F59AE">
        <w:rPr>
          <w:rFonts w:ascii="Arial" w:eastAsia="Arial" w:hAnsi="Arial" w:cs="Arial"/>
        </w:rPr>
        <w:t>Commercial Continuous Energy Improvement</w:t>
      </w:r>
    </w:p>
    <w:p w14:paraId="04673F88" w14:textId="63098EE2" w:rsidR="00221107" w:rsidRPr="004F59AE" w:rsidRDefault="00221107" w:rsidP="00221107">
      <w:pPr>
        <w:numPr>
          <w:ilvl w:val="0"/>
          <w:numId w:val="1"/>
        </w:numPr>
        <w:ind w:left="1440"/>
        <w:rPr>
          <w:rFonts w:ascii="Arial" w:eastAsia="Arial" w:hAnsi="Arial" w:cs="Arial"/>
        </w:rPr>
      </w:pPr>
      <w:r w:rsidRPr="004F59AE">
        <w:rPr>
          <w:rFonts w:ascii="Arial" w:eastAsia="Arial" w:hAnsi="Arial" w:cs="Arial"/>
        </w:rPr>
        <w:t>Agricultural Continuous Energy Improvement</w:t>
      </w:r>
    </w:p>
    <w:p w14:paraId="6894E149" w14:textId="49DE5189" w:rsidR="005E264F" w:rsidRPr="004F59AE" w:rsidRDefault="005E264F" w:rsidP="00221107">
      <w:pPr>
        <w:numPr>
          <w:ilvl w:val="0"/>
          <w:numId w:val="1"/>
        </w:numPr>
        <w:ind w:left="1440"/>
        <w:rPr>
          <w:rFonts w:ascii="Arial" w:eastAsia="Arial" w:hAnsi="Arial" w:cs="Arial"/>
        </w:rPr>
      </w:pPr>
      <w:r w:rsidRPr="004F59AE">
        <w:rPr>
          <w:rFonts w:ascii="Arial" w:eastAsia="Arial" w:hAnsi="Arial" w:cs="Arial"/>
        </w:rPr>
        <w:t>Industrial Continuous Energy Improvement</w:t>
      </w:r>
    </w:p>
    <w:p w14:paraId="12A87987" w14:textId="15C83BAF" w:rsidR="00260F48" w:rsidRPr="004F59AE" w:rsidRDefault="00260F48" w:rsidP="00975D52">
      <w:pPr>
        <w:pStyle w:val="Default"/>
        <w:ind w:firstLine="720"/>
        <w:rPr>
          <w:rFonts w:ascii="Arial" w:eastAsia="Arial" w:hAnsi="Arial" w:cs="Arial"/>
        </w:rPr>
      </w:pPr>
    </w:p>
    <w:p w14:paraId="110CCDC5" w14:textId="163C981D" w:rsidR="00BB0313" w:rsidRPr="004F59AE" w:rsidRDefault="00BB0313" w:rsidP="00BB0313">
      <w:pPr>
        <w:ind w:left="720"/>
        <w:rPr>
          <w:rFonts w:ascii="Arial" w:eastAsia="Arial" w:hAnsi="Arial" w:cs="Arial"/>
          <w:b/>
          <w:bCs/>
          <w:u w:val="single"/>
        </w:rPr>
      </w:pPr>
      <w:r w:rsidRPr="004F59AE">
        <w:rPr>
          <w:rFonts w:ascii="Arial" w:eastAsia="Arial" w:hAnsi="Arial" w:cs="Arial"/>
          <w:b/>
          <w:bCs/>
          <w:u w:val="single"/>
        </w:rPr>
        <w:t>New Programs</w:t>
      </w:r>
      <w:r w:rsidR="27090C52" w:rsidRPr="004F59AE">
        <w:rPr>
          <w:rFonts w:ascii="Arial" w:eastAsia="Arial" w:hAnsi="Arial" w:cs="Arial"/>
          <w:b/>
          <w:bCs/>
          <w:u w:val="single"/>
        </w:rPr>
        <w:t xml:space="preserve"> </w:t>
      </w:r>
      <w:r w:rsidR="66746CE2" w:rsidRPr="004F59AE">
        <w:rPr>
          <w:rFonts w:ascii="Arial" w:eastAsia="Arial" w:hAnsi="Arial" w:cs="Arial"/>
          <w:b/>
          <w:bCs/>
          <w:u w:val="single"/>
        </w:rPr>
        <w:t>and Sub-Programs</w:t>
      </w:r>
    </w:p>
    <w:p w14:paraId="75297D83" w14:textId="77777777" w:rsidR="00BB0313" w:rsidRPr="004F59AE" w:rsidRDefault="00BB0313" w:rsidP="00BB0313">
      <w:pPr>
        <w:ind w:left="720"/>
        <w:rPr>
          <w:rFonts w:ascii="Arial" w:eastAsia="Arial" w:hAnsi="Arial" w:cs="Arial"/>
          <w:b/>
          <w:bCs/>
        </w:rPr>
      </w:pPr>
    </w:p>
    <w:p w14:paraId="749A626F" w14:textId="53BF0389" w:rsidR="00BB0313" w:rsidRDefault="00BB0313" w:rsidP="00BB0313">
      <w:pPr>
        <w:ind w:left="720"/>
        <w:rPr>
          <w:rFonts w:ascii="Arial" w:eastAsia="Arial" w:hAnsi="Arial" w:cs="Arial"/>
        </w:rPr>
      </w:pPr>
      <w:r w:rsidRPr="004F59AE">
        <w:rPr>
          <w:rFonts w:ascii="Arial" w:eastAsia="Arial" w:hAnsi="Arial" w:cs="Arial"/>
        </w:rPr>
        <w:t xml:space="preserve">As discussed above, SCE is working towards the </w:t>
      </w:r>
      <w:r w:rsidR="00E43DA5" w:rsidRPr="004F59AE">
        <w:rPr>
          <w:rFonts w:ascii="Arial" w:eastAsia="Arial" w:hAnsi="Arial" w:cs="Arial"/>
        </w:rPr>
        <w:t xml:space="preserve">utilization </w:t>
      </w:r>
      <w:r w:rsidRPr="004F59AE">
        <w:rPr>
          <w:rFonts w:ascii="Arial" w:eastAsia="Arial" w:hAnsi="Arial" w:cs="Arial"/>
        </w:rPr>
        <w:t xml:space="preserve">of third party </w:t>
      </w:r>
      <w:r w:rsidR="00BA59BF" w:rsidRPr="004F59AE">
        <w:rPr>
          <w:rFonts w:ascii="Arial" w:eastAsia="Arial" w:hAnsi="Arial" w:cs="Arial"/>
        </w:rPr>
        <w:t xml:space="preserve">proposed, </w:t>
      </w:r>
      <w:r w:rsidRPr="004F59AE">
        <w:rPr>
          <w:rFonts w:ascii="Arial" w:eastAsia="Arial" w:hAnsi="Arial" w:cs="Arial"/>
        </w:rPr>
        <w:t xml:space="preserve">designed and </w:t>
      </w:r>
      <w:r w:rsidR="00BA59BF" w:rsidRPr="004F59AE">
        <w:rPr>
          <w:rFonts w:ascii="Arial" w:eastAsia="Arial" w:hAnsi="Arial" w:cs="Arial"/>
        </w:rPr>
        <w:t xml:space="preserve">delivered </w:t>
      </w:r>
      <w:r w:rsidR="001752DA" w:rsidRPr="004F59AE">
        <w:rPr>
          <w:rFonts w:ascii="Arial" w:eastAsia="Arial" w:hAnsi="Arial" w:cs="Arial"/>
        </w:rPr>
        <w:t>implemented</w:t>
      </w:r>
      <w:r w:rsidR="00BA59BF" w:rsidRPr="004F59AE">
        <w:rPr>
          <w:rFonts w:ascii="Arial" w:eastAsia="Arial" w:hAnsi="Arial" w:cs="Arial"/>
        </w:rPr>
        <w:t xml:space="preserve"> </w:t>
      </w:r>
      <w:r w:rsidRPr="004F59AE">
        <w:rPr>
          <w:rFonts w:ascii="Arial" w:eastAsia="Arial" w:hAnsi="Arial" w:cs="Arial"/>
        </w:rPr>
        <w:t>programs as directed in D.18-01-004.  As such SCE has created placeholders for programs that will be awarded from the third</w:t>
      </w:r>
      <w:r w:rsidR="10156DD2" w:rsidRPr="004F59AE">
        <w:rPr>
          <w:rFonts w:ascii="Arial" w:eastAsia="Arial" w:hAnsi="Arial" w:cs="Arial"/>
        </w:rPr>
        <w:t>-</w:t>
      </w:r>
      <w:r w:rsidRPr="004F59AE">
        <w:rPr>
          <w:rFonts w:ascii="Arial" w:eastAsia="Arial" w:hAnsi="Arial" w:cs="Arial"/>
        </w:rPr>
        <w:t>party solicitation process and allocated $</w:t>
      </w:r>
      <w:r w:rsidR="0012234F" w:rsidRPr="004F59AE">
        <w:rPr>
          <w:rFonts w:ascii="Arial" w:eastAsia="Arial" w:hAnsi="Arial" w:cs="Arial"/>
        </w:rPr>
        <w:t>6</w:t>
      </w:r>
      <w:r w:rsidR="18065B3B" w:rsidRPr="004F59AE">
        <w:rPr>
          <w:rFonts w:ascii="Arial" w:eastAsia="Arial" w:hAnsi="Arial" w:cs="Arial"/>
        </w:rPr>
        <w:t>.</w:t>
      </w:r>
      <w:r w:rsidR="0012234F" w:rsidRPr="004F59AE">
        <w:rPr>
          <w:rFonts w:ascii="Arial" w:eastAsia="Arial" w:hAnsi="Arial" w:cs="Arial"/>
        </w:rPr>
        <w:t>8</w:t>
      </w:r>
      <w:r w:rsidRPr="004F59AE">
        <w:rPr>
          <w:rFonts w:ascii="Arial" w:eastAsia="Arial" w:hAnsi="Arial" w:cs="Arial"/>
        </w:rPr>
        <w:t xml:space="preserve"> million for </w:t>
      </w:r>
      <w:r w:rsidR="18065B3B" w:rsidRPr="004F59AE">
        <w:rPr>
          <w:rFonts w:ascii="Arial" w:eastAsia="Arial" w:hAnsi="Arial" w:cs="Arial"/>
        </w:rPr>
        <w:t>ramp up cost</w:t>
      </w:r>
      <w:r w:rsidR="5B464DAC" w:rsidRPr="004F59AE">
        <w:rPr>
          <w:rFonts w:ascii="Arial" w:eastAsia="Arial" w:hAnsi="Arial" w:cs="Arial"/>
        </w:rPr>
        <w:t xml:space="preserve"> for these f</w:t>
      </w:r>
      <w:r w:rsidR="2F0C92EC" w:rsidRPr="004F59AE">
        <w:rPr>
          <w:rFonts w:ascii="Arial" w:eastAsia="Arial" w:hAnsi="Arial" w:cs="Arial"/>
        </w:rPr>
        <w:t xml:space="preserve">uture </w:t>
      </w:r>
      <w:r w:rsidRPr="004F59AE">
        <w:rPr>
          <w:rFonts w:ascii="Arial" w:eastAsia="Arial" w:hAnsi="Arial" w:cs="Arial"/>
        </w:rPr>
        <w:t>programs.</w:t>
      </w:r>
    </w:p>
    <w:p w14:paraId="7ECCEC72" w14:textId="77777777" w:rsidR="00BB0313" w:rsidRDefault="00BB0313" w:rsidP="00BB0313">
      <w:pPr>
        <w:ind w:left="720"/>
        <w:rPr>
          <w:rFonts w:ascii="Arial" w:eastAsia="Arial" w:hAnsi="Arial" w:cs="Arial"/>
        </w:rPr>
      </w:pPr>
    </w:p>
    <w:p w14:paraId="327011D3" w14:textId="77777777" w:rsidR="00221107" w:rsidRDefault="00221107" w:rsidP="00221107">
      <w:pPr>
        <w:ind w:left="720"/>
        <w:rPr>
          <w:rFonts w:ascii="Arial" w:eastAsia="Arial" w:hAnsi="Arial" w:cs="Arial"/>
        </w:rPr>
      </w:pPr>
      <w:r>
        <w:rPr>
          <w:rFonts w:ascii="Arial" w:eastAsia="Arial" w:hAnsi="Arial" w:cs="Arial"/>
        </w:rPr>
        <w:t xml:space="preserve">In addition to new third party programs, SCE is also proposing the following new programs.  Please see Attachment </w:t>
      </w:r>
      <w:r w:rsidRPr="005E264F">
        <w:rPr>
          <w:rFonts w:ascii="Arial" w:eastAsia="Arial" w:hAnsi="Arial" w:cs="Arial"/>
          <w:highlight w:val="yellow"/>
        </w:rPr>
        <w:t>XX</w:t>
      </w:r>
      <w:r>
        <w:rPr>
          <w:rFonts w:ascii="Arial" w:eastAsia="Arial" w:hAnsi="Arial" w:cs="Arial"/>
        </w:rPr>
        <w:t xml:space="preserve"> for a description of the programs.</w:t>
      </w:r>
    </w:p>
    <w:p w14:paraId="1068A139" w14:textId="77777777" w:rsidR="00221107" w:rsidRDefault="00221107" w:rsidP="00221107">
      <w:pPr>
        <w:ind w:left="720"/>
        <w:rPr>
          <w:rFonts w:ascii="Arial" w:eastAsia="Arial" w:hAnsi="Arial" w:cs="Arial"/>
        </w:rPr>
      </w:pPr>
    </w:p>
    <w:p w14:paraId="5B80EF09" w14:textId="77777777" w:rsidR="00221107" w:rsidRPr="005E264F" w:rsidRDefault="00221107">
      <w:pPr>
        <w:numPr>
          <w:ilvl w:val="0"/>
          <w:numId w:val="13"/>
        </w:numPr>
        <w:rPr>
          <w:rFonts w:ascii="Arial" w:eastAsia="Arial" w:hAnsi="Arial" w:cs="Arial"/>
        </w:rPr>
      </w:pPr>
      <w:r w:rsidRPr="00E95B03">
        <w:rPr>
          <w:rFonts w:ascii="Arial" w:eastAsia="Arial" w:hAnsi="Arial" w:cs="Arial"/>
        </w:rPr>
        <w:t>Midstream Point of Purchase</w:t>
      </w:r>
    </w:p>
    <w:p w14:paraId="7C5F0B80" w14:textId="77777777" w:rsidR="00221107" w:rsidRPr="005E264F" w:rsidRDefault="00221107">
      <w:pPr>
        <w:numPr>
          <w:ilvl w:val="0"/>
          <w:numId w:val="13"/>
        </w:numPr>
        <w:rPr>
          <w:rFonts w:ascii="Arial" w:eastAsia="Arial" w:hAnsi="Arial" w:cs="Arial"/>
        </w:rPr>
      </w:pPr>
      <w:r w:rsidRPr="00E95B03">
        <w:rPr>
          <w:rFonts w:ascii="Arial" w:eastAsia="Arial" w:hAnsi="Arial" w:cs="Arial"/>
        </w:rPr>
        <w:t>Strategic Energy Management</w:t>
      </w:r>
      <w:r w:rsidRPr="00105BDE">
        <w:rPr>
          <w:rFonts w:ascii="Arial" w:eastAsia="Arial" w:hAnsi="Arial" w:cs="Arial"/>
          <w:bCs/>
        </w:rPr>
        <w:tab/>
      </w:r>
    </w:p>
    <w:p w14:paraId="65492888" w14:textId="77777777" w:rsidR="00221107" w:rsidRPr="00105BDE" w:rsidRDefault="00221107" w:rsidP="00221107">
      <w:pPr>
        <w:numPr>
          <w:ilvl w:val="0"/>
          <w:numId w:val="13"/>
        </w:numPr>
        <w:rPr>
          <w:rFonts w:ascii="Arial" w:eastAsia="Arial" w:hAnsi="Arial" w:cs="Arial"/>
        </w:rPr>
      </w:pPr>
      <w:r w:rsidRPr="00E95B03">
        <w:rPr>
          <w:rFonts w:ascii="Arial" w:eastAsia="Arial" w:hAnsi="Arial" w:cs="Arial"/>
        </w:rPr>
        <w:t xml:space="preserve">Medium Size Industrial Customer Energy Efficiency Program  </w:t>
      </w:r>
    </w:p>
    <w:p w14:paraId="5A4C3632" w14:textId="7203492B" w:rsidR="00221107" w:rsidRPr="00105BDE" w:rsidRDefault="00221107" w:rsidP="00221107">
      <w:pPr>
        <w:numPr>
          <w:ilvl w:val="0"/>
          <w:numId w:val="13"/>
        </w:numPr>
        <w:rPr>
          <w:rFonts w:ascii="Arial" w:eastAsia="Arial" w:hAnsi="Arial" w:cs="Arial"/>
        </w:rPr>
      </w:pPr>
      <w:r w:rsidRPr="00E95B03">
        <w:rPr>
          <w:rFonts w:ascii="Arial" w:eastAsia="Arial" w:hAnsi="Arial" w:cs="Arial"/>
        </w:rPr>
        <w:t>Water Infrastructure and System Efficiency Program</w:t>
      </w:r>
    </w:p>
    <w:p w14:paraId="49A6C3D0" w14:textId="77777777" w:rsidR="00524383" w:rsidRDefault="5D1E7ACB" w:rsidP="00221107">
      <w:pPr>
        <w:numPr>
          <w:ilvl w:val="0"/>
          <w:numId w:val="13"/>
        </w:numPr>
        <w:rPr>
          <w:rFonts w:ascii="Arial" w:eastAsia="Arial" w:hAnsi="Arial" w:cs="Arial"/>
        </w:rPr>
      </w:pPr>
      <w:r w:rsidRPr="00E95B03">
        <w:rPr>
          <w:rFonts w:ascii="Arial" w:eastAsia="Arial" w:hAnsi="Arial" w:cs="Arial"/>
        </w:rPr>
        <w:t>AB793 Pay f</w:t>
      </w:r>
      <w:r w:rsidR="0641DC83" w:rsidRPr="00E95B03">
        <w:rPr>
          <w:rFonts w:ascii="Arial" w:eastAsia="Arial" w:hAnsi="Arial" w:cs="Arial"/>
        </w:rPr>
        <w:t>or Performance</w:t>
      </w:r>
    </w:p>
    <w:p w14:paraId="42A4CD23" w14:textId="69CFE391" w:rsidR="00221107" w:rsidRPr="00524383" w:rsidRDefault="00524383" w:rsidP="00524383">
      <w:pPr>
        <w:numPr>
          <w:ilvl w:val="0"/>
          <w:numId w:val="13"/>
        </w:numPr>
        <w:rPr>
          <w:rFonts w:ascii="Arial" w:eastAsia="Arial" w:hAnsi="Arial" w:cs="Arial"/>
        </w:rPr>
      </w:pPr>
      <w:r>
        <w:rPr>
          <w:rFonts w:ascii="Arial" w:eastAsia="Arial" w:hAnsi="Arial" w:cs="Arial"/>
        </w:rPr>
        <w:t>Facilities Assessment</w:t>
      </w:r>
    </w:p>
    <w:p w14:paraId="1B63948D" w14:textId="52A62F25" w:rsidR="66746CE2" w:rsidRPr="00852336" w:rsidRDefault="03107C74" w:rsidP="00B57851">
      <w:pPr>
        <w:numPr>
          <w:ilvl w:val="0"/>
          <w:numId w:val="13"/>
        </w:numPr>
        <w:rPr>
          <w:rFonts w:ascii="Arial" w:eastAsia="Arial" w:hAnsi="Arial" w:cs="Arial"/>
        </w:rPr>
      </w:pPr>
      <w:r w:rsidRPr="00B57851">
        <w:rPr>
          <w:rFonts w:ascii="Arial" w:eastAsia="Arial" w:hAnsi="Arial" w:cs="Arial"/>
        </w:rPr>
        <w:t>“</w:t>
      </w:r>
      <w:r w:rsidR="6452A21C" w:rsidRPr="00EC3183">
        <w:rPr>
          <w:rFonts w:ascii="Arial" w:eastAsia="Arial" w:hAnsi="Arial" w:cs="Arial"/>
        </w:rPr>
        <w:t>Sub-Program</w:t>
      </w:r>
      <w:r w:rsidRPr="00DF1F3A">
        <w:rPr>
          <w:rFonts w:ascii="Arial" w:eastAsia="Arial" w:hAnsi="Arial" w:cs="Arial"/>
        </w:rPr>
        <w:t>" National and Internationa</w:t>
      </w:r>
      <w:r w:rsidR="122F834C" w:rsidRPr="00DF1F3A">
        <w:rPr>
          <w:rFonts w:ascii="Arial" w:eastAsia="Arial" w:hAnsi="Arial" w:cs="Arial"/>
        </w:rPr>
        <w:t>l Standards</w:t>
      </w:r>
      <w:r w:rsidR="6452A21C" w:rsidRPr="00DF1F3A">
        <w:rPr>
          <w:rFonts w:ascii="Arial" w:eastAsia="Arial" w:hAnsi="Arial" w:cs="Arial"/>
        </w:rPr>
        <w:t xml:space="preserve"> </w:t>
      </w:r>
    </w:p>
    <w:p w14:paraId="40FA153A" w14:textId="2EBB2905" w:rsidR="00BB0313" w:rsidRDefault="00BB0313" w:rsidP="00C671B4">
      <w:pPr>
        <w:rPr>
          <w:rFonts w:ascii="Arial" w:eastAsia="Arial" w:hAnsi="Arial" w:cs="Arial"/>
          <w:b/>
          <w:bCs/>
        </w:rPr>
      </w:pPr>
    </w:p>
    <w:p w14:paraId="550D2AA2" w14:textId="77777777" w:rsidR="00BB0313" w:rsidRDefault="00BB0313" w:rsidP="00BB0313">
      <w:pPr>
        <w:ind w:left="720"/>
        <w:rPr>
          <w:rFonts w:ascii="Arial" w:eastAsia="Arial" w:hAnsi="Arial" w:cs="Arial"/>
          <w:b/>
          <w:bCs/>
        </w:rPr>
      </w:pPr>
    </w:p>
    <w:p w14:paraId="7D9F2FCA" w14:textId="333EAC47" w:rsidR="00D65117" w:rsidRDefault="00042559" w:rsidP="00BB0313">
      <w:pPr>
        <w:ind w:left="720"/>
        <w:rPr>
          <w:rFonts w:ascii="Arial" w:eastAsia="Arial" w:hAnsi="Arial" w:cs="Arial"/>
          <w:b/>
          <w:bCs/>
        </w:rPr>
      </w:pPr>
      <w:r>
        <w:rPr>
          <w:rFonts w:ascii="Arial" w:eastAsia="Arial" w:hAnsi="Arial" w:cs="Arial"/>
          <w:b/>
          <w:bCs/>
          <w:u w:val="single"/>
        </w:rPr>
        <w:t xml:space="preserve">Reduced and Expanded </w:t>
      </w:r>
      <w:r w:rsidR="00D65117" w:rsidRPr="7FBA53CB">
        <w:rPr>
          <w:rFonts w:ascii="Arial" w:eastAsia="Arial" w:hAnsi="Arial" w:cs="Arial"/>
          <w:b/>
          <w:bCs/>
          <w:u w:val="single"/>
        </w:rPr>
        <w:t>Programs</w:t>
      </w:r>
      <w:r>
        <w:rPr>
          <w:rFonts w:ascii="Arial" w:eastAsia="Arial" w:hAnsi="Arial" w:cs="Arial"/>
          <w:b/>
          <w:bCs/>
          <w:u w:val="single"/>
        </w:rPr>
        <w:t xml:space="preserve"> </w:t>
      </w:r>
      <w:r w:rsidR="00D65117" w:rsidRPr="7FBA53CB">
        <w:rPr>
          <w:rFonts w:ascii="Arial" w:eastAsia="Arial" w:hAnsi="Arial" w:cs="Arial"/>
          <w:b/>
          <w:bCs/>
        </w:rPr>
        <w:t xml:space="preserve"> </w:t>
      </w:r>
    </w:p>
    <w:p w14:paraId="14BADB2A" w14:textId="5F12FB87" w:rsidR="00FF29E9" w:rsidRDefault="00FF29E9" w:rsidP="00FF29E9">
      <w:pPr>
        <w:ind w:left="720"/>
        <w:rPr>
          <w:rFonts w:ascii="Arial" w:hAnsi="Arial" w:cs="Arial"/>
          <w:b/>
          <w:bCs/>
          <w:szCs w:val="24"/>
        </w:rPr>
      </w:pPr>
    </w:p>
    <w:p w14:paraId="743E3B06" w14:textId="77777777" w:rsidR="00D8107B" w:rsidRPr="004F59AE" w:rsidRDefault="00042559" w:rsidP="00042559">
      <w:pPr>
        <w:pStyle w:val="Default"/>
        <w:ind w:left="720"/>
        <w:rPr>
          <w:rFonts w:ascii="Arial" w:eastAsia="Arial" w:hAnsi="Arial" w:cs="Arial"/>
        </w:rPr>
      </w:pPr>
      <w:r>
        <w:rPr>
          <w:rFonts w:ascii="Arial" w:eastAsia="Arial" w:hAnsi="Arial" w:cs="Arial"/>
          <w:color w:val="auto"/>
        </w:rPr>
        <w:t xml:space="preserve">As discussed above, </w:t>
      </w:r>
      <w:r>
        <w:rPr>
          <w:rFonts w:ascii="Arial" w:eastAsia="Arial" w:hAnsi="Arial" w:cs="Arial"/>
        </w:rPr>
        <w:t>t</w:t>
      </w:r>
      <w:r w:rsidRPr="1EF028A6">
        <w:rPr>
          <w:rFonts w:ascii="Arial" w:eastAsia="Arial" w:hAnsi="Arial" w:cs="Arial"/>
        </w:rPr>
        <w:t>o meet the Commission’s requirement</w:t>
      </w:r>
      <w:r>
        <w:rPr>
          <w:rFonts w:ascii="Arial" w:eastAsia="Arial" w:hAnsi="Arial" w:cs="Arial"/>
        </w:rPr>
        <w:t xml:space="preserve"> to meet a cost benefit ratio of 1.25</w:t>
      </w:r>
      <w:r w:rsidRPr="1EF028A6">
        <w:rPr>
          <w:rFonts w:ascii="Arial" w:eastAsia="Arial" w:hAnsi="Arial" w:cs="Arial"/>
        </w:rPr>
        <w:t>, SCE optimize</w:t>
      </w:r>
      <w:r w:rsidR="00080CBE">
        <w:rPr>
          <w:rFonts w:ascii="Arial" w:eastAsia="Arial" w:hAnsi="Arial" w:cs="Arial"/>
        </w:rPr>
        <w:t>d</w:t>
      </w:r>
      <w:r w:rsidRPr="1EF028A6">
        <w:rPr>
          <w:rFonts w:ascii="Arial" w:eastAsia="Arial" w:hAnsi="Arial" w:cs="Arial"/>
        </w:rPr>
        <w:t xml:space="preserve"> its portfolio whereby SCE expand</w:t>
      </w:r>
      <w:r w:rsidR="00080CBE">
        <w:rPr>
          <w:rFonts w:ascii="Arial" w:eastAsia="Arial" w:hAnsi="Arial" w:cs="Arial"/>
        </w:rPr>
        <w:t>ed</w:t>
      </w:r>
      <w:r w:rsidRPr="1EF028A6">
        <w:rPr>
          <w:rFonts w:ascii="Arial" w:eastAsia="Arial" w:hAnsi="Arial" w:cs="Arial"/>
        </w:rPr>
        <w:t xml:space="preserve"> </w:t>
      </w:r>
      <w:r w:rsidRPr="004F59AE">
        <w:rPr>
          <w:rFonts w:ascii="Arial" w:eastAsia="Arial" w:hAnsi="Arial" w:cs="Arial"/>
        </w:rPr>
        <w:t>programs with high cost effectiveness and reduce</w:t>
      </w:r>
      <w:r w:rsidR="00080CBE" w:rsidRPr="004F59AE">
        <w:rPr>
          <w:rFonts w:ascii="Arial" w:eastAsia="Arial" w:hAnsi="Arial" w:cs="Arial"/>
        </w:rPr>
        <w:t>d</w:t>
      </w:r>
      <w:r w:rsidRPr="004F59AE">
        <w:rPr>
          <w:rFonts w:ascii="Arial" w:eastAsia="Arial" w:hAnsi="Arial" w:cs="Arial"/>
        </w:rPr>
        <w:t xml:space="preserve"> programs with low cost effectiveness in order to achieve a high TRC value.  </w:t>
      </w:r>
    </w:p>
    <w:p w14:paraId="25763CAF" w14:textId="77777777" w:rsidR="00D8107B" w:rsidRPr="004F59AE" w:rsidRDefault="00D8107B" w:rsidP="00042559">
      <w:pPr>
        <w:pStyle w:val="Default"/>
        <w:ind w:left="720"/>
        <w:rPr>
          <w:rFonts w:ascii="Arial" w:eastAsia="Arial" w:hAnsi="Arial" w:cs="Arial"/>
        </w:rPr>
      </w:pPr>
    </w:p>
    <w:p w14:paraId="6B06EB44" w14:textId="77777777" w:rsidR="00180850" w:rsidRDefault="00180850" w:rsidP="00180850">
      <w:pPr>
        <w:pStyle w:val="Default"/>
        <w:ind w:left="720"/>
        <w:rPr>
          <w:rFonts w:ascii="Arial" w:eastAsia="Arial" w:hAnsi="Arial" w:cs="Arial"/>
          <w:color w:val="auto"/>
        </w:rPr>
      </w:pPr>
      <w:r w:rsidRPr="004F59AE">
        <w:rPr>
          <w:rFonts w:ascii="Arial" w:eastAsia="Arial" w:hAnsi="Arial" w:cs="Arial"/>
          <w:color w:val="auto"/>
        </w:rPr>
        <w:t xml:space="preserve">In addition, to support of its 2018 and 2019 energy efficiency portfolios, SCE filed A-3831 to modify its </w:t>
      </w:r>
      <w:r w:rsidRPr="004F59AE">
        <w:rPr>
          <w:rFonts w:ascii="Arial" w:eastAsia="Arial" w:hAnsi="Arial" w:cs="Arial"/>
        </w:rPr>
        <w:t>Nonresidential HVAC program</w:t>
      </w:r>
      <w:r w:rsidRPr="004F59AE">
        <w:rPr>
          <w:rFonts w:ascii="Arial" w:eastAsia="Arial" w:hAnsi="Arial" w:cs="Arial"/>
          <w:color w:val="auto"/>
        </w:rPr>
        <w:t xml:space="preserve"> to eliminate high-cost elements, thereby, improving the cost-effectiveness of the portfolio.  SCE will also file an Advice Letter to add a revolving loan element to its </w:t>
      </w:r>
      <w:r w:rsidRPr="004F59AE">
        <w:rPr>
          <w:rFonts w:ascii="Arial" w:eastAsia="Arial" w:hAnsi="Arial" w:cs="Arial"/>
        </w:rPr>
        <w:t>on-bill financing program</w:t>
      </w:r>
      <w:r w:rsidRPr="004F59AE">
        <w:rPr>
          <w:rFonts w:ascii="Arial" w:eastAsia="Arial" w:hAnsi="Arial" w:cs="Arial"/>
          <w:color w:val="auto"/>
        </w:rPr>
        <w:t xml:space="preserve"> which</w:t>
      </w:r>
      <w:r>
        <w:rPr>
          <w:rFonts w:ascii="Arial" w:eastAsia="Arial" w:hAnsi="Arial" w:cs="Arial"/>
          <w:color w:val="auto"/>
        </w:rPr>
        <w:t xml:space="preserve"> will reduce the overall budget necessary in the portfolio.</w:t>
      </w:r>
    </w:p>
    <w:p w14:paraId="1AC767D8" w14:textId="77777777" w:rsidR="00FF29E9" w:rsidRDefault="00FF29E9" w:rsidP="00FF29E9">
      <w:pPr>
        <w:pStyle w:val="Default"/>
        <w:ind w:left="720"/>
        <w:rPr>
          <w:rFonts w:ascii="Arial" w:hAnsi="Arial" w:cs="Arial"/>
        </w:rPr>
      </w:pPr>
      <w:r>
        <w:rPr>
          <w:rFonts w:ascii="Arial" w:hAnsi="Arial" w:cs="Arial"/>
        </w:rPr>
        <w:tab/>
      </w:r>
    </w:p>
    <w:p w14:paraId="37202023" w14:textId="12358CF0" w:rsidR="00890B7A" w:rsidRPr="00E86D1A" w:rsidRDefault="00890B7A" w:rsidP="00890B7A">
      <w:pPr>
        <w:pStyle w:val="Default"/>
        <w:ind w:left="720"/>
        <w:rPr>
          <w:rFonts w:ascii="Arial" w:eastAsia="Arial" w:hAnsi="Arial" w:cs="Arial"/>
        </w:rPr>
      </w:pPr>
      <w:r w:rsidRPr="00E86D1A">
        <w:rPr>
          <w:rFonts w:ascii="Arial" w:eastAsia="Arial" w:hAnsi="Arial" w:cs="Arial"/>
        </w:rPr>
        <w:t>SCE will also begin to ramp down existing third</w:t>
      </w:r>
      <w:r w:rsidR="00317194">
        <w:rPr>
          <w:rFonts w:ascii="Arial" w:eastAsia="Arial" w:hAnsi="Arial" w:cs="Arial"/>
        </w:rPr>
        <w:t>-</w:t>
      </w:r>
      <w:r w:rsidRPr="00E86D1A">
        <w:rPr>
          <w:rFonts w:ascii="Arial" w:eastAsia="Arial" w:hAnsi="Arial" w:cs="Arial"/>
        </w:rPr>
        <w:t>party programs and transition to new third-party program designs as part of our third</w:t>
      </w:r>
      <w:r w:rsidR="00317194">
        <w:rPr>
          <w:rFonts w:ascii="Arial" w:eastAsia="Arial" w:hAnsi="Arial" w:cs="Arial"/>
        </w:rPr>
        <w:t>-</w:t>
      </w:r>
      <w:r w:rsidRPr="00E86D1A">
        <w:rPr>
          <w:rFonts w:ascii="Arial" w:eastAsia="Arial" w:hAnsi="Arial" w:cs="Arial"/>
        </w:rPr>
        <w:t>party solicitation effort</w:t>
      </w:r>
      <w:r w:rsidR="00317194">
        <w:rPr>
          <w:rFonts w:ascii="Arial" w:eastAsia="Arial" w:hAnsi="Arial" w:cs="Arial"/>
        </w:rPr>
        <w:t>.</w:t>
      </w:r>
      <w:r w:rsidRPr="00E86D1A">
        <w:rPr>
          <w:rFonts w:ascii="Arial" w:eastAsia="Arial" w:hAnsi="Arial" w:cs="Arial"/>
        </w:rPr>
        <w:t xml:space="preserve"> The </w:t>
      </w:r>
      <w:r w:rsidRPr="00E86D1A">
        <w:rPr>
          <w:rFonts w:ascii="Arial" w:eastAsia="Arial" w:hAnsi="Arial" w:cs="Arial"/>
        </w:rPr>
        <w:lastRenderedPageBreak/>
        <w:t>programs listed below will stop accepting new enrollments for 2019</w:t>
      </w:r>
      <w:r w:rsidR="00317194">
        <w:rPr>
          <w:rFonts w:ascii="Arial" w:eastAsia="Arial" w:hAnsi="Arial" w:cs="Arial"/>
        </w:rPr>
        <w:t>,</w:t>
      </w:r>
      <w:r w:rsidRPr="00E86D1A">
        <w:rPr>
          <w:rFonts w:ascii="Arial" w:eastAsia="Arial" w:hAnsi="Arial" w:cs="Arial"/>
        </w:rPr>
        <w:t xml:space="preserve"> but will continue to have funding for committed projects in the current pipeline.</w:t>
      </w:r>
    </w:p>
    <w:p w14:paraId="7F8B57DA" w14:textId="77777777" w:rsidR="00890B7A" w:rsidRDefault="00890B7A" w:rsidP="00890B7A">
      <w:pPr>
        <w:pStyle w:val="Default"/>
        <w:ind w:left="720"/>
        <w:rPr>
          <w:rFonts w:ascii="Arial" w:hAnsi="Arial" w:cs="Arial"/>
        </w:rPr>
      </w:pPr>
    </w:p>
    <w:p w14:paraId="7EF8FC1C" w14:textId="77777777" w:rsidR="00890B7A" w:rsidRPr="00E86D1A" w:rsidRDefault="00890B7A" w:rsidP="002A1D38">
      <w:pPr>
        <w:pStyle w:val="Default"/>
        <w:numPr>
          <w:ilvl w:val="0"/>
          <w:numId w:val="19"/>
        </w:numPr>
        <w:rPr>
          <w:rFonts w:ascii="Arial" w:eastAsia="Arial" w:hAnsi="Arial" w:cs="Arial"/>
        </w:rPr>
      </w:pPr>
      <w:r w:rsidRPr="00E86D1A">
        <w:rPr>
          <w:rFonts w:ascii="Arial" w:eastAsia="Arial" w:hAnsi="Arial" w:cs="Arial"/>
        </w:rPr>
        <w:t>Healthcare EE</w:t>
      </w:r>
    </w:p>
    <w:p w14:paraId="7D13F72C" w14:textId="77777777" w:rsidR="00890B7A" w:rsidRPr="00E86D1A" w:rsidRDefault="00890B7A" w:rsidP="00A27A04">
      <w:pPr>
        <w:pStyle w:val="Default"/>
        <w:numPr>
          <w:ilvl w:val="0"/>
          <w:numId w:val="19"/>
        </w:numPr>
        <w:rPr>
          <w:rFonts w:ascii="Arial" w:eastAsia="Arial" w:hAnsi="Arial" w:cs="Arial"/>
        </w:rPr>
      </w:pPr>
      <w:r w:rsidRPr="00E86D1A">
        <w:rPr>
          <w:rFonts w:ascii="Arial" w:eastAsia="Arial" w:hAnsi="Arial" w:cs="Arial"/>
        </w:rPr>
        <w:t>Data Center EE</w:t>
      </w:r>
    </w:p>
    <w:p w14:paraId="6085472D" w14:textId="77777777" w:rsidR="00890B7A" w:rsidRPr="00E86D1A" w:rsidRDefault="00890B7A" w:rsidP="00C42B65">
      <w:pPr>
        <w:pStyle w:val="Default"/>
        <w:numPr>
          <w:ilvl w:val="0"/>
          <w:numId w:val="19"/>
        </w:numPr>
        <w:rPr>
          <w:rFonts w:ascii="Arial" w:eastAsia="Arial" w:hAnsi="Arial" w:cs="Arial"/>
        </w:rPr>
      </w:pPr>
      <w:r w:rsidRPr="00E86D1A">
        <w:rPr>
          <w:rFonts w:ascii="Arial" w:eastAsia="Arial" w:hAnsi="Arial" w:cs="Arial"/>
        </w:rPr>
        <w:t>Lodging EE</w:t>
      </w:r>
    </w:p>
    <w:p w14:paraId="17C6BBCC" w14:textId="77777777" w:rsidR="00890B7A" w:rsidRPr="00E86D1A" w:rsidRDefault="00890B7A">
      <w:pPr>
        <w:pStyle w:val="Default"/>
        <w:numPr>
          <w:ilvl w:val="0"/>
          <w:numId w:val="19"/>
        </w:numPr>
        <w:rPr>
          <w:rFonts w:ascii="Arial" w:eastAsia="Arial" w:hAnsi="Arial" w:cs="Arial"/>
        </w:rPr>
      </w:pPr>
      <w:r w:rsidRPr="00E86D1A">
        <w:rPr>
          <w:rFonts w:ascii="Arial" w:eastAsia="Arial" w:hAnsi="Arial" w:cs="Arial"/>
        </w:rPr>
        <w:t>Food &amp; Kindred</w:t>
      </w:r>
    </w:p>
    <w:p w14:paraId="45DD0C3B" w14:textId="77777777" w:rsidR="00890B7A" w:rsidRPr="00E86D1A" w:rsidRDefault="00890B7A">
      <w:pPr>
        <w:pStyle w:val="Default"/>
        <w:numPr>
          <w:ilvl w:val="0"/>
          <w:numId w:val="19"/>
        </w:numPr>
        <w:rPr>
          <w:rFonts w:ascii="Arial" w:eastAsia="Arial" w:hAnsi="Arial" w:cs="Arial"/>
        </w:rPr>
      </w:pPr>
      <w:r w:rsidRPr="00E86D1A">
        <w:rPr>
          <w:rFonts w:ascii="Arial" w:eastAsia="Arial" w:hAnsi="Arial" w:cs="Arial"/>
        </w:rPr>
        <w:t>Primary and Fabricated Metals</w:t>
      </w:r>
    </w:p>
    <w:p w14:paraId="4DF97BEB" w14:textId="77777777" w:rsidR="00890B7A" w:rsidRPr="00E86D1A" w:rsidRDefault="00890B7A">
      <w:pPr>
        <w:pStyle w:val="Default"/>
        <w:numPr>
          <w:ilvl w:val="0"/>
          <w:numId w:val="19"/>
        </w:numPr>
        <w:rPr>
          <w:rFonts w:ascii="Arial" w:eastAsia="Arial" w:hAnsi="Arial" w:cs="Arial"/>
        </w:rPr>
      </w:pPr>
      <w:r w:rsidRPr="00E86D1A">
        <w:rPr>
          <w:rFonts w:ascii="Arial" w:eastAsia="Arial" w:hAnsi="Arial" w:cs="Arial"/>
        </w:rPr>
        <w:t>Non-Metallic Minerals &amp; Products</w:t>
      </w:r>
    </w:p>
    <w:p w14:paraId="2353DBDD" w14:textId="6ECD375A" w:rsidR="000C5C28" w:rsidRPr="00E86D1A" w:rsidRDefault="00890B7A" w:rsidP="00890B7A">
      <w:pPr>
        <w:pStyle w:val="Default"/>
        <w:numPr>
          <w:ilvl w:val="0"/>
          <w:numId w:val="19"/>
        </w:numPr>
        <w:rPr>
          <w:rFonts w:ascii="Arial" w:eastAsia="Arial" w:hAnsi="Arial" w:cs="Arial"/>
        </w:rPr>
      </w:pPr>
      <w:r w:rsidRPr="00E86D1A">
        <w:rPr>
          <w:rFonts w:ascii="Arial" w:eastAsia="Arial" w:hAnsi="Arial" w:cs="Arial"/>
        </w:rPr>
        <w:t>Residential HVAC Comprehensive Chemical Products</w:t>
      </w:r>
    </w:p>
    <w:p w14:paraId="632666D4" w14:textId="77777777" w:rsidR="000C5C28" w:rsidRPr="00E86D1A" w:rsidRDefault="00890B7A" w:rsidP="00890B7A">
      <w:pPr>
        <w:pStyle w:val="Default"/>
        <w:numPr>
          <w:ilvl w:val="0"/>
          <w:numId w:val="19"/>
        </w:numPr>
        <w:rPr>
          <w:rFonts w:ascii="Arial" w:eastAsia="Arial" w:hAnsi="Arial" w:cs="Arial"/>
        </w:rPr>
      </w:pPr>
      <w:r w:rsidRPr="00E86D1A">
        <w:rPr>
          <w:rFonts w:ascii="Arial" w:eastAsia="Arial" w:hAnsi="Arial" w:cs="Arial"/>
        </w:rPr>
        <w:t>Comprehensive Petroleum</w:t>
      </w:r>
    </w:p>
    <w:p w14:paraId="5343C009" w14:textId="77777777" w:rsidR="000C5C28" w:rsidRPr="00E86D1A" w:rsidRDefault="00890B7A" w:rsidP="00890B7A">
      <w:pPr>
        <w:pStyle w:val="Default"/>
        <w:numPr>
          <w:ilvl w:val="0"/>
          <w:numId w:val="19"/>
        </w:numPr>
        <w:rPr>
          <w:rFonts w:ascii="Arial" w:eastAsia="Arial" w:hAnsi="Arial" w:cs="Arial"/>
        </w:rPr>
      </w:pPr>
      <w:r w:rsidRPr="00E86D1A">
        <w:rPr>
          <w:rFonts w:ascii="Arial" w:eastAsia="Arial" w:hAnsi="Arial" w:cs="Arial"/>
        </w:rPr>
        <w:t>Oil Production</w:t>
      </w:r>
    </w:p>
    <w:p w14:paraId="692AFE1F" w14:textId="77777777" w:rsidR="000C5C28" w:rsidRPr="00E86D1A" w:rsidRDefault="00890B7A" w:rsidP="00890B7A">
      <w:pPr>
        <w:pStyle w:val="Default"/>
        <w:numPr>
          <w:ilvl w:val="0"/>
          <w:numId w:val="19"/>
        </w:numPr>
        <w:rPr>
          <w:rFonts w:ascii="Arial" w:eastAsia="Arial" w:hAnsi="Arial" w:cs="Arial"/>
        </w:rPr>
      </w:pPr>
      <w:r w:rsidRPr="00E86D1A">
        <w:rPr>
          <w:rFonts w:ascii="Arial" w:eastAsia="Arial" w:hAnsi="Arial" w:cs="Arial"/>
        </w:rPr>
        <w:t>Enhanced Retro-Commissioning</w:t>
      </w:r>
    </w:p>
    <w:p w14:paraId="4DCFB19F" w14:textId="05DBAE1F" w:rsidR="00890B7A" w:rsidRPr="00E86D1A" w:rsidRDefault="00890B7A" w:rsidP="002A1D38">
      <w:pPr>
        <w:pStyle w:val="Default"/>
        <w:numPr>
          <w:ilvl w:val="0"/>
          <w:numId w:val="19"/>
        </w:numPr>
        <w:rPr>
          <w:rFonts w:ascii="Arial" w:eastAsia="Arial" w:hAnsi="Arial" w:cs="Arial"/>
        </w:rPr>
      </w:pPr>
      <w:r w:rsidRPr="00E86D1A">
        <w:rPr>
          <w:rFonts w:ascii="Arial" w:eastAsia="Arial" w:hAnsi="Arial" w:cs="Arial"/>
        </w:rPr>
        <w:t>Midsized Industrial Customer</w:t>
      </w:r>
    </w:p>
    <w:p w14:paraId="51C8F0A1" w14:textId="77777777" w:rsidR="00FF29E9" w:rsidRDefault="00FF29E9" w:rsidP="005B1EF5">
      <w:pPr>
        <w:pStyle w:val="Default"/>
        <w:ind w:left="720"/>
        <w:rPr>
          <w:rFonts w:ascii="Arial" w:eastAsia="Arial" w:hAnsi="Arial" w:cs="Arial"/>
        </w:rPr>
      </w:pPr>
    </w:p>
    <w:p w14:paraId="5A1D6D58" w14:textId="36C24364" w:rsidR="00FF29E9" w:rsidRDefault="00C97389" w:rsidP="00FF29E9">
      <w:pPr>
        <w:ind w:left="720"/>
        <w:rPr>
          <w:rFonts w:ascii="Arial" w:eastAsia="Arial" w:hAnsi="Arial" w:cs="Arial"/>
          <w:b/>
          <w:bCs/>
        </w:rPr>
      </w:pPr>
      <w:r>
        <w:rPr>
          <w:rFonts w:ascii="Arial" w:eastAsia="Arial" w:hAnsi="Arial" w:cs="Arial"/>
          <w:b/>
          <w:bCs/>
          <w:u w:val="single"/>
        </w:rPr>
        <w:t xml:space="preserve">Continued </w:t>
      </w:r>
      <w:r w:rsidR="00B702FB">
        <w:rPr>
          <w:rFonts w:ascii="Arial" w:eastAsia="Arial" w:hAnsi="Arial" w:cs="Arial"/>
          <w:b/>
          <w:bCs/>
          <w:u w:val="single"/>
        </w:rPr>
        <w:t xml:space="preserve">Non </w:t>
      </w:r>
      <w:r>
        <w:rPr>
          <w:rFonts w:ascii="Arial" w:eastAsia="Arial" w:hAnsi="Arial" w:cs="Arial"/>
          <w:b/>
          <w:bCs/>
          <w:u w:val="single"/>
        </w:rPr>
        <w:t xml:space="preserve">Cost-Effective Programs </w:t>
      </w:r>
    </w:p>
    <w:p w14:paraId="35F8B11F" w14:textId="77777777" w:rsidR="00FF29E9" w:rsidRDefault="00FF29E9" w:rsidP="00FF29E9">
      <w:pPr>
        <w:ind w:left="720"/>
        <w:rPr>
          <w:rFonts w:ascii="Arial" w:hAnsi="Arial" w:cs="Arial"/>
          <w:b/>
          <w:bCs/>
          <w:szCs w:val="24"/>
        </w:rPr>
      </w:pPr>
    </w:p>
    <w:p w14:paraId="59D540DA" w14:textId="28439D8B" w:rsidR="00A57F5B" w:rsidRDefault="00542BF5" w:rsidP="00FF29E9">
      <w:pPr>
        <w:pStyle w:val="Default"/>
        <w:ind w:left="720"/>
        <w:rPr>
          <w:rFonts w:ascii="Arial" w:eastAsia="Arial" w:hAnsi="Arial" w:cs="Arial"/>
        </w:rPr>
      </w:pPr>
      <w:r>
        <w:rPr>
          <w:rFonts w:ascii="Arial" w:eastAsia="Arial" w:hAnsi="Arial" w:cs="Arial"/>
        </w:rPr>
        <w:t>SCE is proposing to continue multiple resource and non</w:t>
      </w:r>
      <w:r w:rsidR="009565DC">
        <w:rPr>
          <w:rFonts w:ascii="Arial" w:eastAsia="Arial" w:hAnsi="Arial" w:cs="Arial"/>
        </w:rPr>
        <w:t>-</w:t>
      </w:r>
      <w:r>
        <w:rPr>
          <w:rFonts w:ascii="Arial" w:eastAsia="Arial" w:hAnsi="Arial" w:cs="Arial"/>
        </w:rPr>
        <w:t>resource programs in 2019</w:t>
      </w:r>
      <w:r w:rsidR="00A57F5B">
        <w:rPr>
          <w:rFonts w:ascii="Arial" w:eastAsia="Arial" w:hAnsi="Arial" w:cs="Arial"/>
        </w:rPr>
        <w:t xml:space="preserve"> which are not cost-effective.  </w:t>
      </w:r>
      <w:r w:rsidR="00823B29">
        <w:rPr>
          <w:rFonts w:ascii="Arial" w:eastAsia="Arial" w:hAnsi="Arial" w:cs="Arial"/>
        </w:rPr>
        <w:t>Continuance of these programs is</w:t>
      </w:r>
      <w:r w:rsidR="00A57F5B">
        <w:rPr>
          <w:rFonts w:ascii="Arial" w:eastAsia="Arial" w:hAnsi="Arial" w:cs="Arial"/>
        </w:rPr>
        <w:t xml:space="preserve"> related to compliance activities</w:t>
      </w:r>
      <w:r w:rsidR="00DE2A3F">
        <w:rPr>
          <w:rFonts w:ascii="Arial" w:eastAsia="Arial" w:hAnsi="Arial" w:cs="Arial"/>
        </w:rPr>
        <w:t xml:space="preserve"> and </w:t>
      </w:r>
      <w:r w:rsidR="00A57F5B">
        <w:rPr>
          <w:rFonts w:ascii="Arial" w:eastAsia="Arial" w:hAnsi="Arial" w:cs="Arial"/>
        </w:rPr>
        <w:t>supporting customer programs through the transition period</w:t>
      </w:r>
      <w:r>
        <w:rPr>
          <w:rFonts w:ascii="Arial" w:eastAsia="Arial" w:hAnsi="Arial" w:cs="Arial"/>
        </w:rPr>
        <w:t xml:space="preserve">.  SCE will continue to evaluate its portfolio of programs in response to </w:t>
      </w:r>
      <w:r w:rsidR="00823B29">
        <w:rPr>
          <w:rFonts w:ascii="Arial" w:eastAsia="Arial" w:hAnsi="Arial" w:cs="Arial"/>
        </w:rPr>
        <w:t>competitive solicitations</w:t>
      </w:r>
      <w:r>
        <w:rPr>
          <w:rFonts w:ascii="Arial" w:eastAsia="Arial" w:hAnsi="Arial" w:cs="Arial"/>
        </w:rPr>
        <w:t>, cost-effectiveness, ability to achieve goals and metrics, as well as other factors.</w:t>
      </w:r>
    </w:p>
    <w:p w14:paraId="7504BBF0" w14:textId="77777777" w:rsidR="00A57F5B" w:rsidRDefault="00A57F5B" w:rsidP="00FF29E9">
      <w:pPr>
        <w:pStyle w:val="Default"/>
        <w:ind w:left="720"/>
        <w:rPr>
          <w:rFonts w:ascii="Arial" w:eastAsia="Arial" w:hAnsi="Arial" w:cs="Arial"/>
        </w:rPr>
      </w:pPr>
    </w:p>
    <w:p w14:paraId="6CE9397F" w14:textId="7E9044DD" w:rsidR="00DE2A3F" w:rsidRDefault="00C7166F" w:rsidP="00DE2A3F">
      <w:pPr>
        <w:pStyle w:val="Default"/>
        <w:ind w:left="720"/>
        <w:rPr>
          <w:rFonts w:ascii="Arial" w:eastAsia="Arial" w:hAnsi="Arial" w:cs="Arial"/>
        </w:rPr>
      </w:pPr>
      <w:r>
        <w:rPr>
          <w:rFonts w:ascii="Arial" w:eastAsia="Arial" w:hAnsi="Arial" w:cs="Arial"/>
        </w:rPr>
        <w:t xml:space="preserve">SCE has multiple programs with low cost-effectiveness tied to its compliance with Assembly Bill 793.  </w:t>
      </w:r>
      <w:r w:rsidR="00A57F5B">
        <w:rPr>
          <w:rFonts w:ascii="Arial" w:eastAsia="Arial" w:hAnsi="Arial" w:cs="Arial"/>
        </w:rPr>
        <w:t xml:space="preserve">SCE’s Plug Load and Appliance program </w:t>
      </w:r>
      <w:r w:rsidR="00DE2A3F">
        <w:rPr>
          <w:rFonts w:ascii="Arial" w:eastAsia="Arial" w:hAnsi="Arial" w:cs="Arial"/>
        </w:rPr>
        <w:t xml:space="preserve">includes funding for </w:t>
      </w:r>
      <w:r w:rsidR="00DE2A3F" w:rsidRPr="00DE2A3F">
        <w:rPr>
          <w:rFonts w:ascii="Arial" w:eastAsia="Arial" w:hAnsi="Arial" w:cs="Arial"/>
        </w:rPr>
        <w:t>SCE</w:t>
      </w:r>
      <w:r w:rsidR="00DE2A3F">
        <w:rPr>
          <w:rFonts w:ascii="Arial" w:eastAsia="Arial" w:hAnsi="Arial" w:cs="Arial"/>
        </w:rPr>
        <w:t>’</w:t>
      </w:r>
      <w:r w:rsidR="00DE2A3F" w:rsidRPr="00DE2A3F">
        <w:rPr>
          <w:rFonts w:ascii="Arial" w:eastAsia="Arial" w:hAnsi="Arial" w:cs="Arial"/>
        </w:rPr>
        <w:t>s Marketplace website,</w:t>
      </w:r>
      <w:r w:rsidR="00823B29">
        <w:rPr>
          <w:rFonts w:ascii="Arial" w:eastAsia="Arial" w:hAnsi="Arial" w:cs="Arial"/>
        </w:rPr>
        <w:t xml:space="preserve"> located at Marketplace.sce.com</w:t>
      </w:r>
      <w:r>
        <w:rPr>
          <w:rFonts w:ascii="Arial" w:eastAsia="Arial" w:hAnsi="Arial" w:cs="Arial"/>
        </w:rPr>
        <w:t>, as well as funding for Smart Thermostats</w:t>
      </w:r>
      <w:r w:rsidR="00DE2A3F">
        <w:rPr>
          <w:rFonts w:ascii="Arial" w:eastAsia="Arial" w:hAnsi="Arial" w:cs="Arial"/>
        </w:rPr>
        <w:t xml:space="preserve">. </w:t>
      </w:r>
      <w:r>
        <w:rPr>
          <w:rFonts w:ascii="Arial" w:eastAsia="Arial" w:hAnsi="Arial" w:cs="Arial"/>
        </w:rPr>
        <w:t xml:space="preserve"> In addition, SCE has included funding for a Residential pay-for-performance program which complies with Assembly Bill 793.</w:t>
      </w:r>
      <w:r w:rsidR="00577E34">
        <w:rPr>
          <w:rFonts w:ascii="Arial" w:eastAsia="Arial" w:hAnsi="Arial" w:cs="Arial"/>
        </w:rPr>
        <w:t xml:space="preserve">  Resolution E-4820 provides additional details on these compliance obligations.</w:t>
      </w:r>
    </w:p>
    <w:p w14:paraId="11CCF2EE" w14:textId="77777777" w:rsidR="00577E34" w:rsidRDefault="00577E34" w:rsidP="00DE2A3F">
      <w:pPr>
        <w:pStyle w:val="Default"/>
        <w:ind w:left="720"/>
        <w:rPr>
          <w:rFonts w:ascii="Arial" w:eastAsia="Arial" w:hAnsi="Arial" w:cs="Arial"/>
        </w:rPr>
      </w:pPr>
    </w:p>
    <w:p w14:paraId="46FCB16A" w14:textId="7B4B0F4D" w:rsidR="00577E34" w:rsidRDefault="00577E34" w:rsidP="00DE2A3F">
      <w:pPr>
        <w:pStyle w:val="Default"/>
        <w:ind w:left="720"/>
        <w:rPr>
          <w:rFonts w:ascii="Arial" w:eastAsia="Arial" w:hAnsi="Arial" w:cs="Arial"/>
        </w:rPr>
      </w:pPr>
      <w:r>
        <w:rPr>
          <w:rFonts w:ascii="Arial" w:eastAsia="Arial" w:hAnsi="Arial" w:cs="Arial"/>
        </w:rPr>
        <w:t xml:space="preserve">While many of SCE’s 2019 Local Government Partnerships are not cost-effective, pursuant to D.18-05-041 SCE must </w:t>
      </w:r>
      <w:r w:rsidRPr="00577E34">
        <w:rPr>
          <w:rFonts w:ascii="Arial" w:eastAsia="Arial" w:hAnsi="Arial" w:cs="Arial"/>
        </w:rPr>
        <w:t xml:space="preserve">work with Local Government Partnership partners to improve cost-effectiveness and to meet the local </w:t>
      </w:r>
      <w:r w:rsidR="009565DC" w:rsidRPr="00577E34">
        <w:rPr>
          <w:rFonts w:ascii="Arial" w:eastAsia="Arial" w:hAnsi="Arial" w:cs="Arial"/>
        </w:rPr>
        <w:t>government</w:t>
      </w:r>
      <w:r w:rsidR="002B77DF">
        <w:rPr>
          <w:rFonts w:ascii="Arial" w:eastAsia="Arial" w:hAnsi="Arial" w:cs="Arial"/>
        </w:rPr>
        <w:t>’</w:t>
      </w:r>
      <w:r w:rsidR="009565DC" w:rsidRPr="00577E34">
        <w:rPr>
          <w:rFonts w:ascii="Arial" w:eastAsia="Arial" w:hAnsi="Arial" w:cs="Arial"/>
        </w:rPr>
        <w:t>s</w:t>
      </w:r>
      <w:r w:rsidR="00B64D3E">
        <w:rPr>
          <w:rFonts w:ascii="Arial" w:eastAsia="Arial" w:hAnsi="Arial" w:cs="Arial"/>
        </w:rPr>
        <w:t xml:space="preserve"> </w:t>
      </w:r>
      <w:r w:rsidR="009565DC" w:rsidRPr="00577E34">
        <w:rPr>
          <w:rFonts w:ascii="Arial" w:eastAsia="Arial" w:hAnsi="Arial" w:cs="Arial"/>
        </w:rPr>
        <w:t>needs</w:t>
      </w:r>
      <w:r w:rsidRPr="00577E34">
        <w:rPr>
          <w:rFonts w:ascii="Arial" w:eastAsia="Arial" w:hAnsi="Arial" w:cs="Arial"/>
        </w:rPr>
        <w:t xml:space="preserve"> with respect to data sharing and contract terms that align with local government budgeting, legal, and other constraints; quantify co-benefits and local economic benefits of Local Government Partnerships in hard-to-reach and disadvantaged communities; and support local governments’ efforts to increase local capacity to conduct energy efficiency activities.</w:t>
      </w:r>
      <w:r>
        <w:rPr>
          <w:rStyle w:val="FootnoteReference"/>
          <w:rFonts w:ascii="Arial" w:eastAsia="Arial" w:hAnsi="Arial" w:cs="Arial"/>
        </w:rPr>
        <w:footnoteReference w:id="6"/>
      </w:r>
    </w:p>
    <w:p w14:paraId="50E0DE36" w14:textId="41DE0D88" w:rsidR="000977DB" w:rsidRDefault="000977DB" w:rsidP="00DE2A3F">
      <w:pPr>
        <w:pStyle w:val="Default"/>
        <w:ind w:left="720"/>
        <w:rPr>
          <w:rFonts w:ascii="Arial" w:eastAsia="Arial" w:hAnsi="Arial" w:cs="Arial"/>
          <w:color w:val="auto"/>
        </w:rPr>
      </w:pPr>
    </w:p>
    <w:p w14:paraId="1B41AEDD" w14:textId="32C85B75" w:rsidR="000977DB" w:rsidRDefault="009C1125" w:rsidP="00DE2A3F">
      <w:pPr>
        <w:pStyle w:val="Default"/>
        <w:ind w:left="720"/>
        <w:rPr>
          <w:rFonts w:ascii="Arial" w:eastAsia="Arial" w:hAnsi="Arial" w:cs="Arial"/>
          <w:color w:val="auto"/>
        </w:rPr>
      </w:pPr>
      <w:r>
        <w:rPr>
          <w:rFonts w:ascii="Arial" w:eastAsia="Arial" w:hAnsi="Arial" w:cs="Arial"/>
          <w:color w:val="auto"/>
        </w:rPr>
        <w:t xml:space="preserve">Furthermore, </w:t>
      </w:r>
      <w:r w:rsidR="000977DB">
        <w:rPr>
          <w:rFonts w:ascii="Arial" w:eastAsia="Arial" w:hAnsi="Arial" w:cs="Arial"/>
          <w:color w:val="auto"/>
        </w:rPr>
        <w:t>many of SCE's third</w:t>
      </w:r>
      <w:r>
        <w:rPr>
          <w:rFonts w:ascii="Arial" w:eastAsia="Arial" w:hAnsi="Arial" w:cs="Arial"/>
          <w:color w:val="auto"/>
        </w:rPr>
        <w:t>-</w:t>
      </w:r>
      <w:r w:rsidR="000977DB">
        <w:rPr>
          <w:rFonts w:ascii="Arial" w:eastAsia="Arial" w:hAnsi="Arial" w:cs="Arial"/>
          <w:color w:val="auto"/>
        </w:rPr>
        <w:t>party programs currently shown to be non-cost-effective</w:t>
      </w:r>
      <w:r w:rsidR="00716204">
        <w:rPr>
          <w:rFonts w:ascii="Arial" w:eastAsia="Arial" w:hAnsi="Arial" w:cs="Arial"/>
          <w:color w:val="auto"/>
        </w:rPr>
        <w:t xml:space="preserve"> provide</w:t>
      </w:r>
      <w:r w:rsidR="00716204" w:rsidRPr="00716204">
        <w:rPr>
          <w:rFonts w:ascii="Arial" w:eastAsia="Arial" w:hAnsi="Arial" w:cs="Arial"/>
          <w:color w:val="auto"/>
        </w:rPr>
        <w:t xml:space="preserve"> </w:t>
      </w:r>
      <w:r w:rsidR="00716204">
        <w:rPr>
          <w:rFonts w:ascii="Arial" w:eastAsia="Arial" w:hAnsi="Arial" w:cs="Arial"/>
          <w:color w:val="auto"/>
        </w:rPr>
        <w:t>ongoing operations of commitments from previous years.</w:t>
      </w:r>
      <w:r w:rsidR="000977DB">
        <w:rPr>
          <w:rFonts w:ascii="Arial" w:eastAsia="Arial" w:hAnsi="Arial" w:cs="Arial"/>
          <w:color w:val="auto"/>
        </w:rPr>
        <w:t xml:space="preserve"> </w:t>
      </w:r>
      <w:r w:rsidR="00716204">
        <w:rPr>
          <w:rFonts w:ascii="Arial" w:eastAsia="Arial" w:hAnsi="Arial" w:cs="Arial"/>
          <w:color w:val="auto"/>
        </w:rPr>
        <w:lastRenderedPageBreak/>
        <w:t>A</w:t>
      </w:r>
      <w:r w:rsidR="000977DB">
        <w:rPr>
          <w:rFonts w:ascii="Arial" w:eastAsia="Arial" w:hAnsi="Arial" w:cs="Arial"/>
          <w:color w:val="auto"/>
        </w:rPr>
        <w:t>s noted above</w:t>
      </w:r>
      <w:r w:rsidR="00716204">
        <w:rPr>
          <w:rFonts w:ascii="Arial" w:eastAsia="Arial" w:hAnsi="Arial" w:cs="Arial"/>
          <w:color w:val="auto"/>
        </w:rPr>
        <w:t>,</w:t>
      </w:r>
      <w:r w:rsidR="000977DB">
        <w:rPr>
          <w:rFonts w:ascii="Arial" w:eastAsia="Arial" w:hAnsi="Arial" w:cs="Arial"/>
          <w:color w:val="auto"/>
        </w:rPr>
        <w:t xml:space="preserve"> </w:t>
      </w:r>
      <w:r w:rsidR="00716204">
        <w:rPr>
          <w:rFonts w:ascii="Arial" w:eastAsia="Arial" w:hAnsi="Arial" w:cs="Arial"/>
          <w:color w:val="auto"/>
        </w:rPr>
        <w:t>funding from previous years will continue to support these programs.</w:t>
      </w:r>
      <w:r w:rsidR="000977DB">
        <w:rPr>
          <w:rFonts w:ascii="Arial" w:eastAsia="Arial" w:hAnsi="Arial" w:cs="Arial"/>
          <w:color w:val="auto"/>
        </w:rPr>
        <w:t xml:space="preserve"> SCE’s upcoming </w:t>
      </w:r>
      <w:r w:rsidR="008F576D">
        <w:rPr>
          <w:rFonts w:ascii="Arial" w:eastAsia="Arial" w:hAnsi="Arial" w:cs="Arial"/>
          <w:color w:val="auto"/>
        </w:rPr>
        <w:t>third</w:t>
      </w:r>
      <w:r>
        <w:rPr>
          <w:rFonts w:ascii="Arial" w:eastAsia="Arial" w:hAnsi="Arial" w:cs="Arial"/>
          <w:color w:val="auto"/>
        </w:rPr>
        <w:t>-</w:t>
      </w:r>
      <w:r w:rsidR="000977DB">
        <w:rPr>
          <w:rFonts w:ascii="Arial" w:eastAsia="Arial" w:hAnsi="Arial" w:cs="Arial"/>
          <w:color w:val="auto"/>
        </w:rPr>
        <w:t>party solicitations are anticipated to improve the cost-effectiveness of these programs.</w:t>
      </w:r>
    </w:p>
    <w:p w14:paraId="11DE6853" w14:textId="7E6A0E76" w:rsidR="0012234F" w:rsidRDefault="0012234F" w:rsidP="00DE2A3F">
      <w:pPr>
        <w:pStyle w:val="Default"/>
        <w:ind w:left="720"/>
        <w:rPr>
          <w:rFonts w:ascii="Arial" w:eastAsia="Arial" w:hAnsi="Arial" w:cs="Arial"/>
          <w:color w:val="auto"/>
        </w:rPr>
      </w:pPr>
    </w:p>
    <w:p w14:paraId="73F44E3A" w14:textId="471A31FA" w:rsidR="0012234F" w:rsidRDefault="0012234F" w:rsidP="00DE2A3F">
      <w:pPr>
        <w:pStyle w:val="Default"/>
        <w:ind w:left="720"/>
        <w:rPr>
          <w:rFonts w:ascii="Arial" w:eastAsia="Arial" w:hAnsi="Arial" w:cs="Arial"/>
          <w:color w:val="auto"/>
        </w:rPr>
      </w:pPr>
      <w:r>
        <w:rPr>
          <w:rFonts w:ascii="Arial" w:eastAsia="Arial" w:hAnsi="Arial" w:cs="Arial"/>
          <w:color w:val="auto"/>
        </w:rPr>
        <w:t xml:space="preserve">SCE is also continuing two low-TRC programs which provide direct installation services to small business and school markets.  These programs, Commercial Direct Install and School Energy Efficiency, will assist customers in these markets with energy savings and enable SCE to meet its 2019 energy savings and demand reduction metrics.  Due to the implementation strategy of these direct installation programs, these programs do not result in long-term customer and utility commitments and can be rapidly ramped down should SCE’s third party solicitations result in new program concepts to deliver savings in these markets. </w:t>
      </w:r>
    </w:p>
    <w:p w14:paraId="15E74994" w14:textId="77777777" w:rsidR="000977DB" w:rsidRDefault="000977DB" w:rsidP="00DE2A3F">
      <w:pPr>
        <w:pStyle w:val="Default"/>
        <w:ind w:left="720"/>
        <w:rPr>
          <w:rFonts w:ascii="Arial" w:eastAsia="Arial" w:hAnsi="Arial" w:cs="Arial"/>
          <w:color w:val="auto"/>
        </w:rPr>
      </w:pPr>
    </w:p>
    <w:p w14:paraId="36DD910E" w14:textId="77777777" w:rsidR="009D2C7B" w:rsidRDefault="000977DB" w:rsidP="00DE2A3F">
      <w:pPr>
        <w:pStyle w:val="Default"/>
        <w:ind w:left="720"/>
        <w:rPr>
          <w:rFonts w:ascii="Arial" w:eastAsia="Arial" w:hAnsi="Arial" w:cs="Arial"/>
          <w:color w:val="auto"/>
        </w:rPr>
      </w:pPr>
      <w:r>
        <w:rPr>
          <w:rFonts w:ascii="Arial" w:eastAsia="Arial" w:hAnsi="Arial" w:cs="Arial"/>
          <w:color w:val="auto"/>
        </w:rPr>
        <w:t>SCE’s nonresidential customized and deemed programs have experienced declines in cost-effective</w:t>
      </w:r>
      <w:r w:rsidR="00612FF8">
        <w:rPr>
          <w:rFonts w:ascii="Arial" w:eastAsia="Arial" w:hAnsi="Arial" w:cs="Arial"/>
          <w:color w:val="auto"/>
        </w:rPr>
        <w:t xml:space="preserve"> savings </w:t>
      </w:r>
      <w:r w:rsidR="004612E1">
        <w:rPr>
          <w:rFonts w:ascii="Arial" w:eastAsia="Arial" w:hAnsi="Arial" w:cs="Arial"/>
          <w:color w:val="auto"/>
        </w:rPr>
        <w:t>for several reasons. First,</w:t>
      </w:r>
      <w:r>
        <w:rPr>
          <w:rFonts w:ascii="Arial" w:eastAsia="Arial" w:hAnsi="Arial" w:cs="Arial"/>
          <w:color w:val="auto"/>
        </w:rPr>
        <w:t xml:space="preserve"> </w:t>
      </w:r>
      <w:r w:rsidR="004612E1">
        <w:rPr>
          <w:rFonts w:ascii="Arial" w:eastAsia="Arial" w:hAnsi="Arial" w:cs="Arial"/>
          <w:color w:val="auto"/>
        </w:rPr>
        <w:t xml:space="preserve">CPUC dispositions and codes have resulted in </w:t>
      </w:r>
      <w:r>
        <w:rPr>
          <w:rFonts w:ascii="Arial" w:eastAsia="Arial" w:hAnsi="Arial" w:cs="Arial"/>
          <w:color w:val="auto"/>
        </w:rPr>
        <w:t xml:space="preserve">reductions </w:t>
      </w:r>
      <w:r w:rsidR="004612E1">
        <w:rPr>
          <w:rFonts w:ascii="Arial" w:eastAsia="Arial" w:hAnsi="Arial" w:cs="Arial"/>
          <w:color w:val="auto"/>
        </w:rPr>
        <w:t>of</w:t>
      </w:r>
      <w:r>
        <w:rPr>
          <w:rFonts w:ascii="Arial" w:eastAsia="Arial" w:hAnsi="Arial" w:cs="Arial"/>
          <w:color w:val="auto"/>
        </w:rPr>
        <w:t xml:space="preserve"> available measures</w:t>
      </w:r>
      <w:r w:rsidR="004612E1">
        <w:rPr>
          <w:rFonts w:ascii="Arial" w:eastAsia="Arial" w:hAnsi="Arial" w:cs="Arial"/>
          <w:color w:val="auto"/>
        </w:rPr>
        <w:t>.</w:t>
      </w:r>
      <w:r>
        <w:rPr>
          <w:rFonts w:ascii="Arial" w:eastAsia="Arial" w:hAnsi="Arial" w:cs="Arial"/>
          <w:color w:val="auto"/>
        </w:rPr>
        <w:t xml:space="preserve"> </w:t>
      </w:r>
      <w:r w:rsidR="004612E1">
        <w:rPr>
          <w:rFonts w:ascii="Arial" w:eastAsia="Arial" w:hAnsi="Arial" w:cs="Arial"/>
          <w:color w:val="auto"/>
        </w:rPr>
        <w:t>Second</w:t>
      </w:r>
      <w:r w:rsidR="00123969">
        <w:rPr>
          <w:rFonts w:ascii="Arial" w:eastAsia="Arial" w:hAnsi="Arial" w:cs="Arial"/>
          <w:color w:val="auto"/>
        </w:rPr>
        <w:t>,</w:t>
      </w:r>
      <w:r w:rsidR="005263F7">
        <w:rPr>
          <w:rFonts w:ascii="Arial" w:eastAsia="Arial" w:hAnsi="Arial" w:cs="Arial"/>
          <w:color w:val="auto"/>
        </w:rPr>
        <w:t xml:space="preserve"> SCE has shifted the</w:t>
      </w:r>
      <w:r w:rsidR="00123969">
        <w:rPr>
          <w:rFonts w:ascii="Arial" w:eastAsia="Arial" w:hAnsi="Arial" w:cs="Arial"/>
          <w:color w:val="auto"/>
        </w:rPr>
        <w:t xml:space="preserve"> remaining available </w:t>
      </w:r>
      <w:r w:rsidR="004612E1">
        <w:rPr>
          <w:rFonts w:ascii="Arial" w:eastAsia="Arial" w:hAnsi="Arial" w:cs="Arial"/>
          <w:color w:val="auto"/>
        </w:rPr>
        <w:t xml:space="preserve">measures </w:t>
      </w:r>
      <w:r>
        <w:rPr>
          <w:rFonts w:ascii="Arial" w:eastAsia="Arial" w:hAnsi="Arial" w:cs="Arial"/>
          <w:color w:val="auto"/>
        </w:rPr>
        <w:t>to more cost-effective</w:t>
      </w:r>
      <w:r w:rsidR="005263F7">
        <w:rPr>
          <w:rFonts w:ascii="Arial" w:eastAsia="Arial" w:hAnsi="Arial" w:cs="Arial"/>
          <w:color w:val="auto"/>
        </w:rPr>
        <w:t xml:space="preserve"> delivery</w:t>
      </w:r>
      <w:r>
        <w:rPr>
          <w:rFonts w:ascii="Arial" w:eastAsia="Arial" w:hAnsi="Arial" w:cs="Arial"/>
          <w:color w:val="auto"/>
        </w:rPr>
        <w:t xml:space="preserve"> channels</w:t>
      </w:r>
      <w:r w:rsidR="00D21D8A">
        <w:rPr>
          <w:rFonts w:ascii="Arial" w:eastAsia="Arial" w:hAnsi="Arial" w:cs="Arial"/>
          <w:color w:val="auto"/>
        </w:rPr>
        <w:t>, resulting in [challenges to meeting other requirements]</w:t>
      </w:r>
      <w:r w:rsidR="004612E1">
        <w:rPr>
          <w:rFonts w:ascii="Arial" w:eastAsia="Arial" w:hAnsi="Arial" w:cs="Arial"/>
          <w:color w:val="auto"/>
        </w:rPr>
        <w:t>.</w:t>
      </w:r>
      <w:r>
        <w:rPr>
          <w:rFonts w:ascii="Arial" w:eastAsia="Arial" w:hAnsi="Arial" w:cs="Arial"/>
          <w:color w:val="auto"/>
        </w:rPr>
        <w:t xml:space="preserve"> </w:t>
      </w:r>
      <w:r w:rsidR="004612E1">
        <w:rPr>
          <w:rFonts w:ascii="Arial" w:eastAsia="Arial" w:hAnsi="Arial" w:cs="Arial"/>
          <w:color w:val="auto"/>
        </w:rPr>
        <w:t xml:space="preserve">Lastly, </w:t>
      </w:r>
      <w:r w:rsidR="00123969">
        <w:rPr>
          <w:rFonts w:ascii="Arial" w:eastAsia="Arial" w:hAnsi="Arial" w:cs="Arial"/>
          <w:color w:val="auto"/>
        </w:rPr>
        <w:t>increased participation requirements</w:t>
      </w:r>
      <w:r w:rsidR="00620D8A">
        <w:rPr>
          <w:rFonts w:ascii="Arial" w:eastAsia="Arial" w:hAnsi="Arial" w:cs="Arial"/>
          <w:color w:val="auto"/>
        </w:rPr>
        <w:t xml:space="preserve"> and uncertainty in rules</w:t>
      </w:r>
      <w:r w:rsidR="00123969">
        <w:rPr>
          <w:rFonts w:ascii="Arial" w:eastAsia="Arial" w:hAnsi="Arial" w:cs="Arial"/>
          <w:color w:val="auto"/>
        </w:rPr>
        <w:t xml:space="preserve"> have caused</w:t>
      </w:r>
      <w:r w:rsidR="00123969" w:rsidDel="00123969">
        <w:rPr>
          <w:rFonts w:ascii="Arial" w:eastAsia="Arial" w:hAnsi="Arial" w:cs="Arial"/>
          <w:color w:val="auto"/>
        </w:rPr>
        <w:t xml:space="preserve"> </w:t>
      </w:r>
      <w:r w:rsidR="00123969">
        <w:rPr>
          <w:rFonts w:ascii="Arial" w:eastAsia="Arial" w:hAnsi="Arial" w:cs="Arial"/>
          <w:color w:val="auto"/>
        </w:rPr>
        <w:t xml:space="preserve">a reduction in customer </w:t>
      </w:r>
      <w:r>
        <w:rPr>
          <w:rFonts w:ascii="Arial" w:eastAsia="Arial" w:hAnsi="Arial" w:cs="Arial"/>
          <w:color w:val="auto"/>
        </w:rPr>
        <w:t>participation</w:t>
      </w:r>
      <w:r w:rsidR="00246664">
        <w:rPr>
          <w:rFonts w:ascii="Arial" w:eastAsia="Arial" w:hAnsi="Arial" w:cs="Arial"/>
          <w:color w:val="auto"/>
        </w:rPr>
        <w:t>.</w:t>
      </w:r>
      <w:r w:rsidR="00620D8A">
        <w:rPr>
          <w:rFonts w:ascii="Arial" w:eastAsia="Arial" w:hAnsi="Arial" w:cs="Arial"/>
          <w:color w:val="auto"/>
        </w:rPr>
        <w:t xml:space="preserve"> </w:t>
      </w:r>
    </w:p>
    <w:p w14:paraId="7B40FECA" w14:textId="77777777" w:rsidR="009D2C7B" w:rsidRDefault="009D2C7B" w:rsidP="00DE2A3F">
      <w:pPr>
        <w:pStyle w:val="Default"/>
        <w:ind w:left="720"/>
        <w:rPr>
          <w:rFonts w:ascii="Arial" w:eastAsia="Arial" w:hAnsi="Arial" w:cs="Arial"/>
          <w:color w:val="auto"/>
        </w:rPr>
      </w:pPr>
    </w:p>
    <w:p w14:paraId="79AB6ACC" w14:textId="72C7DDFD" w:rsidR="000977DB" w:rsidRPr="7FBA53CB" w:rsidDel="00A57F5B" w:rsidRDefault="009D2C7B" w:rsidP="00DE2A3F">
      <w:pPr>
        <w:pStyle w:val="Default"/>
        <w:ind w:left="720"/>
        <w:rPr>
          <w:rFonts w:ascii="Arial" w:eastAsia="Arial" w:hAnsi="Arial" w:cs="Arial"/>
        </w:rPr>
      </w:pPr>
      <w:r>
        <w:rPr>
          <w:rFonts w:ascii="Arial" w:eastAsia="Arial" w:hAnsi="Arial" w:cs="Arial"/>
          <w:color w:val="auto"/>
        </w:rPr>
        <w:t>Pending</w:t>
      </w:r>
      <w:r w:rsidR="00F145EF">
        <w:rPr>
          <w:rFonts w:ascii="Arial" w:eastAsia="Arial" w:hAnsi="Arial" w:cs="Arial"/>
          <w:color w:val="auto"/>
        </w:rPr>
        <w:t xml:space="preserve"> </w:t>
      </w:r>
      <w:r>
        <w:rPr>
          <w:rFonts w:ascii="Arial" w:eastAsia="Arial" w:hAnsi="Arial" w:cs="Arial"/>
          <w:color w:val="auto"/>
        </w:rPr>
        <w:t xml:space="preserve">further </w:t>
      </w:r>
      <w:r w:rsidR="00F145EF">
        <w:rPr>
          <w:rFonts w:ascii="Arial" w:eastAsia="Arial" w:hAnsi="Arial" w:cs="Arial"/>
          <w:color w:val="auto"/>
        </w:rPr>
        <w:t>direction from ED</w:t>
      </w:r>
      <w:r>
        <w:rPr>
          <w:rFonts w:ascii="Arial" w:eastAsia="Arial" w:hAnsi="Arial" w:cs="Arial"/>
          <w:color w:val="auto"/>
        </w:rPr>
        <w:t>, challenges stemming from</w:t>
      </w:r>
      <w:r w:rsidR="00180850">
        <w:rPr>
          <w:rFonts w:ascii="Arial" w:eastAsia="Arial" w:hAnsi="Arial" w:cs="Arial"/>
          <w:color w:val="auto"/>
        </w:rPr>
        <w:t xml:space="preserve"> </w:t>
      </w:r>
      <w:r>
        <w:rPr>
          <w:rFonts w:ascii="Arial" w:eastAsia="Arial" w:hAnsi="Arial" w:cs="Arial"/>
          <w:color w:val="auto"/>
        </w:rPr>
        <w:t>u</w:t>
      </w:r>
      <w:r w:rsidR="00620D8A">
        <w:rPr>
          <w:rFonts w:ascii="Arial" w:eastAsia="Arial" w:hAnsi="Arial" w:cs="Arial"/>
          <w:color w:val="auto"/>
        </w:rPr>
        <w:t>ncertainty</w:t>
      </w:r>
      <w:r w:rsidR="003D2A51">
        <w:rPr>
          <w:rFonts w:ascii="Arial" w:eastAsia="Arial" w:hAnsi="Arial" w:cs="Arial"/>
          <w:color w:val="auto"/>
        </w:rPr>
        <w:t xml:space="preserve"> in rules</w:t>
      </w:r>
      <w:r>
        <w:rPr>
          <w:rFonts w:ascii="Arial" w:eastAsia="Arial" w:hAnsi="Arial" w:cs="Arial"/>
          <w:color w:val="auto"/>
        </w:rPr>
        <w:t>,</w:t>
      </w:r>
      <w:r w:rsidR="00620D8A">
        <w:rPr>
          <w:rFonts w:ascii="Arial" w:eastAsia="Arial" w:hAnsi="Arial" w:cs="Arial"/>
          <w:color w:val="auto"/>
        </w:rPr>
        <w:t xml:space="preserve"> includ</w:t>
      </w:r>
      <w:r>
        <w:rPr>
          <w:rFonts w:ascii="Arial" w:eastAsia="Arial" w:hAnsi="Arial" w:cs="Arial"/>
          <w:color w:val="auto"/>
        </w:rPr>
        <w:t>ing</w:t>
      </w:r>
      <w:r w:rsidR="00620D8A">
        <w:rPr>
          <w:rFonts w:ascii="Arial" w:eastAsia="Arial" w:hAnsi="Arial" w:cs="Arial"/>
          <w:color w:val="auto"/>
        </w:rPr>
        <w:t xml:space="preserve"> measure </w:t>
      </w:r>
      <w:r w:rsidR="003D2A51">
        <w:rPr>
          <w:rFonts w:ascii="Arial" w:eastAsia="Arial" w:hAnsi="Arial" w:cs="Arial"/>
          <w:color w:val="auto"/>
        </w:rPr>
        <w:t>edibility</w:t>
      </w:r>
      <w:r w:rsidR="00620D8A">
        <w:rPr>
          <w:rFonts w:ascii="Arial" w:eastAsia="Arial" w:hAnsi="Arial" w:cs="Arial"/>
          <w:color w:val="auto"/>
        </w:rPr>
        <w:t xml:space="preserve"> rules such as </w:t>
      </w:r>
      <w:r>
        <w:rPr>
          <w:rFonts w:ascii="Arial" w:eastAsia="Arial" w:hAnsi="Arial" w:cs="Arial"/>
          <w:color w:val="auto"/>
        </w:rPr>
        <w:t>the</w:t>
      </w:r>
      <w:r w:rsidR="00620D8A">
        <w:rPr>
          <w:rFonts w:ascii="Arial" w:eastAsia="Arial" w:hAnsi="Arial" w:cs="Arial"/>
          <w:color w:val="auto"/>
        </w:rPr>
        <w:t xml:space="preserve"> Industry Standard Practice</w:t>
      </w:r>
      <w:r w:rsidR="000E72A4">
        <w:rPr>
          <w:rFonts w:ascii="Arial" w:eastAsia="Arial" w:hAnsi="Arial" w:cs="Arial"/>
          <w:color w:val="auto"/>
        </w:rPr>
        <w:t>,</w:t>
      </w:r>
      <w:r w:rsidR="00620D8A">
        <w:rPr>
          <w:rFonts w:ascii="Arial" w:eastAsia="Arial" w:hAnsi="Arial" w:cs="Arial"/>
          <w:color w:val="auto"/>
        </w:rPr>
        <w:t xml:space="preserve"> baseline determinations that can occur at any time, unknown project review timing, and changing data requirements </w:t>
      </w:r>
      <w:r w:rsidR="000E72A4">
        <w:rPr>
          <w:rFonts w:ascii="Arial" w:eastAsia="Arial" w:hAnsi="Arial" w:cs="Arial"/>
          <w:color w:val="auto"/>
        </w:rPr>
        <w:t xml:space="preserve">will continue </w:t>
      </w:r>
      <w:r w:rsidR="00620D8A">
        <w:rPr>
          <w:rFonts w:ascii="Arial" w:eastAsia="Arial" w:hAnsi="Arial" w:cs="Arial"/>
          <w:color w:val="auto"/>
        </w:rPr>
        <w:t>to influence incentive eligibility</w:t>
      </w:r>
      <w:r w:rsidR="000977DB">
        <w:rPr>
          <w:rFonts w:ascii="Arial" w:eastAsia="Arial" w:hAnsi="Arial" w:cs="Arial"/>
          <w:color w:val="auto"/>
        </w:rPr>
        <w:t xml:space="preserve">. </w:t>
      </w:r>
      <w:r w:rsidR="00E755BB">
        <w:rPr>
          <w:rFonts w:ascii="Arial" w:eastAsia="Arial" w:hAnsi="Arial" w:cs="Arial"/>
          <w:color w:val="auto"/>
        </w:rPr>
        <w:t>SCE anticipates be</w:t>
      </w:r>
      <w:r w:rsidR="00A67665">
        <w:rPr>
          <w:rFonts w:ascii="Arial" w:eastAsia="Arial" w:hAnsi="Arial" w:cs="Arial"/>
          <w:color w:val="auto"/>
        </w:rPr>
        <w:t xml:space="preserve">tter alignment between program cost-effectiveness to measure availability with increased guidance from </w:t>
      </w:r>
      <w:r w:rsidR="00FB4CC6">
        <w:rPr>
          <w:rFonts w:ascii="Arial" w:eastAsia="Arial" w:hAnsi="Arial" w:cs="Arial"/>
          <w:color w:val="auto"/>
        </w:rPr>
        <w:t>the Commission</w:t>
      </w:r>
      <w:r w:rsidR="00A67665">
        <w:rPr>
          <w:rFonts w:ascii="Arial" w:eastAsia="Arial" w:hAnsi="Arial" w:cs="Arial"/>
          <w:color w:val="auto"/>
        </w:rPr>
        <w:t>.</w:t>
      </w:r>
      <w:r w:rsidR="00E755BB">
        <w:rPr>
          <w:rFonts w:ascii="Arial" w:eastAsia="Arial" w:hAnsi="Arial" w:cs="Arial"/>
          <w:color w:val="auto"/>
        </w:rPr>
        <w:t xml:space="preserve"> </w:t>
      </w:r>
      <w:r w:rsidR="00123969">
        <w:rPr>
          <w:rFonts w:ascii="Arial" w:eastAsia="Arial" w:hAnsi="Arial" w:cs="Arial"/>
          <w:color w:val="auto"/>
        </w:rPr>
        <w:t>Despite declines in cost-effectiveness, however, t</w:t>
      </w:r>
      <w:r w:rsidR="000977DB">
        <w:rPr>
          <w:rFonts w:ascii="Arial" w:eastAsia="Arial" w:hAnsi="Arial" w:cs="Arial"/>
          <w:color w:val="auto"/>
        </w:rPr>
        <w:t xml:space="preserve">hese programs will continue to be offered to allow for participation in energy efficiency in the nonresidential customer segment while new programs are being solicited and ramped up.  In addition, </w:t>
      </w:r>
      <w:r w:rsidR="00916520">
        <w:rPr>
          <w:rFonts w:ascii="Arial" w:eastAsia="Arial" w:hAnsi="Arial" w:cs="Arial"/>
          <w:color w:val="auto"/>
        </w:rPr>
        <w:t>these programs provide a means to offer energy efficiency solutions to business cu</w:t>
      </w:r>
      <w:r w:rsidR="00280541">
        <w:rPr>
          <w:rFonts w:ascii="Arial" w:eastAsia="Arial" w:hAnsi="Arial" w:cs="Arial"/>
          <w:color w:val="auto"/>
        </w:rPr>
        <w:t>stomers not served by the third-</w:t>
      </w:r>
      <w:r w:rsidR="00916520">
        <w:rPr>
          <w:rFonts w:ascii="Arial" w:eastAsia="Arial" w:hAnsi="Arial" w:cs="Arial"/>
          <w:color w:val="auto"/>
        </w:rPr>
        <w:t>party markets. Similar</w:t>
      </w:r>
      <w:r w:rsidR="005263F7">
        <w:rPr>
          <w:rFonts w:ascii="Arial" w:eastAsia="Arial" w:hAnsi="Arial" w:cs="Arial"/>
          <w:color w:val="auto"/>
        </w:rPr>
        <w:t xml:space="preserve"> to </w:t>
      </w:r>
      <w:r w:rsidR="000977DB">
        <w:rPr>
          <w:rFonts w:ascii="Arial" w:eastAsia="Arial" w:hAnsi="Arial" w:cs="Arial"/>
          <w:color w:val="auto"/>
        </w:rPr>
        <w:t>previous years</w:t>
      </w:r>
      <w:r w:rsidR="00916520">
        <w:rPr>
          <w:rFonts w:ascii="Arial" w:eastAsia="Arial" w:hAnsi="Arial" w:cs="Arial"/>
          <w:color w:val="auto"/>
        </w:rPr>
        <w:t>,</w:t>
      </w:r>
      <w:r w:rsidR="000977DB">
        <w:rPr>
          <w:rFonts w:ascii="Arial" w:eastAsia="Arial" w:hAnsi="Arial" w:cs="Arial"/>
          <w:color w:val="auto"/>
        </w:rPr>
        <w:t xml:space="preserve"> </w:t>
      </w:r>
      <w:r w:rsidR="005263F7">
        <w:rPr>
          <w:rFonts w:ascii="Arial" w:eastAsia="Arial" w:hAnsi="Arial" w:cs="Arial"/>
          <w:color w:val="auto"/>
        </w:rPr>
        <w:t xml:space="preserve">SCE has offered </w:t>
      </w:r>
      <w:r w:rsidR="000977DB">
        <w:rPr>
          <w:rFonts w:ascii="Arial" w:eastAsia="Arial" w:hAnsi="Arial" w:cs="Arial"/>
          <w:color w:val="auto"/>
        </w:rPr>
        <w:t xml:space="preserve">nonresidential </w:t>
      </w:r>
      <w:r w:rsidR="00123969">
        <w:rPr>
          <w:rFonts w:ascii="Arial" w:eastAsia="Arial" w:hAnsi="Arial" w:cs="Arial"/>
          <w:color w:val="auto"/>
        </w:rPr>
        <w:t>third-</w:t>
      </w:r>
      <w:r w:rsidR="000977DB">
        <w:rPr>
          <w:rFonts w:ascii="Arial" w:eastAsia="Arial" w:hAnsi="Arial" w:cs="Arial"/>
          <w:color w:val="auto"/>
        </w:rPr>
        <w:t xml:space="preserve">party programs </w:t>
      </w:r>
      <w:r w:rsidR="005263F7">
        <w:rPr>
          <w:rFonts w:ascii="Arial" w:eastAsia="Arial" w:hAnsi="Arial" w:cs="Arial"/>
          <w:color w:val="auto"/>
        </w:rPr>
        <w:t xml:space="preserve">along </w:t>
      </w:r>
      <w:r w:rsidR="000977DB">
        <w:rPr>
          <w:rFonts w:ascii="Arial" w:eastAsia="Arial" w:hAnsi="Arial" w:cs="Arial"/>
          <w:color w:val="auto"/>
        </w:rPr>
        <w:t xml:space="preserve">with </w:t>
      </w:r>
      <w:r w:rsidR="00916520">
        <w:rPr>
          <w:rFonts w:ascii="Arial" w:eastAsia="Arial" w:hAnsi="Arial" w:cs="Arial"/>
          <w:color w:val="auto"/>
        </w:rPr>
        <w:t xml:space="preserve">SCE’s nonresidential customized and deemed </w:t>
      </w:r>
      <w:r w:rsidR="000977DB">
        <w:rPr>
          <w:rFonts w:ascii="Arial" w:eastAsia="Arial" w:hAnsi="Arial" w:cs="Arial"/>
          <w:color w:val="auto"/>
        </w:rPr>
        <w:t>programs</w:t>
      </w:r>
      <w:r w:rsidR="00916520">
        <w:rPr>
          <w:rFonts w:ascii="Arial" w:eastAsia="Arial" w:hAnsi="Arial" w:cs="Arial"/>
          <w:color w:val="auto"/>
        </w:rPr>
        <w:t>.</w:t>
      </w:r>
      <w:r w:rsidR="000977DB">
        <w:rPr>
          <w:rFonts w:ascii="Arial" w:eastAsia="Arial" w:hAnsi="Arial" w:cs="Arial"/>
          <w:color w:val="auto"/>
        </w:rPr>
        <w:t xml:space="preserve"> </w:t>
      </w:r>
    </w:p>
    <w:p w14:paraId="20AFB82C" w14:textId="648F1704" w:rsidR="00FF29E9" w:rsidRDefault="00FF29E9" w:rsidP="00DE2A3F">
      <w:pPr>
        <w:pStyle w:val="Default"/>
        <w:ind w:left="720"/>
        <w:rPr>
          <w:rFonts w:ascii="Arial" w:eastAsia="Arial" w:hAnsi="Arial" w:cs="Arial"/>
        </w:rPr>
      </w:pPr>
    </w:p>
    <w:p w14:paraId="318B1398" w14:textId="14A8917A" w:rsidR="00742514" w:rsidRDefault="00742514" w:rsidP="00DE2A3F">
      <w:pPr>
        <w:pStyle w:val="Default"/>
        <w:ind w:left="720"/>
        <w:rPr>
          <w:rFonts w:ascii="Arial" w:eastAsia="Arial" w:hAnsi="Arial" w:cs="Arial"/>
          <w:color w:val="auto"/>
        </w:rPr>
      </w:pPr>
      <w:r>
        <w:rPr>
          <w:rFonts w:ascii="Arial" w:eastAsia="Arial" w:hAnsi="Arial" w:cs="Arial"/>
          <w:color w:val="auto"/>
        </w:rPr>
        <w:t>SCE will also continue to offer Savings by Design (SBD)</w:t>
      </w:r>
      <w:r w:rsidR="008918F5">
        <w:rPr>
          <w:rFonts w:ascii="Arial" w:eastAsia="Arial" w:hAnsi="Arial" w:cs="Arial"/>
          <w:color w:val="auto"/>
        </w:rPr>
        <w:t xml:space="preserve"> even though it may no longer be cost effective</w:t>
      </w:r>
      <w:r>
        <w:rPr>
          <w:rFonts w:ascii="Arial" w:eastAsia="Arial" w:hAnsi="Arial" w:cs="Arial"/>
          <w:color w:val="auto"/>
        </w:rPr>
        <w:t>.</w:t>
      </w:r>
      <w:r>
        <w:rPr>
          <w:rStyle w:val="FootnoteReference"/>
          <w:rFonts w:ascii="Arial" w:eastAsia="Arial" w:hAnsi="Arial" w:cs="Arial"/>
          <w:color w:val="auto"/>
        </w:rPr>
        <w:footnoteReference w:id="7"/>
      </w:r>
      <w:r>
        <w:rPr>
          <w:rFonts w:ascii="Arial" w:eastAsia="Arial" w:hAnsi="Arial" w:cs="Arial"/>
          <w:color w:val="auto"/>
        </w:rPr>
        <w:t xml:space="preserve"> </w:t>
      </w:r>
      <w:r w:rsidR="00B72B71">
        <w:rPr>
          <w:rFonts w:ascii="Arial" w:eastAsia="Arial" w:hAnsi="Arial" w:cs="Arial"/>
          <w:color w:val="auto"/>
        </w:rPr>
        <w:t xml:space="preserve"> SCE recently received a</w:t>
      </w:r>
      <w:r w:rsidR="008918F5">
        <w:rPr>
          <w:rFonts w:ascii="Arial" w:eastAsia="Arial" w:hAnsi="Arial" w:cs="Arial"/>
          <w:color w:val="auto"/>
        </w:rPr>
        <w:t xml:space="preserve"> disposition for SBD which require</w:t>
      </w:r>
      <w:r w:rsidR="00B72B71">
        <w:rPr>
          <w:rFonts w:ascii="Arial" w:eastAsia="Arial" w:hAnsi="Arial" w:cs="Arial"/>
          <w:color w:val="auto"/>
        </w:rPr>
        <w:t>s</w:t>
      </w:r>
      <w:r w:rsidR="008918F5">
        <w:rPr>
          <w:rFonts w:ascii="Arial" w:eastAsia="Arial" w:hAnsi="Arial" w:cs="Arial"/>
          <w:color w:val="auto"/>
        </w:rPr>
        <w:t xml:space="preserve"> modification of the calculation methodology in the </w:t>
      </w:r>
      <w:r w:rsidR="008918F5" w:rsidRPr="007C665B">
        <w:rPr>
          <w:rFonts w:ascii="Arial" w:eastAsia="Arial" w:hAnsi="Arial" w:cs="Arial"/>
          <w:i/>
          <w:color w:val="auto"/>
        </w:rPr>
        <w:t>EnergyPro</w:t>
      </w:r>
      <w:r w:rsidR="008918F5">
        <w:rPr>
          <w:rFonts w:ascii="Arial" w:eastAsia="Arial" w:hAnsi="Arial" w:cs="Arial"/>
          <w:color w:val="auto"/>
        </w:rPr>
        <w:t xml:space="preserve"> building energy simulation tool. SCE’s preliminary analysis indicates that full implementation of the proposed modifications will reduce claimable savings by approximately 50 percent and will require significant program design modifications. Requiring IOU PAs to continue non</w:t>
      </w:r>
      <w:r w:rsidR="00432663">
        <w:rPr>
          <w:rFonts w:ascii="Arial" w:eastAsia="Arial" w:hAnsi="Arial" w:cs="Arial"/>
          <w:color w:val="auto"/>
        </w:rPr>
        <w:t>-</w:t>
      </w:r>
      <w:r w:rsidR="008918F5">
        <w:rPr>
          <w:rFonts w:ascii="Arial" w:eastAsia="Arial" w:hAnsi="Arial" w:cs="Arial"/>
          <w:color w:val="auto"/>
        </w:rPr>
        <w:t>cost</w:t>
      </w:r>
      <w:r w:rsidR="00432663">
        <w:rPr>
          <w:rFonts w:ascii="Arial" w:eastAsia="Arial" w:hAnsi="Arial" w:cs="Arial"/>
          <w:color w:val="auto"/>
        </w:rPr>
        <w:t>-</w:t>
      </w:r>
      <w:r w:rsidR="008918F5">
        <w:rPr>
          <w:rFonts w:ascii="Arial" w:eastAsia="Arial" w:hAnsi="Arial" w:cs="Arial"/>
          <w:color w:val="auto"/>
        </w:rPr>
        <w:t xml:space="preserve">effective programs </w:t>
      </w:r>
      <w:r w:rsidR="00E67568">
        <w:rPr>
          <w:rFonts w:ascii="Arial" w:eastAsia="Arial" w:hAnsi="Arial" w:cs="Arial"/>
          <w:color w:val="auto"/>
        </w:rPr>
        <w:t xml:space="preserve">may </w:t>
      </w:r>
      <w:r w:rsidR="00E67568">
        <w:rPr>
          <w:rFonts w:ascii="Arial" w:eastAsia="Arial" w:hAnsi="Arial" w:cs="Arial"/>
          <w:color w:val="auto"/>
        </w:rPr>
        <w:lastRenderedPageBreak/>
        <w:t>negatively affect PAs portfolio cost</w:t>
      </w:r>
      <w:r w:rsidR="00432663">
        <w:rPr>
          <w:rFonts w:ascii="Arial" w:eastAsia="Arial" w:hAnsi="Arial" w:cs="Arial"/>
          <w:color w:val="auto"/>
        </w:rPr>
        <w:t>-</w:t>
      </w:r>
      <w:r w:rsidR="00E67568">
        <w:rPr>
          <w:rFonts w:ascii="Arial" w:eastAsia="Arial" w:hAnsi="Arial" w:cs="Arial"/>
          <w:color w:val="auto"/>
        </w:rPr>
        <w:t xml:space="preserve">effectiveness. SCE will work collaboratively with the Commission </w:t>
      </w:r>
      <w:r w:rsidR="00B72B71">
        <w:rPr>
          <w:rFonts w:ascii="Arial" w:eastAsia="Arial" w:hAnsi="Arial" w:cs="Arial"/>
          <w:color w:val="auto"/>
        </w:rPr>
        <w:t>and its statewide counterparts</w:t>
      </w:r>
      <w:r w:rsidR="00E67568">
        <w:rPr>
          <w:rFonts w:ascii="Arial" w:eastAsia="Arial" w:hAnsi="Arial" w:cs="Arial"/>
          <w:color w:val="auto"/>
        </w:rPr>
        <w:t xml:space="preserve"> to develop </w:t>
      </w:r>
      <w:r w:rsidR="00B72B71">
        <w:rPr>
          <w:rFonts w:ascii="Arial" w:eastAsia="Arial" w:hAnsi="Arial" w:cs="Arial"/>
          <w:color w:val="auto"/>
        </w:rPr>
        <w:t>plans to</w:t>
      </w:r>
      <w:r w:rsidR="00E67568">
        <w:rPr>
          <w:rFonts w:ascii="Arial" w:eastAsia="Arial" w:hAnsi="Arial" w:cs="Arial"/>
          <w:color w:val="auto"/>
        </w:rPr>
        <w:t xml:space="preserve"> serve customers while maintaining the portfolio cost effectiveness.  </w:t>
      </w:r>
    </w:p>
    <w:p w14:paraId="457A4651" w14:textId="77777777" w:rsidR="00742514" w:rsidRDefault="00742514" w:rsidP="00DE2A3F">
      <w:pPr>
        <w:pStyle w:val="Default"/>
        <w:ind w:left="720"/>
        <w:rPr>
          <w:rFonts w:ascii="Arial" w:eastAsia="Arial" w:hAnsi="Arial" w:cs="Arial"/>
        </w:rPr>
      </w:pPr>
    </w:p>
    <w:p w14:paraId="755A2DCB" w14:textId="3D81091C" w:rsidR="00E90173" w:rsidRDefault="00E90173" w:rsidP="00E90173">
      <w:pPr>
        <w:pStyle w:val="Default"/>
        <w:ind w:left="720"/>
        <w:rPr>
          <w:rFonts w:ascii="Arial" w:eastAsia="Arial" w:hAnsi="Arial" w:cs="Arial"/>
        </w:rPr>
      </w:pPr>
      <w:r>
        <w:rPr>
          <w:rFonts w:ascii="Arial" w:eastAsia="Arial" w:hAnsi="Arial" w:cs="Arial"/>
        </w:rPr>
        <w:t xml:space="preserve">As noted above, throughout 2019 and beyond, SCE will continue to evaluate its portfolio of programs in response to competitive solicitations, cost-effectiveness, </w:t>
      </w:r>
      <w:r w:rsidR="00B702FB">
        <w:rPr>
          <w:rFonts w:ascii="Arial" w:eastAsia="Arial" w:hAnsi="Arial" w:cs="Arial"/>
        </w:rPr>
        <w:t xml:space="preserve">and </w:t>
      </w:r>
      <w:r>
        <w:rPr>
          <w:rFonts w:ascii="Arial" w:eastAsia="Arial" w:hAnsi="Arial" w:cs="Arial"/>
        </w:rPr>
        <w:t xml:space="preserve">ability to achieve goals and metrics, as well as other factors </w:t>
      </w:r>
    </w:p>
    <w:p w14:paraId="1CE40025" w14:textId="2E183E1D" w:rsidR="00042559" w:rsidRDefault="00042559" w:rsidP="008F576D">
      <w:pPr>
        <w:pStyle w:val="Default"/>
        <w:rPr>
          <w:rFonts w:ascii="Arial" w:eastAsia="Arial" w:hAnsi="Arial" w:cs="Arial"/>
          <w:color w:val="auto"/>
        </w:rPr>
      </w:pPr>
    </w:p>
    <w:p w14:paraId="2FBD04B3" w14:textId="506C945F" w:rsidR="7EFDCE40" w:rsidRPr="00137AF1" w:rsidRDefault="00A60A31" w:rsidP="00137AF1">
      <w:pPr>
        <w:pStyle w:val="Default"/>
        <w:rPr>
          <w:rFonts w:ascii="Arial" w:eastAsia="Arial" w:hAnsi="Arial" w:cs="Arial"/>
        </w:rPr>
      </w:pPr>
      <w:r>
        <w:rPr>
          <w:rFonts w:ascii="Arial" w:eastAsia="Arial" w:hAnsi="Arial" w:cs="Arial"/>
        </w:rPr>
        <w:t xml:space="preserve">  </w:t>
      </w:r>
    </w:p>
    <w:p w14:paraId="22D6BF56" w14:textId="52F94CD8" w:rsidR="00221107" w:rsidRDefault="00221107" w:rsidP="00FF29E9">
      <w:pPr>
        <w:spacing w:after="240"/>
        <w:rPr>
          <w:rFonts w:ascii="Arial" w:eastAsia="Arial" w:hAnsi="Arial" w:cs="Arial"/>
          <w:b/>
          <w:bCs/>
          <w:u w:val="single"/>
        </w:rPr>
      </w:pPr>
      <w:r w:rsidRPr="00E95B03">
        <w:rPr>
          <w:rFonts w:ascii="Arial" w:eastAsia="Arial" w:hAnsi="Arial" w:cs="Arial"/>
          <w:b/>
          <w:bCs/>
          <w:u w:val="single"/>
        </w:rPr>
        <w:t>DISCUSSION OF SCE’s 2019 FORECASTED TRC RESULT</w:t>
      </w:r>
    </w:p>
    <w:p w14:paraId="4BE8D23A" w14:textId="2029266B" w:rsidR="001A3FC4" w:rsidRPr="00EB2983" w:rsidDel="008B330C" w:rsidRDefault="001A3FC4" w:rsidP="00C35D50">
      <w:pPr>
        <w:spacing w:after="240"/>
        <w:ind w:left="720"/>
        <w:rPr>
          <w:rFonts w:ascii="Arial" w:eastAsia="Arial" w:hAnsi="Arial" w:cs="Arial"/>
          <w:b/>
          <w:bCs/>
          <w:u w:val="single"/>
        </w:rPr>
      </w:pPr>
      <w:r w:rsidRPr="00EB2983">
        <w:rPr>
          <w:rFonts w:ascii="Arial" w:eastAsia="Arial" w:hAnsi="Arial" w:cs="Arial"/>
          <w:b/>
          <w:bCs/>
          <w:u w:val="single"/>
        </w:rPr>
        <w:t>WHY SCE</w:t>
      </w:r>
      <w:r w:rsidR="00EB2983" w:rsidRPr="00EB2983">
        <w:rPr>
          <w:rFonts w:ascii="Arial" w:eastAsia="Arial" w:hAnsi="Arial" w:cs="Arial"/>
          <w:b/>
          <w:bCs/>
          <w:u w:val="single"/>
        </w:rPr>
        <w:t xml:space="preserve"> IS</w:t>
      </w:r>
      <w:r w:rsidRPr="00EB2983">
        <w:rPr>
          <w:rFonts w:ascii="Arial" w:eastAsia="Arial" w:hAnsi="Arial" w:cs="Arial"/>
          <w:b/>
          <w:bCs/>
          <w:u w:val="single"/>
        </w:rPr>
        <w:t xml:space="preserve"> FORECASTING A TRC BELOW 1.25</w:t>
      </w:r>
      <w:r w:rsidR="00910499">
        <w:rPr>
          <w:rFonts w:ascii="Arial" w:eastAsia="Arial" w:hAnsi="Arial" w:cs="Arial"/>
          <w:b/>
          <w:bCs/>
          <w:u w:val="single"/>
        </w:rPr>
        <w:t xml:space="preserve"> in 2019</w:t>
      </w:r>
    </w:p>
    <w:p w14:paraId="7FF02C2D" w14:textId="27034A39" w:rsidR="00B96D33" w:rsidRDefault="00B96D33">
      <w:pPr>
        <w:spacing w:after="240"/>
        <w:ind w:left="720"/>
        <w:rPr>
          <w:rFonts w:ascii="Arial" w:eastAsia="Arial" w:hAnsi="Arial" w:cs="Arial"/>
        </w:rPr>
      </w:pPr>
      <w:r>
        <w:rPr>
          <w:rFonts w:ascii="Arial" w:eastAsia="Arial" w:hAnsi="Arial" w:cs="Arial"/>
        </w:rPr>
        <w:t xml:space="preserve">SCE strives to modernize </w:t>
      </w:r>
      <w:r w:rsidR="003D2A51">
        <w:rPr>
          <w:rFonts w:ascii="Arial" w:eastAsia="Arial" w:hAnsi="Arial" w:cs="Arial"/>
        </w:rPr>
        <w:t>its</w:t>
      </w:r>
      <w:r w:rsidR="00620D8A">
        <w:rPr>
          <w:rFonts w:ascii="Arial" w:eastAsia="Arial" w:hAnsi="Arial" w:cs="Arial"/>
        </w:rPr>
        <w:t xml:space="preserve"> EE portfolio</w:t>
      </w:r>
      <w:r>
        <w:rPr>
          <w:rFonts w:ascii="Arial" w:eastAsia="Arial" w:hAnsi="Arial" w:cs="Arial"/>
        </w:rPr>
        <w:t xml:space="preserve"> to improve customer participation</w:t>
      </w:r>
      <w:r w:rsidR="00620D8A">
        <w:rPr>
          <w:rFonts w:ascii="Arial" w:eastAsia="Arial" w:hAnsi="Arial" w:cs="Arial"/>
        </w:rPr>
        <w:t xml:space="preserve"> and optimize </w:t>
      </w:r>
      <w:r>
        <w:rPr>
          <w:rFonts w:ascii="Arial" w:eastAsia="Arial" w:hAnsi="Arial" w:cs="Arial"/>
        </w:rPr>
        <w:t>portfolio cost-effectiveness</w:t>
      </w:r>
      <w:r w:rsidR="00620D8A">
        <w:rPr>
          <w:rFonts w:ascii="Arial" w:eastAsia="Arial" w:hAnsi="Arial" w:cs="Arial"/>
        </w:rPr>
        <w:t xml:space="preserve">, </w:t>
      </w:r>
      <w:r>
        <w:rPr>
          <w:rFonts w:ascii="Arial" w:eastAsia="Arial" w:hAnsi="Arial" w:cs="Arial"/>
        </w:rPr>
        <w:t>while addressing long-term planning and near-term impacts. Several factors make this challenging:</w:t>
      </w:r>
    </w:p>
    <w:p w14:paraId="267258B5" w14:textId="4B7E1C0C" w:rsidR="001A3FC4" w:rsidRPr="003D2A51" w:rsidRDefault="003953E0" w:rsidP="006B5C96">
      <w:pPr>
        <w:numPr>
          <w:ilvl w:val="0"/>
          <w:numId w:val="7"/>
        </w:numPr>
        <w:spacing w:after="240" w:line="259" w:lineRule="auto"/>
        <w:ind w:left="1440"/>
        <w:rPr>
          <w:rFonts w:ascii="Arial" w:eastAsia="Arial" w:hAnsi="Arial" w:cs="Arial"/>
        </w:rPr>
      </w:pPr>
      <w:r>
        <w:rPr>
          <w:rFonts w:ascii="Arial" w:eastAsia="Arial" w:hAnsi="Arial" w:cs="Arial"/>
        </w:rPr>
        <w:t>For SCE’s 2019 EE portfolio forecast, t</w:t>
      </w:r>
      <w:r w:rsidR="7543399A" w:rsidRPr="0030229F">
        <w:rPr>
          <w:rFonts w:ascii="Arial" w:eastAsia="Arial" w:hAnsi="Arial" w:cs="Arial"/>
        </w:rPr>
        <w:t>he</w:t>
      </w:r>
      <w:r>
        <w:rPr>
          <w:rFonts w:ascii="Arial" w:eastAsia="Arial" w:hAnsi="Arial" w:cs="Arial"/>
        </w:rPr>
        <w:t xml:space="preserve"> avoided costs effective in 2019 have reduced energy efficiency benefits by nearly </w:t>
      </w:r>
      <w:r w:rsidR="00717ACB">
        <w:rPr>
          <w:rFonts w:ascii="Arial" w:eastAsia="Arial" w:hAnsi="Arial" w:cs="Arial"/>
          <w:highlight w:val="yellow"/>
        </w:rPr>
        <w:t>XX</w:t>
      </w:r>
      <w:r w:rsidRPr="006B5C96">
        <w:rPr>
          <w:rFonts w:ascii="Arial" w:eastAsia="Arial" w:hAnsi="Arial" w:cs="Arial"/>
          <w:highlight w:val="yellow"/>
        </w:rPr>
        <w:t>%</w:t>
      </w:r>
      <w:r w:rsidR="7543399A" w:rsidRPr="006B5C96">
        <w:rPr>
          <w:rFonts w:ascii="Arial" w:eastAsia="Arial" w:hAnsi="Arial" w:cs="Arial"/>
        </w:rPr>
        <w:t xml:space="preserve"> </w:t>
      </w:r>
      <w:r>
        <w:rPr>
          <w:rFonts w:ascii="Arial" w:eastAsia="Arial" w:hAnsi="Arial" w:cs="Arial"/>
        </w:rPr>
        <w:t xml:space="preserve">compared to the avoided costs effective in 2017. </w:t>
      </w:r>
      <w:r w:rsidR="001A3FC4" w:rsidRPr="003953E0">
        <w:rPr>
          <w:rFonts w:ascii="Arial" w:eastAsia="Arial" w:hAnsi="Arial" w:cs="Arial"/>
        </w:rPr>
        <w:t xml:space="preserve">SCE estimates that the portfolio proposed in this Advice Letter would </w:t>
      </w:r>
      <w:r w:rsidR="00626FE0" w:rsidRPr="003953E0">
        <w:rPr>
          <w:rFonts w:ascii="Arial" w:eastAsia="Arial" w:hAnsi="Arial" w:cs="Arial"/>
        </w:rPr>
        <w:t xml:space="preserve">have </w:t>
      </w:r>
      <w:r w:rsidR="001A3FC4" w:rsidRPr="003953E0">
        <w:rPr>
          <w:rFonts w:ascii="Arial" w:eastAsia="Arial" w:hAnsi="Arial" w:cs="Arial"/>
        </w:rPr>
        <w:t>achieve</w:t>
      </w:r>
      <w:r w:rsidR="00626FE0" w:rsidRPr="003953E0">
        <w:rPr>
          <w:rFonts w:ascii="Arial" w:eastAsia="Arial" w:hAnsi="Arial" w:cs="Arial"/>
        </w:rPr>
        <w:t>d</w:t>
      </w:r>
      <w:r w:rsidR="001A3FC4" w:rsidRPr="003953E0">
        <w:rPr>
          <w:rFonts w:ascii="Arial" w:eastAsia="Arial" w:hAnsi="Arial" w:cs="Arial"/>
        </w:rPr>
        <w:t xml:space="preserve"> a </w:t>
      </w:r>
      <w:r w:rsidR="001A3FC4" w:rsidRPr="00717ACB">
        <w:rPr>
          <w:rFonts w:ascii="Arial" w:eastAsia="Arial" w:hAnsi="Arial" w:cs="Arial"/>
        </w:rPr>
        <w:t xml:space="preserve">TRC of </w:t>
      </w:r>
      <w:r w:rsidR="001A3FC4" w:rsidRPr="00717ACB">
        <w:rPr>
          <w:rFonts w:ascii="Arial" w:eastAsia="Arial" w:hAnsi="Arial" w:cs="Arial"/>
          <w:highlight w:val="yellow"/>
        </w:rPr>
        <w:t>1.</w:t>
      </w:r>
      <w:r w:rsidR="00717ACB" w:rsidRPr="00717ACB">
        <w:rPr>
          <w:rFonts w:ascii="Arial" w:eastAsia="Arial" w:hAnsi="Arial" w:cs="Arial"/>
          <w:highlight w:val="yellow"/>
        </w:rPr>
        <w:t>XX</w:t>
      </w:r>
      <w:r w:rsidR="001A3FC4" w:rsidRPr="003953E0">
        <w:rPr>
          <w:rFonts w:ascii="Arial" w:eastAsia="Arial" w:hAnsi="Arial" w:cs="Arial"/>
        </w:rPr>
        <w:t xml:space="preserve"> </w:t>
      </w:r>
      <w:r w:rsidR="00626FE0" w:rsidRPr="003953E0">
        <w:rPr>
          <w:rFonts w:ascii="Arial" w:eastAsia="Arial" w:hAnsi="Arial" w:cs="Arial"/>
        </w:rPr>
        <w:t>had it use</w:t>
      </w:r>
      <w:r w:rsidR="00F807AA" w:rsidRPr="003953E0">
        <w:rPr>
          <w:rFonts w:ascii="Arial" w:eastAsia="Arial" w:hAnsi="Arial" w:cs="Arial"/>
        </w:rPr>
        <w:t>d</w:t>
      </w:r>
      <w:r w:rsidR="00626FE0" w:rsidRPr="003953E0">
        <w:rPr>
          <w:rFonts w:ascii="Arial" w:eastAsia="Arial" w:hAnsi="Arial" w:cs="Arial"/>
        </w:rPr>
        <w:t xml:space="preserve"> </w:t>
      </w:r>
      <w:r w:rsidR="001A3FC4" w:rsidRPr="003953E0">
        <w:rPr>
          <w:rFonts w:ascii="Arial" w:eastAsia="Arial" w:hAnsi="Arial" w:cs="Arial"/>
        </w:rPr>
        <w:t xml:space="preserve">the </w:t>
      </w:r>
      <w:r w:rsidR="69434D37" w:rsidRPr="003953E0">
        <w:rPr>
          <w:rFonts w:ascii="Arial" w:eastAsia="Arial" w:hAnsi="Arial" w:cs="Arial"/>
        </w:rPr>
        <w:t xml:space="preserve">avoided costs effective in </w:t>
      </w:r>
      <w:r w:rsidR="001A3FC4" w:rsidRPr="003953E0">
        <w:rPr>
          <w:rFonts w:ascii="Arial" w:eastAsia="Arial" w:hAnsi="Arial" w:cs="Arial"/>
        </w:rPr>
        <w:t xml:space="preserve">2017. </w:t>
      </w:r>
      <w:r w:rsidRPr="003953E0">
        <w:rPr>
          <w:rFonts w:ascii="Arial" w:eastAsia="Arial" w:hAnsi="Arial" w:cs="Arial"/>
        </w:rPr>
        <w:t>Avoided cost u</w:t>
      </w:r>
      <w:r w:rsidR="001A3FC4" w:rsidRPr="003953E0">
        <w:rPr>
          <w:rFonts w:ascii="Arial" w:eastAsia="Arial" w:hAnsi="Arial" w:cs="Arial"/>
        </w:rPr>
        <w:t>pdates</w:t>
      </w:r>
      <w:r w:rsidR="00626FE0" w:rsidRPr="003953E0">
        <w:rPr>
          <w:rFonts w:ascii="Arial" w:eastAsia="Arial" w:hAnsi="Arial" w:cs="Arial"/>
        </w:rPr>
        <w:t xml:space="preserve"> </w:t>
      </w:r>
      <w:r w:rsidR="001A3FC4" w:rsidRPr="003953E0">
        <w:rPr>
          <w:rFonts w:ascii="Arial" w:eastAsia="Arial" w:hAnsi="Arial" w:cs="Arial"/>
        </w:rPr>
        <w:t xml:space="preserve">include decreasing natural gas prices, market peak shifting from daytime to evening, </w:t>
      </w:r>
      <w:r w:rsidRPr="003953E0">
        <w:rPr>
          <w:rFonts w:ascii="Arial" w:eastAsia="Arial" w:hAnsi="Arial" w:cs="Arial"/>
        </w:rPr>
        <w:t xml:space="preserve">and </w:t>
      </w:r>
      <w:r w:rsidR="001A3FC4" w:rsidRPr="003953E0">
        <w:rPr>
          <w:rFonts w:ascii="Arial" w:eastAsia="Arial" w:hAnsi="Arial" w:cs="Arial"/>
        </w:rPr>
        <w:t>a nearly carbon-free grid mid-day</w:t>
      </w:r>
      <w:r w:rsidR="2FEB37EC" w:rsidRPr="003953E0">
        <w:rPr>
          <w:rFonts w:ascii="Arial" w:eastAsia="Arial" w:hAnsi="Arial" w:cs="Arial"/>
        </w:rPr>
        <w:t xml:space="preserve"> reducing the amount of GHG abated for </w:t>
      </w:r>
      <w:r w:rsidR="629AF2C6" w:rsidRPr="003953E0">
        <w:rPr>
          <w:rFonts w:ascii="Arial" w:eastAsia="Arial" w:hAnsi="Arial" w:cs="Arial"/>
        </w:rPr>
        <w:t>mid-day kWh savings</w:t>
      </w:r>
      <w:r w:rsidR="001A3FC4" w:rsidRPr="003953E0">
        <w:rPr>
          <w:rFonts w:ascii="Arial" w:eastAsia="Arial" w:hAnsi="Arial" w:cs="Arial"/>
        </w:rPr>
        <w:t>.</w:t>
      </w:r>
    </w:p>
    <w:p w14:paraId="410188E0" w14:textId="6E62AA35" w:rsidR="00B96D33" w:rsidRPr="00185057" w:rsidRDefault="00B96D33" w:rsidP="00B96D33">
      <w:pPr>
        <w:numPr>
          <w:ilvl w:val="0"/>
          <w:numId w:val="7"/>
        </w:numPr>
        <w:spacing w:after="240"/>
        <w:ind w:left="1440"/>
        <w:rPr>
          <w:rFonts w:ascii="Arial" w:eastAsia="Arial" w:hAnsi="Arial" w:cs="Arial"/>
        </w:rPr>
      </w:pPr>
      <w:r w:rsidRPr="00185057">
        <w:rPr>
          <w:rFonts w:ascii="Arial" w:eastAsia="Arial" w:hAnsi="Arial" w:cs="Arial"/>
        </w:rPr>
        <w:t xml:space="preserve">SCE’s 2019 EE Portfolio includes </w:t>
      </w:r>
      <w:r w:rsidRPr="004F59AE">
        <w:rPr>
          <w:rFonts w:ascii="Arial" w:eastAsia="Arial" w:hAnsi="Arial" w:cs="Arial"/>
          <w:highlight w:val="yellow"/>
        </w:rPr>
        <w:t>$XX</w:t>
      </w:r>
      <w:r w:rsidRPr="00185057">
        <w:rPr>
          <w:rFonts w:ascii="Arial" w:eastAsia="Arial" w:hAnsi="Arial" w:cs="Arial"/>
        </w:rPr>
        <w:t xml:space="preserve"> million in incentive payments for streetlight measures that will result in no claimable energy savings. This is due to the commitment SCE made to its customers and the direction provided by the Commission</w:t>
      </w:r>
      <w:r w:rsidR="0062745D">
        <w:rPr>
          <w:rFonts w:ascii="Arial" w:eastAsia="Arial" w:hAnsi="Arial" w:cs="Arial"/>
        </w:rPr>
        <w:t>. Specifically, the Commission directed SCE</w:t>
      </w:r>
      <w:r w:rsidRPr="00185057">
        <w:rPr>
          <w:rFonts w:ascii="Arial" w:eastAsia="Arial" w:hAnsi="Arial" w:cs="Arial"/>
        </w:rPr>
        <w:t xml:space="preserve"> to pay customers the 2015 rebate levels for Acquisition Customers and pay the rebate levels in effect at the time of the initial agreement for AB-719 Customers</w:t>
      </w:r>
      <w:r w:rsidR="0062745D">
        <w:rPr>
          <w:rFonts w:ascii="Arial" w:eastAsia="Arial" w:hAnsi="Arial" w:cs="Arial"/>
        </w:rPr>
        <w:t>,</w:t>
      </w:r>
      <w:r w:rsidRPr="00185057">
        <w:rPr>
          <w:rFonts w:ascii="Arial" w:eastAsia="Arial" w:hAnsi="Arial" w:cs="Arial"/>
        </w:rPr>
        <w:t xml:space="preserve"> </w:t>
      </w:r>
      <w:r w:rsidR="0062745D">
        <w:rPr>
          <w:rFonts w:ascii="Arial" w:eastAsia="Arial" w:hAnsi="Arial" w:cs="Arial"/>
        </w:rPr>
        <w:t>mean</w:t>
      </w:r>
      <w:r w:rsidRPr="00185057">
        <w:rPr>
          <w:rFonts w:ascii="Arial" w:eastAsia="Arial" w:hAnsi="Arial" w:cs="Arial"/>
        </w:rPr>
        <w:t>while</w:t>
      </w:r>
      <w:r w:rsidR="0062745D">
        <w:rPr>
          <w:rFonts w:ascii="Arial" w:eastAsia="Arial" w:hAnsi="Arial" w:cs="Arial"/>
        </w:rPr>
        <w:t>,</w:t>
      </w:r>
      <w:r w:rsidRPr="00185057">
        <w:rPr>
          <w:rFonts w:ascii="Arial" w:eastAsia="Arial" w:hAnsi="Arial" w:cs="Arial"/>
        </w:rPr>
        <w:t xml:space="preserve"> claiming savings based on the workpaper in effect at the time of completed equipment installation. However, in 2019, it is anticipated that there will be no workpaper available to facilitate savings for streetlight measures for Acquisition and Option E customers. SCE is working in collaboration with Commission staff to develop a solution to treat these costs by either </w:t>
      </w:r>
      <w:r w:rsidR="00803D5D">
        <w:rPr>
          <w:rFonts w:ascii="Arial" w:eastAsia="Arial" w:hAnsi="Arial" w:cs="Arial"/>
        </w:rPr>
        <w:t xml:space="preserve">allowing </w:t>
      </w:r>
      <w:r w:rsidRPr="00185057">
        <w:rPr>
          <w:rFonts w:ascii="Arial" w:eastAsia="Arial" w:hAnsi="Arial" w:cs="Arial"/>
        </w:rPr>
        <w:t>SCE to claim the savings for the streetlight measures or remove the costs of providing these rebates from the cost-effectiveness calculations.</w:t>
      </w:r>
    </w:p>
    <w:p w14:paraId="2762657F" w14:textId="115B3839" w:rsidR="001A3FC4" w:rsidRPr="005B3F97" w:rsidRDefault="001A3FC4">
      <w:pPr>
        <w:numPr>
          <w:ilvl w:val="0"/>
          <w:numId w:val="7"/>
        </w:numPr>
        <w:spacing w:after="240"/>
        <w:ind w:left="1440"/>
        <w:rPr>
          <w:rFonts w:ascii="Arial" w:eastAsia="Arial" w:hAnsi="Arial" w:cs="Arial"/>
        </w:rPr>
      </w:pPr>
      <w:r>
        <w:rPr>
          <w:rFonts w:ascii="Arial" w:eastAsia="Arial" w:hAnsi="Arial" w:cs="Arial"/>
        </w:rPr>
        <w:t>Successful market transformation of transitioning cost-effective savings from incentive programs to building and appliance codes (</w:t>
      </w:r>
      <w:r w:rsidR="003953E0">
        <w:rPr>
          <w:rFonts w:ascii="Arial" w:eastAsia="Arial" w:hAnsi="Arial" w:cs="Arial"/>
        </w:rPr>
        <w:t xml:space="preserve">i.e., </w:t>
      </w:r>
      <w:r>
        <w:rPr>
          <w:rFonts w:ascii="Arial" w:eastAsia="Arial" w:hAnsi="Arial" w:cs="Arial"/>
        </w:rPr>
        <w:t>CEC Title 2</w:t>
      </w:r>
      <w:r w:rsidR="003953E0">
        <w:rPr>
          <w:rFonts w:ascii="Arial" w:eastAsia="Arial" w:hAnsi="Arial" w:cs="Arial"/>
        </w:rPr>
        <w:t>4</w:t>
      </w:r>
      <w:r>
        <w:rPr>
          <w:rFonts w:ascii="Arial" w:eastAsia="Arial" w:hAnsi="Arial" w:cs="Arial"/>
        </w:rPr>
        <w:t xml:space="preserve"> and Title 2</w:t>
      </w:r>
      <w:r w:rsidR="003953E0">
        <w:rPr>
          <w:rFonts w:ascii="Arial" w:eastAsia="Arial" w:hAnsi="Arial" w:cs="Arial"/>
        </w:rPr>
        <w:t>0, respectively</w:t>
      </w:r>
      <w:r>
        <w:rPr>
          <w:rFonts w:ascii="Arial" w:eastAsia="Arial" w:hAnsi="Arial" w:cs="Arial"/>
        </w:rPr>
        <w:t>).</w:t>
      </w:r>
    </w:p>
    <w:p w14:paraId="23FA88F4" w14:textId="3A51010D" w:rsidR="00396559" w:rsidRPr="004F59AE" w:rsidRDefault="001A3FC4" w:rsidP="00F652EB">
      <w:pPr>
        <w:numPr>
          <w:ilvl w:val="0"/>
          <w:numId w:val="7"/>
        </w:numPr>
        <w:spacing w:after="240"/>
        <w:ind w:left="1440"/>
        <w:rPr>
          <w:rFonts w:ascii="Arial" w:eastAsia="Arial" w:hAnsi="Arial" w:cs="Arial"/>
        </w:rPr>
      </w:pPr>
      <w:r>
        <w:rPr>
          <w:rFonts w:ascii="Arial" w:eastAsia="Arial" w:hAnsi="Arial" w:cs="Arial"/>
        </w:rPr>
        <w:lastRenderedPageBreak/>
        <w:t>Goals are created in two</w:t>
      </w:r>
      <w:r w:rsidR="001B42D7">
        <w:rPr>
          <w:rFonts w:ascii="Arial" w:eastAsia="Arial" w:hAnsi="Arial" w:cs="Arial"/>
        </w:rPr>
        <w:t>-</w:t>
      </w:r>
      <w:r>
        <w:rPr>
          <w:rFonts w:ascii="Arial" w:eastAsia="Arial" w:hAnsi="Arial" w:cs="Arial"/>
        </w:rPr>
        <w:t>year cycles based upon estimates of the cost-effective potential of measures</w:t>
      </w:r>
      <w:r w:rsidR="008C74F2">
        <w:rPr>
          <w:rFonts w:ascii="Arial" w:eastAsia="Arial" w:hAnsi="Arial" w:cs="Arial"/>
        </w:rPr>
        <w:t>. However,</w:t>
      </w:r>
      <w:r w:rsidR="004F59AE">
        <w:rPr>
          <w:rFonts w:ascii="Arial" w:eastAsia="Arial" w:hAnsi="Arial" w:cs="Arial"/>
        </w:rPr>
        <w:t xml:space="preserve"> </w:t>
      </w:r>
      <w:r>
        <w:rPr>
          <w:rFonts w:ascii="Arial" w:eastAsia="Arial" w:hAnsi="Arial" w:cs="Arial"/>
        </w:rPr>
        <w:t>when significant measure dispositions or avoided cost updates occur within th</w:t>
      </w:r>
      <w:r w:rsidR="00612FF8">
        <w:rPr>
          <w:rFonts w:ascii="Arial" w:eastAsia="Arial" w:hAnsi="Arial" w:cs="Arial"/>
        </w:rPr>
        <w:t>e</w:t>
      </w:r>
      <w:r>
        <w:rPr>
          <w:rFonts w:ascii="Arial" w:eastAsia="Arial" w:hAnsi="Arial" w:cs="Arial"/>
        </w:rPr>
        <w:t xml:space="preserve"> cycle</w:t>
      </w:r>
      <w:r w:rsidR="008C74F2">
        <w:rPr>
          <w:rFonts w:ascii="Arial" w:eastAsia="Arial" w:hAnsi="Arial" w:cs="Arial"/>
        </w:rPr>
        <w:t>, these goals are</w:t>
      </w:r>
      <w:r w:rsidR="008C74F2" w:rsidRPr="008C74F2">
        <w:rPr>
          <w:rFonts w:ascii="Arial" w:eastAsia="Arial" w:hAnsi="Arial" w:cs="Arial"/>
        </w:rPr>
        <w:t xml:space="preserve"> </w:t>
      </w:r>
      <w:r w:rsidR="008C74F2">
        <w:rPr>
          <w:rFonts w:ascii="Arial" w:eastAsia="Arial" w:hAnsi="Arial" w:cs="Arial"/>
        </w:rPr>
        <w:t>not updated</w:t>
      </w:r>
      <w:r>
        <w:rPr>
          <w:rFonts w:ascii="Arial" w:eastAsia="Arial" w:hAnsi="Arial" w:cs="Arial"/>
        </w:rPr>
        <w:t xml:space="preserve">. </w:t>
      </w:r>
      <w:r w:rsidR="001B42D7">
        <w:rPr>
          <w:rFonts w:ascii="Arial" w:eastAsia="Arial" w:hAnsi="Arial" w:cs="Arial"/>
        </w:rPr>
        <w:t xml:space="preserve">For example, </w:t>
      </w:r>
      <w:r>
        <w:rPr>
          <w:rFonts w:ascii="Arial" w:eastAsia="Arial" w:hAnsi="Arial" w:cs="Arial"/>
        </w:rPr>
        <w:t>2018 has seen two significant Lighting measure dispositions</w:t>
      </w:r>
      <w:r>
        <w:rPr>
          <w:rStyle w:val="FootnoteReference"/>
          <w:rFonts w:ascii="Arial" w:eastAsia="Arial" w:hAnsi="Arial" w:cs="Arial"/>
        </w:rPr>
        <w:footnoteReference w:id="8"/>
      </w:r>
      <w:r>
        <w:rPr>
          <w:rFonts w:ascii="Arial" w:eastAsia="Arial" w:hAnsi="Arial" w:cs="Arial"/>
        </w:rPr>
        <w:t>, and</w:t>
      </w:r>
      <w:r w:rsidR="00D43720">
        <w:rPr>
          <w:rFonts w:ascii="Arial" w:eastAsia="Arial" w:hAnsi="Arial" w:cs="Arial"/>
        </w:rPr>
        <w:t>, as discussed above</w:t>
      </w:r>
      <w:r w:rsidR="003D2A51">
        <w:rPr>
          <w:rFonts w:ascii="Arial" w:eastAsia="Arial" w:hAnsi="Arial" w:cs="Arial"/>
        </w:rPr>
        <w:t>.</w:t>
      </w:r>
      <w:r>
        <w:rPr>
          <w:rFonts w:ascii="Arial" w:eastAsia="Arial" w:hAnsi="Arial" w:cs="Arial"/>
        </w:rPr>
        <w:t xml:space="preserve"> </w:t>
      </w:r>
      <w:r w:rsidR="003D2A51">
        <w:rPr>
          <w:rFonts w:ascii="Arial" w:eastAsia="Arial" w:hAnsi="Arial" w:cs="Arial"/>
        </w:rPr>
        <w:t xml:space="preserve">In addition, </w:t>
      </w:r>
      <w:r w:rsidR="00612FF8">
        <w:rPr>
          <w:rFonts w:ascii="Arial" w:eastAsia="Arial" w:hAnsi="Arial" w:cs="Arial"/>
        </w:rPr>
        <w:t xml:space="preserve">the </w:t>
      </w:r>
      <w:r>
        <w:rPr>
          <w:rFonts w:ascii="Arial" w:eastAsia="Arial" w:hAnsi="Arial" w:cs="Arial"/>
        </w:rPr>
        <w:t xml:space="preserve">avoided costs </w:t>
      </w:r>
      <w:r w:rsidR="00620D8A">
        <w:rPr>
          <w:rFonts w:ascii="Arial" w:eastAsia="Arial" w:hAnsi="Arial" w:cs="Arial"/>
        </w:rPr>
        <w:t xml:space="preserve">in 2019 </w:t>
      </w:r>
      <w:r w:rsidR="00612FF8">
        <w:rPr>
          <w:rFonts w:ascii="Arial" w:eastAsia="Arial" w:hAnsi="Arial" w:cs="Arial"/>
        </w:rPr>
        <w:t xml:space="preserve">generally </w:t>
      </w:r>
      <w:r>
        <w:rPr>
          <w:rFonts w:ascii="Arial" w:eastAsia="Arial" w:hAnsi="Arial" w:cs="Arial"/>
        </w:rPr>
        <w:t>reduc</w:t>
      </w:r>
      <w:r w:rsidR="00D43720">
        <w:rPr>
          <w:rFonts w:ascii="Arial" w:eastAsia="Arial" w:hAnsi="Arial" w:cs="Arial"/>
        </w:rPr>
        <w:t>e</w:t>
      </w:r>
      <w:r w:rsidR="00612FF8">
        <w:rPr>
          <w:rFonts w:ascii="Arial" w:eastAsia="Arial" w:hAnsi="Arial" w:cs="Arial"/>
        </w:rPr>
        <w:t>d</w:t>
      </w:r>
      <w:r>
        <w:rPr>
          <w:rFonts w:ascii="Arial" w:eastAsia="Arial" w:hAnsi="Arial" w:cs="Arial"/>
        </w:rPr>
        <w:t xml:space="preserve"> </w:t>
      </w:r>
      <w:r w:rsidR="00D43720">
        <w:rPr>
          <w:rFonts w:ascii="Arial" w:eastAsia="Arial" w:hAnsi="Arial" w:cs="Arial"/>
        </w:rPr>
        <w:t>the</w:t>
      </w:r>
      <w:r w:rsidR="00612FF8">
        <w:rPr>
          <w:rFonts w:ascii="Arial" w:eastAsia="Arial" w:hAnsi="Arial" w:cs="Arial"/>
        </w:rPr>
        <w:t xml:space="preserve"> cost-effective measure potential</w:t>
      </w:r>
      <w:r w:rsidR="00620D8A">
        <w:rPr>
          <w:rFonts w:ascii="Arial" w:eastAsia="Arial" w:hAnsi="Arial" w:cs="Arial"/>
        </w:rPr>
        <w:t xml:space="preserve"> </w:t>
      </w:r>
      <w:r w:rsidR="003D2A51">
        <w:rPr>
          <w:rFonts w:ascii="Arial" w:eastAsia="Arial" w:hAnsi="Arial" w:cs="Arial"/>
        </w:rPr>
        <w:t>compared to</w:t>
      </w:r>
      <w:r w:rsidR="00620D8A">
        <w:rPr>
          <w:rFonts w:ascii="Arial" w:eastAsia="Arial" w:hAnsi="Arial" w:cs="Arial"/>
        </w:rPr>
        <w:t xml:space="preserve"> the older avoided costs used in the 2018 EE Potential &amp; Goal Study</w:t>
      </w:r>
      <w:r w:rsidR="00612FF8">
        <w:rPr>
          <w:rFonts w:ascii="Arial" w:eastAsia="Arial" w:hAnsi="Arial" w:cs="Arial"/>
        </w:rPr>
        <w:t xml:space="preserve">. </w:t>
      </w:r>
      <w:r w:rsidRPr="0030229F">
        <w:rPr>
          <w:rFonts w:ascii="Arial" w:eastAsia="Arial" w:hAnsi="Arial" w:cs="Arial"/>
        </w:rPr>
        <w:t xml:space="preserve">This results in portfolio administrators having to </w:t>
      </w:r>
      <w:r w:rsidR="00612FF8" w:rsidRPr="0030229F">
        <w:rPr>
          <w:rFonts w:ascii="Arial" w:eastAsia="Arial" w:hAnsi="Arial" w:cs="Arial"/>
        </w:rPr>
        <w:t xml:space="preserve">make tradeoffs between </w:t>
      </w:r>
      <w:r w:rsidR="0030229F" w:rsidRPr="0030229F">
        <w:rPr>
          <w:rFonts w:ascii="Arial" w:eastAsia="Arial" w:hAnsi="Arial" w:cs="Arial"/>
        </w:rPr>
        <w:t>not cost</w:t>
      </w:r>
      <w:r w:rsidR="00E11F96">
        <w:rPr>
          <w:rFonts w:ascii="Arial" w:eastAsia="Arial" w:hAnsi="Arial" w:cs="Arial"/>
        </w:rPr>
        <w:t>-</w:t>
      </w:r>
      <w:r w:rsidR="0030229F" w:rsidRPr="0030229F">
        <w:rPr>
          <w:rFonts w:ascii="Arial" w:eastAsia="Arial" w:hAnsi="Arial" w:cs="Arial"/>
        </w:rPr>
        <w:t xml:space="preserve">effectively </w:t>
      </w:r>
      <w:r w:rsidR="00612FF8" w:rsidRPr="0030229F">
        <w:rPr>
          <w:rFonts w:ascii="Arial" w:eastAsia="Arial" w:hAnsi="Arial" w:cs="Arial"/>
        </w:rPr>
        <w:t>achieving savings goals</w:t>
      </w:r>
      <w:r w:rsidR="00620D8A" w:rsidRPr="0030229F">
        <w:rPr>
          <w:rFonts w:ascii="Arial" w:eastAsia="Arial" w:hAnsi="Arial" w:cs="Arial"/>
        </w:rPr>
        <w:t xml:space="preserve"> established under </w:t>
      </w:r>
      <w:r w:rsidR="0030229F" w:rsidRPr="0030229F">
        <w:rPr>
          <w:rFonts w:ascii="Arial" w:eastAsia="Arial" w:hAnsi="Arial" w:cs="Arial"/>
        </w:rPr>
        <w:t xml:space="preserve">obsolete measure </w:t>
      </w:r>
      <w:r w:rsidR="00612FF8" w:rsidRPr="0030229F">
        <w:rPr>
          <w:rFonts w:ascii="Arial" w:eastAsia="Arial" w:hAnsi="Arial" w:cs="Arial"/>
        </w:rPr>
        <w:t>rules</w:t>
      </w:r>
      <w:r w:rsidR="003D2A51" w:rsidRPr="0030229F">
        <w:rPr>
          <w:rFonts w:ascii="Arial" w:eastAsia="Arial" w:hAnsi="Arial" w:cs="Arial"/>
        </w:rPr>
        <w:t>,</w:t>
      </w:r>
      <w:r w:rsidR="00612FF8" w:rsidRPr="0030229F">
        <w:rPr>
          <w:rFonts w:ascii="Arial" w:eastAsia="Arial" w:hAnsi="Arial" w:cs="Arial"/>
        </w:rPr>
        <w:t xml:space="preserve"> or maintaining a cost-effective portfolio under </w:t>
      </w:r>
      <w:r w:rsidR="0030229F" w:rsidRPr="0030229F">
        <w:rPr>
          <w:rFonts w:ascii="Arial" w:eastAsia="Arial" w:hAnsi="Arial" w:cs="Arial"/>
        </w:rPr>
        <w:t xml:space="preserve">the </w:t>
      </w:r>
      <w:r w:rsidR="003D2A51" w:rsidRPr="0030229F">
        <w:rPr>
          <w:rFonts w:ascii="Arial" w:eastAsia="Arial" w:hAnsi="Arial" w:cs="Arial"/>
        </w:rPr>
        <w:t>new measure</w:t>
      </w:r>
      <w:r w:rsidR="00612FF8" w:rsidRPr="0030229F">
        <w:rPr>
          <w:rFonts w:ascii="Arial" w:eastAsia="Arial" w:hAnsi="Arial" w:cs="Arial"/>
        </w:rPr>
        <w:t xml:space="preserve"> rules</w:t>
      </w:r>
      <w:r w:rsidR="00B96D33" w:rsidRPr="0030229F">
        <w:rPr>
          <w:rFonts w:ascii="Arial" w:eastAsia="Arial" w:hAnsi="Arial" w:cs="Arial"/>
        </w:rPr>
        <w:t xml:space="preserve"> </w:t>
      </w:r>
      <w:r w:rsidR="003D2A51" w:rsidRPr="0030229F">
        <w:rPr>
          <w:rFonts w:ascii="Arial" w:eastAsia="Arial" w:hAnsi="Arial" w:cs="Arial"/>
        </w:rPr>
        <w:t>and</w:t>
      </w:r>
      <w:r w:rsidR="00B96D33" w:rsidRPr="0030229F">
        <w:rPr>
          <w:rFonts w:ascii="Arial" w:eastAsia="Arial" w:hAnsi="Arial" w:cs="Arial"/>
        </w:rPr>
        <w:t xml:space="preserve"> </w:t>
      </w:r>
      <w:r w:rsidR="0030229F" w:rsidRPr="0030229F">
        <w:rPr>
          <w:rFonts w:ascii="Arial" w:eastAsia="Arial" w:hAnsi="Arial" w:cs="Arial"/>
        </w:rPr>
        <w:t>achieving</w:t>
      </w:r>
      <w:r w:rsidR="00B96D33" w:rsidRPr="0030229F">
        <w:rPr>
          <w:rFonts w:ascii="Arial" w:eastAsia="Arial" w:hAnsi="Arial" w:cs="Arial"/>
        </w:rPr>
        <w:t xml:space="preserve"> </w:t>
      </w:r>
      <w:r w:rsidR="0030229F" w:rsidRPr="0030229F">
        <w:rPr>
          <w:rFonts w:ascii="Arial" w:eastAsia="Arial" w:hAnsi="Arial" w:cs="Arial"/>
        </w:rPr>
        <w:t>pre-determined</w:t>
      </w:r>
      <w:r w:rsidR="00B96D33" w:rsidRPr="0030229F">
        <w:rPr>
          <w:rFonts w:ascii="Arial" w:eastAsia="Arial" w:hAnsi="Arial" w:cs="Arial"/>
        </w:rPr>
        <w:t xml:space="preserve"> savings goals</w:t>
      </w:r>
      <w:r w:rsidR="00612FF8" w:rsidRPr="0030229F">
        <w:rPr>
          <w:rFonts w:ascii="Arial" w:eastAsia="Arial" w:hAnsi="Arial" w:cs="Arial"/>
        </w:rPr>
        <w:t>.</w:t>
      </w:r>
    </w:p>
    <w:p w14:paraId="50C4D6B5" w14:textId="50A224C4" w:rsidR="00221107" w:rsidRPr="008D4F1B" w:rsidRDefault="001A3FC4" w:rsidP="008D4F1B">
      <w:pPr>
        <w:ind w:left="720"/>
      </w:pPr>
      <w:r w:rsidRPr="00EB2983">
        <w:rPr>
          <w:rFonts w:ascii="Arial" w:eastAsia="Arial" w:hAnsi="Arial" w:cs="Arial"/>
          <w:b/>
          <w:bCs/>
          <w:u w:val="single"/>
        </w:rPr>
        <w:t>ABILITY TO ACHIEVE AN EVALUATED TRC OF 1.0</w:t>
      </w:r>
      <w:r w:rsidR="004F59AE">
        <w:rPr>
          <w:rFonts w:ascii="Arial" w:eastAsia="Arial" w:hAnsi="Arial" w:cs="Arial"/>
          <w:b/>
          <w:bCs/>
          <w:u w:val="single"/>
        </w:rPr>
        <w:t xml:space="preserve"> for 2019</w:t>
      </w:r>
    </w:p>
    <w:p w14:paraId="19CED8AA" w14:textId="77777777" w:rsidR="00E92AC2" w:rsidRDefault="001A3FC4">
      <w:pPr>
        <w:spacing w:after="240"/>
        <w:ind w:left="720"/>
        <w:rPr>
          <w:rFonts w:ascii="Arial" w:eastAsia="Arial" w:hAnsi="Arial" w:cs="Arial"/>
        </w:rPr>
      </w:pPr>
      <w:r>
        <w:rPr>
          <w:rFonts w:ascii="Arial" w:eastAsia="Arial" w:hAnsi="Arial" w:cs="Arial"/>
        </w:rPr>
        <w:t xml:space="preserve">Although SCE is not proposing a portfolio that meets a cost benefit ratio of </w:t>
      </w:r>
      <w:r w:rsidR="00EB2983">
        <w:rPr>
          <w:rFonts w:ascii="Arial" w:eastAsia="Arial" w:hAnsi="Arial" w:cs="Arial"/>
        </w:rPr>
        <w:t xml:space="preserve">1.25, SCE is confident it will </w:t>
      </w:r>
      <w:r>
        <w:rPr>
          <w:rFonts w:ascii="Arial" w:eastAsia="Arial" w:hAnsi="Arial" w:cs="Arial"/>
        </w:rPr>
        <w:t>meet an evaluated TRC of 1.0 for 2019 because SCE will continue to optimize its portfolio throughout the year to lower costs by improving, reducing, or</w:t>
      </w:r>
      <w:r w:rsidDel="006C1CF6">
        <w:rPr>
          <w:rFonts w:ascii="Arial" w:eastAsia="Arial" w:hAnsi="Arial" w:cs="Arial"/>
        </w:rPr>
        <w:t xml:space="preserve"> </w:t>
      </w:r>
      <w:r>
        <w:rPr>
          <w:rFonts w:ascii="Arial" w:eastAsia="Arial" w:hAnsi="Arial" w:cs="Arial"/>
        </w:rPr>
        <w:t xml:space="preserve">eliminating non-resource programs and non-cost-effective programs and measures. SCE will follow the appropriate regulatory channels to accomplish this.  </w:t>
      </w:r>
    </w:p>
    <w:p w14:paraId="74FEB6A9" w14:textId="4601B4BB" w:rsidR="00E92AC2" w:rsidRDefault="001A3FC4">
      <w:pPr>
        <w:spacing w:after="240"/>
        <w:ind w:left="720"/>
        <w:rPr>
          <w:rFonts w:ascii="Arial" w:eastAsia="Arial" w:hAnsi="Arial" w:cs="Arial"/>
        </w:rPr>
      </w:pPr>
      <w:r>
        <w:rPr>
          <w:rFonts w:ascii="Arial" w:eastAsia="Arial" w:hAnsi="Arial" w:cs="Arial"/>
        </w:rPr>
        <w:t>In addition to increasing cost</w:t>
      </w:r>
      <w:r w:rsidR="00E92AC2">
        <w:rPr>
          <w:rFonts w:ascii="Arial" w:eastAsia="Arial" w:hAnsi="Arial" w:cs="Arial"/>
        </w:rPr>
        <w:t>-</w:t>
      </w:r>
      <w:r>
        <w:rPr>
          <w:rFonts w:ascii="Arial" w:eastAsia="Arial" w:hAnsi="Arial" w:cs="Arial"/>
        </w:rPr>
        <w:t>effectiveness going forward, SCE will m</w:t>
      </w:r>
      <w:r w:rsidRPr="004153E5">
        <w:rPr>
          <w:rFonts w:ascii="Arial" w:eastAsia="Arial" w:hAnsi="Arial" w:cs="Arial"/>
        </w:rPr>
        <w:t>aximize savings from cost-effective measures and programs</w:t>
      </w:r>
      <w:r>
        <w:rPr>
          <w:rFonts w:ascii="Arial" w:eastAsia="Arial" w:hAnsi="Arial" w:cs="Arial"/>
        </w:rPr>
        <w:t>, encourage statewide programs not lead by SCE to also maximize cost-effectiveness</w:t>
      </w:r>
      <w:r w:rsidR="00E92AC2">
        <w:rPr>
          <w:rFonts w:ascii="Arial" w:eastAsia="Arial" w:hAnsi="Arial" w:cs="Arial"/>
        </w:rPr>
        <w:t>,</w:t>
      </w:r>
      <w:r>
        <w:rPr>
          <w:rFonts w:ascii="Arial" w:eastAsia="Arial" w:hAnsi="Arial" w:cs="Arial"/>
        </w:rPr>
        <w:t xml:space="preserve"> and require </w:t>
      </w:r>
      <w:r w:rsidRPr="004153E5">
        <w:rPr>
          <w:rFonts w:ascii="Arial" w:eastAsia="Arial" w:hAnsi="Arial" w:cs="Arial"/>
        </w:rPr>
        <w:t>new programs</w:t>
      </w:r>
      <w:r>
        <w:rPr>
          <w:rFonts w:ascii="Arial" w:eastAsia="Arial" w:hAnsi="Arial" w:cs="Arial"/>
        </w:rPr>
        <w:t xml:space="preserve"> to</w:t>
      </w:r>
      <w:r w:rsidRPr="004153E5">
        <w:rPr>
          <w:rFonts w:ascii="Arial" w:eastAsia="Arial" w:hAnsi="Arial" w:cs="Arial"/>
        </w:rPr>
        <w:t xml:space="preserve"> meet a high cost-effectiveness threshold and maximize pay-for-performance</w:t>
      </w:r>
      <w:r>
        <w:rPr>
          <w:rFonts w:ascii="Arial" w:eastAsia="Arial" w:hAnsi="Arial" w:cs="Arial"/>
        </w:rPr>
        <w:t xml:space="preserve">.  </w:t>
      </w:r>
    </w:p>
    <w:p w14:paraId="36E2661F" w14:textId="22003EBD" w:rsidR="001A3FC4" w:rsidRDefault="00BC1405">
      <w:pPr>
        <w:spacing w:after="240"/>
        <w:ind w:left="720"/>
        <w:rPr>
          <w:rFonts w:ascii="Arial" w:eastAsia="Arial" w:hAnsi="Arial" w:cs="Arial"/>
        </w:rPr>
      </w:pPr>
      <w:r>
        <w:rPr>
          <w:rFonts w:ascii="Arial" w:eastAsia="Arial" w:hAnsi="Arial" w:cs="Arial"/>
        </w:rPr>
        <w:t xml:space="preserve">Furthermore, </w:t>
      </w:r>
      <w:r w:rsidR="001A3FC4">
        <w:rPr>
          <w:rFonts w:ascii="Arial" w:eastAsia="Arial" w:hAnsi="Arial" w:cs="Arial"/>
        </w:rPr>
        <w:t xml:space="preserve">SCE has included a budget for the ramp-up of </w:t>
      </w:r>
      <w:r w:rsidR="001E435D">
        <w:rPr>
          <w:rFonts w:ascii="Arial" w:eastAsia="Arial" w:hAnsi="Arial" w:cs="Arial"/>
        </w:rPr>
        <w:t xml:space="preserve">new </w:t>
      </w:r>
      <w:r w:rsidR="001A3FC4">
        <w:rPr>
          <w:rFonts w:ascii="Arial" w:eastAsia="Arial" w:hAnsi="Arial" w:cs="Arial"/>
        </w:rPr>
        <w:t>third-party programs in 2019 but did not allocate any attributable energy savings to these programs; therefore, the cost burden has been estimated, but only positive savings and cost-effectiveness results are expected to occur.  These</w:t>
      </w:r>
      <w:r w:rsidR="00E92AC2">
        <w:rPr>
          <w:rFonts w:ascii="Arial" w:eastAsia="Arial" w:hAnsi="Arial" w:cs="Arial"/>
        </w:rPr>
        <w:t xml:space="preserve"> third-party</w:t>
      </w:r>
      <w:r w:rsidR="001A3FC4">
        <w:rPr>
          <w:rFonts w:ascii="Arial" w:eastAsia="Arial" w:hAnsi="Arial" w:cs="Arial"/>
        </w:rPr>
        <w:t xml:space="preserve"> programs are expected to contribute positively to overall cost-effectiveness of the portfolio once operational and may contribute to the energy savings delivered in 2019.</w:t>
      </w:r>
    </w:p>
    <w:p w14:paraId="41C9B3DC" w14:textId="13C3C85D" w:rsidR="00501AB4" w:rsidRDefault="00DD1F5D" w:rsidP="00501AB4">
      <w:pPr>
        <w:spacing w:after="240"/>
        <w:ind w:left="720"/>
        <w:rPr>
          <w:rFonts w:ascii="Arial" w:eastAsia="Arial" w:hAnsi="Arial" w:cs="Arial"/>
        </w:rPr>
      </w:pPr>
      <w:r>
        <w:rPr>
          <w:rFonts w:ascii="Arial" w:eastAsia="Arial" w:hAnsi="Arial" w:cs="Arial"/>
        </w:rPr>
        <w:t xml:space="preserve">SCE will continue to improve the cost-effectiveness of both cost-effective and non-cost effective programs.  As required by the Commission in </w:t>
      </w:r>
      <w:r w:rsidRPr="00DD1F5D">
        <w:rPr>
          <w:rFonts w:ascii="Arial" w:eastAsia="Arial" w:hAnsi="Arial" w:cs="Arial"/>
        </w:rPr>
        <w:t xml:space="preserve">D.18-05-041 SCE </w:t>
      </w:r>
      <w:r>
        <w:rPr>
          <w:rFonts w:ascii="Arial" w:eastAsia="Arial" w:hAnsi="Arial" w:cs="Arial"/>
        </w:rPr>
        <w:t>will</w:t>
      </w:r>
      <w:r w:rsidRPr="00DD1F5D">
        <w:rPr>
          <w:rFonts w:ascii="Arial" w:eastAsia="Arial" w:hAnsi="Arial" w:cs="Arial"/>
        </w:rPr>
        <w:t xml:space="preserve"> work with Local Government Partnership partners to improve </w:t>
      </w:r>
      <w:r>
        <w:rPr>
          <w:rFonts w:ascii="Arial" w:eastAsia="Arial" w:hAnsi="Arial" w:cs="Arial"/>
        </w:rPr>
        <w:t xml:space="preserve">the </w:t>
      </w:r>
      <w:r w:rsidRPr="00DD1F5D">
        <w:rPr>
          <w:rFonts w:ascii="Arial" w:eastAsia="Arial" w:hAnsi="Arial" w:cs="Arial"/>
        </w:rPr>
        <w:t xml:space="preserve">cost-effectiveness </w:t>
      </w:r>
      <w:r>
        <w:rPr>
          <w:rFonts w:ascii="Arial" w:eastAsia="Arial" w:hAnsi="Arial" w:cs="Arial"/>
        </w:rPr>
        <w:t>of these programs in 2019</w:t>
      </w:r>
      <w:r w:rsidRPr="00DD1F5D">
        <w:rPr>
          <w:rFonts w:ascii="Arial" w:eastAsia="Arial" w:hAnsi="Arial" w:cs="Arial"/>
        </w:rPr>
        <w:t>.</w:t>
      </w:r>
      <w:r>
        <w:rPr>
          <w:rFonts w:ascii="Arial" w:eastAsia="Arial" w:hAnsi="Arial" w:cs="Arial"/>
        </w:rPr>
        <w:t xml:space="preserve">  </w:t>
      </w:r>
      <w:r w:rsidR="00501AB4">
        <w:rPr>
          <w:rFonts w:ascii="Arial" w:eastAsia="Arial" w:hAnsi="Arial" w:cs="Arial"/>
        </w:rPr>
        <w:t xml:space="preserve">SCE will also be developing programs </w:t>
      </w:r>
      <w:r w:rsidR="00501AB4" w:rsidRPr="00501AB4">
        <w:rPr>
          <w:rFonts w:ascii="Arial" w:eastAsia="Arial" w:hAnsi="Arial" w:cs="Arial"/>
        </w:rPr>
        <w:t>specifically marketed to</w:t>
      </w:r>
      <w:r w:rsidR="00501AB4">
        <w:rPr>
          <w:rFonts w:ascii="Arial" w:eastAsia="Arial" w:hAnsi="Arial" w:cs="Arial"/>
        </w:rPr>
        <w:t xml:space="preserve"> Disa</w:t>
      </w:r>
      <w:r w:rsidR="00CA45CC">
        <w:rPr>
          <w:rFonts w:ascii="Arial" w:eastAsia="Arial" w:hAnsi="Arial" w:cs="Arial"/>
        </w:rPr>
        <w:t>dvantaged Communities (DAC) and Hard-to-r</w:t>
      </w:r>
      <w:r w:rsidR="00501AB4">
        <w:rPr>
          <w:rFonts w:ascii="Arial" w:eastAsia="Arial" w:hAnsi="Arial" w:cs="Arial"/>
        </w:rPr>
        <w:t>each</w:t>
      </w:r>
      <w:r w:rsidR="00CA45CC">
        <w:rPr>
          <w:rFonts w:ascii="Arial" w:eastAsia="Arial" w:hAnsi="Arial" w:cs="Arial"/>
        </w:rPr>
        <w:t xml:space="preserve"> (HTR)</w:t>
      </w:r>
      <w:r w:rsidR="00501AB4">
        <w:rPr>
          <w:rFonts w:ascii="Arial" w:eastAsia="Arial" w:hAnsi="Arial" w:cs="Arial"/>
        </w:rPr>
        <w:t xml:space="preserve"> customers</w:t>
      </w:r>
      <w:r>
        <w:rPr>
          <w:rFonts w:ascii="Arial" w:eastAsia="Arial" w:hAnsi="Arial" w:cs="Arial"/>
        </w:rPr>
        <w:t xml:space="preserve"> and target existing </w:t>
      </w:r>
      <w:r w:rsidR="0039180A">
        <w:rPr>
          <w:rFonts w:ascii="Arial" w:eastAsia="Arial" w:hAnsi="Arial" w:cs="Arial"/>
        </w:rPr>
        <w:t>DAC and HTR</w:t>
      </w:r>
      <w:r>
        <w:rPr>
          <w:rFonts w:ascii="Arial" w:eastAsia="Arial" w:hAnsi="Arial" w:cs="Arial"/>
        </w:rPr>
        <w:t xml:space="preserve"> programs where possible</w:t>
      </w:r>
      <w:r w:rsidR="00CA45CC">
        <w:rPr>
          <w:rFonts w:ascii="Arial" w:eastAsia="Arial" w:hAnsi="Arial" w:cs="Arial"/>
        </w:rPr>
        <w:t>.</w:t>
      </w:r>
      <w:r w:rsidR="00501AB4">
        <w:rPr>
          <w:rFonts w:ascii="Arial" w:eastAsia="Arial" w:hAnsi="Arial" w:cs="Arial"/>
        </w:rPr>
        <w:t xml:space="preserve"> </w:t>
      </w:r>
      <w:r w:rsidR="00CA45CC">
        <w:rPr>
          <w:rFonts w:ascii="Arial" w:eastAsia="Arial" w:hAnsi="Arial" w:cs="Arial"/>
        </w:rPr>
        <w:t xml:space="preserve">Projects that meet the DAC and HTR criteria are eligible to claim a .85 net-to-gross ratio. SCE will work collaboratively with the Commission to </w:t>
      </w:r>
      <w:r w:rsidR="00CA45CC" w:rsidRPr="00CA45CC">
        <w:rPr>
          <w:rFonts w:ascii="Arial" w:eastAsia="Arial" w:hAnsi="Arial" w:cs="Arial"/>
        </w:rPr>
        <w:t xml:space="preserve">identify the </w:t>
      </w:r>
      <w:r w:rsidR="00CA45CC" w:rsidRPr="00CA45CC">
        <w:rPr>
          <w:rFonts w:ascii="Arial" w:eastAsia="Arial" w:hAnsi="Arial" w:cs="Arial"/>
        </w:rPr>
        <w:lastRenderedPageBreak/>
        <w:t>correct documentation requirements and to properly indic</w:t>
      </w:r>
      <w:r w:rsidR="00CA45CC">
        <w:rPr>
          <w:rFonts w:ascii="Arial" w:eastAsia="Arial" w:hAnsi="Arial" w:cs="Arial"/>
        </w:rPr>
        <w:t xml:space="preserve">ate projects installed for DAC and </w:t>
      </w:r>
      <w:r w:rsidR="00CA45CC" w:rsidRPr="00CA45CC">
        <w:rPr>
          <w:rFonts w:ascii="Arial" w:eastAsia="Arial" w:hAnsi="Arial" w:cs="Arial"/>
        </w:rPr>
        <w:t>HTR customers</w:t>
      </w:r>
      <w:r w:rsidR="00CA45CC">
        <w:rPr>
          <w:rFonts w:ascii="Arial" w:eastAsia="Arial" w:hAnsi="Arial" w:cs="Arial"/>
        </w:rPr>
        <w:t>.</w:t>
      </w:r>
    </w:p>
    <w:p w14:paraId="2CE9303F" w14:textId="77777777" w:rsidR="00717ACB" w:rsidRDefault="005711B6" w:rsidP="00717ACB">
      <w:pPr>
        <w:pStyle w:val="Default"/>
        <w:ind w:left="720"/>
        <w:rPr>
          <w:rFonts w:ascii="Arial" w:eastAsia="Arial" w:hAnsi="Arial" w:cs="Arial"/>
          <w:color w:val="auto"/>
        </w:rPr>
      </w:pPr>
      <w:r>
        <w:rPr>
          <w:rFonts w:ascii="Arial" w:eastAsia="Arial" w:hAnsi="Arial" w:cs="Arial"/>
          <w:color w:val="auto"/>
        </w:rPr>
        <w:t xml:space="preserve">SCE anticipates improved ex post results from its business programs offered in 2019, including third-party projects completed, customized, and deemed rebates.  This improvement is due to the significant efforts of SCE and its implementers in response to the CPUC’s previous ex post and ex ante recommendations.  </w:t>
      </w:r>
      <w:r w:rsidRPr="004D7644">
        <w:rPr>
          <w:rFonts w:ascii="Arial" w:eastAsia="Arial" w:hAnsi="Arial" w:cs="Arial"/>
          <w:color w:val="auto"/>
        </w:rPr>
        <w:t>Since 2015</w:t>
      </w:r>
      <w:r>
        <w:rPr>
          <w:rFonts w:ascii="Arial" w:eastAsia="Arial" w:hAnsi="Arial" w:cs="Arial"/>
          <w:color w:val="auto"/>
        </w:rPr>
        <w:t xml:space="preserve"> and ongoing today,</w:t>
      </w:r>
      <w:r w:rsidRPr="004D7644">
        <w:rPr>
          <w:rFonts w:ascii="Arial" w:eastAsia="Arial" w:hAnsi="Arial" w:cs="Arial"/>
          <w:color w:val="auto"/>
        </w:rPr>
        <w:t xml:space="preserve"> </w:t>
      </w:r>
      <w:r>
        <w:rPr>
          <w:rFonts w:ascii="Arial" w:eastAsia="Arial" w:hAnsi="Arial" w:cs="Arial"/>
          <w:color w:val="auto"/>
        </w:rPr>
        <w:t>SCE</w:t>
      </w:r>
      <w:r w:rsidRPr="004D7644">
        <w:rPr>
          <w:rFonts w:ascii="Arial" w:eastAsia="Arial" w:hAnsi="Arial" w:cs="Arial"/>
          <w:color w:val="auto"/>
        </w:rPr>
        <w:t xml:space="preserve"> ha</w:t>
      </w:r>
      <w:r>
        <w:rPr>
          <w:rFonts w:ascii="Arial" w:eastAsia="Arial" w:hAnsi="Arial" w:cs="Arial"/>
          <w:color w:val="auto"/>
        </w:rPr>
        <w:t>s</w:t>
      </w:r>
      <w:r w:rsidRPr="004D7644">
        <w:rPr>
          <w:rFonts w:ascii="Arial" w:eastAsia="Arial" w:hAnsi="Arial" w:cs="Arial"/>
          <w:color w:val="auto"/>
        </w:rPr>
        <w:t xml:space="preserve"> implemented </w:t>
      </w:r>
      <w:r>
        <w:rPr>
          <w:rFonts w:ascii="Arial" w:eastAsia="Arial" w:hAnsi="Arial" w:cs="Arial"/>
          <w:color w:val="auto"/>
        </w:rPr>
        <w:t>numerous</w:t>
      </w:r>
      <w:r w:rsidRPr="004D7644">
        <w:rPr>
          <w:rFonts w:ascii="Arial" w:eastAsia="Arial" w:hAnsi="Arial" w:cs="Arial"/>
          <w:color w:val="auto"/>
        </w:rPr>
        <w:t xml:space="preserve"> initiatives and </w:t>
      </w:r>
      <w:r>
        <w:rPr>
          <w:rFonts w:ascii="Arial" w:eastAsia="Arial" w:hAnsi="Arial" w:cs="Arial"/>
          <w:color w:val="auto"/>
        </w:rPr>
        <w:t xml:space="preserve">EE </w:t>
      </w:r>
      <w:r w:rsidRPr="004D7644">
        <w:rPr>
          <w:rFonts w:ascii="Arial" w:eastAsia="Arial" w:hAnsi="Arial" w:cs="Arial"/>
          <w:color w:val="auto"/>
        </w:rPr>
        <w:t xml:space="preserve">program policies to address </w:t>
      </w:r>
      <w:r>
        <w:rPr>
          <w:rFonts w:ascii="Arial" w:eastAsia="Arial" w:hAnsi="Arial" w:cs="Arial"/>
          <w:color w:val="auto"/>
        </w:rPr>
        <w:t xml:space="preserve">Commission </w:t>
      </w:r>
      <w:r w:rsidRPr="004D7644">
        <w:rPr>
          <w:rFonts w:ascii="Arial" w:eastAsia="Arial" w:hAnsi="Arial" w:cs="Arial"/>
          <w:color w:val="auto"/>
        </w:rPr>
        <w:t xml:space="preserve">concerns with Calculated </w:t>
      </w:r>
      <w:r>
        <w:rPr>
          <w:rFonts w:ascii="Arial" w:eastAsia="Arial" w:hAnsi="Arial" w:cs="Arial"/>
          <w:color w:val="auto"/>
        </w:rPr>
        <w:t>programs</w:t>
      </w:r>
      <w:r w:rsidRPr="004D7644">
        <w:rPr>
          <w:rFonts w:ascii="Arial" w:eastAsia="Arial" w:hAnsi="Arial" w:cs="Arial"/>
          <w:color w:val="auto"/>
        </w:rPr>
        <w:t>. These include</w:t>
      </w:r>
      <w:r>
        <w:rPr>
          <w:rFonts w:ascii="Arial" w:eastAsia="Arial" w:hAnsi="Arial" w:cs="Arial"/>
          <w:color w:val="auto"/>
        </w:rPr>
        <w:t>,</w:t>
      </w:r>
      <w:r w:rsidRPr="004D7644">
        <w:rPr>
          <w:rFonts w:ascii="Arial" w:eastAsia="Arial" w:hAnsi="Arial" w:cs="Arial"/>
          <w:color w:val="auto"/>
        </w:rPr>
        <w:t xml:space="preserve"> but are not limited to the following: </w:t>
      </w:r>
    </w:p>
    <w:p w14:paraId="2E201E88" w14:textId="10301895" w:rsidR="00717ACB" w:rsidRDefault="00717ACB" w:rsidP="00717ACB">
      <w:pPr>
        <w:pStyle w:val="Default"/>
        <w:numPr>
          <w:ilvl w:val="0"/>
          <w:numId w:val="21"/>
        </w:numPr>
        <w:rPr>
          <w:rFonts w:ascii="Arial" w:eastAsia="Arial" w:hAnsi="Arial" w:cs="Arial"/>
          <w:color w:val="auto"/>
        </w:rPr>
      </w:pPr>
      <w:r>
        <w:rPr>
          <w:rFonts w:ascii="Arial" w:eastAsia="Arial" w:hAnsi="Arial" w:cs="Arial"/>
          <w:color w:val="auto"/>
        </w:rPr>
        <w:t>R</w:t>
      </w:r>
      <w:r w:rsidR="005711B6" w:rsidRPr="004D7644">
        <w:rPr>
          <w:rFonts w:ascii="Arial" w:eastAsia="Arial" w:hAnsi="Arial" w:cs="Arial"/>
          <w:color w:val="auto"/>
        </w:rPr>
        <w:t xml:space="preserve">equiring </w:t>
      </w:r>
      <w:r w:rsidR="005711B6">
        <w:rPr>
          <w:rFonts w:ascii="Arial" w:eastAsia="Arial" w:hAnsi="Arial" w:cs="Arial"/>
          <w:color w:val="auto"/>
        </w:rPr>
        <w:t xml:space="preserve">increased documentation of EE program </w:t>
      </w:r>
      <w:r w:rsidR="005711B6" w:rsidRPr="004D7644">
        <w:rPr>
          <w:rFonts w:ascii="Arial" w:eastAsia="Arial" w:hAnsi="Arial" w:cs="Arial"/>
          <w:color w:val="auto"/>
        </w:rPr>
        <w:t xml:space="preserve">influence </w:t>
      </w:r>
      <w:r w:rsidR="005711B6">
        <w:rPr>
          <w:rFonts w:ascii="Arial" w:eastAsia="Arial" w:hAnsi="Arial" w:cs="Arial"/>
          <w:color w:val="auto"/>
        </w:rPr>
        <w:t xml:space="preserve">on customer actions; </w:t>
      </w:r>
    </w:p>
    <w:p w14:paraId="300110D5" w14:textId="4793A3CD" w:rsidR="00717ACB" w:rsidRDefault="00717ACB" w:rsidP="00717ACB">
      <w:pPr>
        <w:pStyle w:val="Default"/>
        <w:numPr>
          <w:ilvl w:val="0"/>
          <w:numId w:val="21"/>
        </w:numPr>
        <w:rPr>
          <w:rFonts w:ascii="Arial" w:eastAsia="Arial" w:hAnsi="Arial" w:cs="Arial"/>
          <w:color w:val="auto"/>
        </w:rPr>
      </w:pPr>
      <w:r>
        <w:rPr>
          <w:rFonts w:ascii="Arial" w:eastAsia="Arial" w:hAnsi="Arial" w:cs="Arial"/>
          <w:color w:val="auto"/>
        </w:rPr>
        <w:t>E</w:t>
      </w:r>
      <w:r w:rsidR="005711B6" w:rsidRPr="004D7644">
        <w:rPr>
          <w:rFonts w:ascii="Arial" w:eastAsia="Arial" w:hAnsi="Arial" w:cs="Arial"/>
          <w:color w:val="auto"/>
        </w:rPr>
        <w:t xml:space="preserve">stablishing </w:t>
      </w:r>
      <w:r w:rsidR="005711B6">
        <w:rPr>
          <w:rFonts w:ascii="Arial" w:eastAsia="Arial" w:hAnsi="Arial" w:cs="Arial"/>
          <w:color w:val="auto"/>
        </w:rPr>
        <w:t xml:space="preserve">SCE </w:t>
      </w:r>
      <w:r w:rsidR="005711B6" w:rsidRPr="004D7644">
        <w:rPr>
          <w:rFonts w:ascii="Arial" w:eastAsia="Arial" w:hAnsi="Arial" w:cs="Arial"/>
          <w:color w:val="auto"/>
        </w:rPr>
        <w:t>internal process</w:t>
      </w:r>
      <w:r w:rsidR="005711B6">
        <w:rPr>
          <w:rFonts w:ascii="Arial" w:eastAsia="Arial" w:hAnsi="Arial" w:cs="Arial"/>
          <w:color w:val="auto"/>
        </w:rPr>
        <w:t>es</w:t>
      </w:r>
      <w:r w:rsidR="005711B6" w:rsidRPr="004D7644">
        <w:rPr>
          <w:rFonts w:ascii="Arial" w:eastAsia="Arial" w:hAnsi="Arial" w:cs="Arial"/>
          <w:color w:val="auto"/>
        </w:rPr>
        <w:t xml:space="preserve"> to communicate </w:t>
      </w:r>
      <w:r w:rsidR="005711B6">
        <w:rPr>
          <w:rFonts w:ascii="Arial" w:eastAsia="Arial" w:hAnsi="Arial" w:cs="Arial"/>
          <w:color w:val="auto"/>
        </w:rPr>
        <w:t>ongoing</w:t>
      </w:r>
      <w:r w:rsidR="005711B6" w:rsidRPr="004D7644">
        <w:rPr>
          <w:rFonts w:ascii="Arial" w:eastAsia="Arial" w:hAnsi="Arial" w:cs="Arial"/>
          <w:color w:val="auto"/>
        </w:rPr>
        <w:t xml:space="preserve"> </w:t>
      </w:r>
      <w:r w:rsidR="005711B6">
        <w:rPr>
          <w:rFonts w:ascii="Arial" w:eastAsia="Arial" w:hAnsi="Arial" w:cs="Arial"/>
          <w:color w:val="auto"/>
        </w:rPr>
        <w:t>Commission s</w:t>
      </w:r>
      <w:r w:rsidR="005711B6" w:rsidRPr="004D7644">
        <w:rPr>
          <w:rFonts w:ascii="Arial" w:eastAsia="Arial" w:hAnsi="Arial" w:cs="Arial"/>
          <w:color w:val="auto"/>
        </w:rPr>
        <w:t>taff guidance</w:t>
      </w:r>
      <w:r w:rsidR="005711B6">
        <w:rPr>
          <w:rFonts w:ascii="Arial" w:eastAsia="Arial" w:hAnsi="Arial" w:cs="Arial"/>
          <w:color w:val="auto"/>
        </w:rPr>
        <w:t xml:space="preserve">; </w:t>
      </w:r>
    </w:p>
    <w:p w14:paraId="08C0BC95" w14:textId="1BDBA6D6" w:rsidR="00717ACB" w:rsidRDefault="00717ACB" w:rsidP="00717ACB">
      <w:pPr>
        <w:pStyle w:val="Default"/>
        <w:numPr>
          <w:ilvl w:val="0"/>
          <w:numId w:val="21"/>
        </w:numPr>
        <w:rPr>
          <w:rFonts w:ascii="Arial" w:eastAsia="Arial" w:hAnsi="Arial" w:cs="Arial"/>
          <w:color w:val="auto"/>
        </w:rPr>
      </w:pPr>
      <w:r>
        <w:rPr>
          <w:rFonts w:ascii="Arial" w:eastAsia="Arial" w:hAnsi="Arial" w:cs="Arial"/>
          <w:color w:val="auto"/>
        </w:rPr>
        <w:t>Increasing</w:t>
      </w:r>
      <w:r w:rsidR="005711B6">
        <w:rPr>
          <w:rFonts w:ascii="Arial" w:eastAsia="Arial" w:hAnsi="Arial" w:cs="Arial"/>
          <w:color w:val="auto"/>
        </w:rPr>
        <w:t xml:space="preserve"> SCE review of large projects;</w:t>
      </w:r>
      <w:r w:rsidR="005711B6" w:rsidRPr="004D7644">
        <w:rPr>
          <w:rFonts w:ascii="Arial" w:eastAsia="Arial" w:hAnsi="Arial" w:cs="Arial"/>
          <w:color w:val="auto"/>
        </w:rPr>
        <w:t xml:space="preserve"> </w:t>
      </w:r>
    </w:p>
    <w:p w14:paraId="15C56CFA" w14:textId="7BEAEE1A" w:rsidR="00717ACB" w:rsidRDefault="00717ACB" w:rsidP="00717ACB">
      <w:pPr>
        <w:pStyle w:val="Default"/>
        <w:numPr>
          <w:ilvl w:val="0"/>
          <w:numId w:val="21"/>
        </w:numPr>
        <w:rPr>
          <w:rFonts w:ascii="Arial" w:eastAsia="Arial" w:hAnsi="Arial" w:cs="Arial"/>
          <w:color w:val="auto"/>
        </w:rPr>
      </w:pPr>
      <w:r>
        <w:rPr>
          <w:rFonts w:ascii="Arial" w:eastAsia="Arial" w:hAnsi="Arial" w:cs="Arial"/>
          <w:color w:val="auto"/>
        </w:rPr>
        <w:t>S</w:t>
      </w:r>
      <w:r w:rsidR="005711B6" w:rsidRPr="004D7644">
        <w:rPr>
          <w:rFonts w:ascii="Arial" w:eastAsia="Arial" w:hAnsi="Arial" w:cs="Arial"/>
          <w:color w:val="auto"/>
        </w:rPr>
        <w:t>tandardiz</w:t>
      </w:r>
      <w:r>
        <w:rPr>
          <w:rFonts w:ascii="Arial" w:eastAsia="Arial" w:hAnsi="Arial" w:cs="Arial"/>
          <w:color w:val="auto"/>
        </w:rPr>
        <w:t xml:space="preserve">ing </w:t>
      </w:r>
      <w:r w:rsidR="005711B6" w:rsidRPr="004D7644">
        <w:rPr>
          <w:rFonts w:ascii="Arial" w:eastAsia="Arial" w:hAnsi="Arial" w:cs="Arial"/>
          <w:color w:val="auto"/>
        </w:rPr>
        <w:t>technical and influence documentation into a Project Feasibility Study (PFS) template</w:t>
      </w:r>
      <w:r w:rsidR="005711B6">
        <w:rPr>
          <w:rFonts w:ascii="Arial" w:eastAsia="Arial" w:hAnsi="Arial" w:cs="Arial"/>
          <w:color w:val="auto"/>
        </w:rPr>
        <w:t xml:space="preserve">; </w:t>
      </w:r>
      <w:r>
        <w:rPr>
          <w:rFonts w:ascii="Arial" w:eastAsia="Arial" w:hAnsi="Arial" w:cs="Arial"/>
          <w:color w:val="auto"/>
        </w:rPr>
        <w:t>and</w:t>
      </w:r>
    </w:p>
    <w:p w14:paraId="5EA0FCDF" w14:textId="7EBD64CA" w:rsidR="00717ACB" w:rsidRDefault="00717ACB" w:rsidP="00717ACB">
      <w:pPr>
        <w:pStyle w:val="Default"/>
        <w:numPr>
          <w:ilvl w:val="0"/>
          <w:numId w:val="21"/>
        </w:numPr>
        <w:rPr>
          <w:rFonts w:ascii="Arial" w:eastAsia="Arial" w:hAnsi="Arial" w:cs="Arial"/>
          <w:color w:val="auto"/>
        </w:rPr>
      </w:pPr>
      <w:r>
        <w:rPr>
          <w:rFonts w:ascii="Arial" w:eastAsia="Arial" w:hAnsi="Arial" w:cs="Arial"/>
          <w:color w:val="auto"/>
        </w:rPr>
        <w:t xml:space="preserve">Providing </w:t>
      </w:r>
      <w:r w:rsidR="005711B6">
        <w:rPr>
          <w:rFonts w:ascii="Arial" w:eastAsia="Arial" w:hAnsi="Arial" w:cs="Arial"/>
          <w:color w:val="auto"/>
        </w:rPr>
        <w:t>detailed guidance of EE program in</w:t>
      </w:r>
      <w:r w:rsidR="005711B6" w:rsidRPr="004D7644">
        <w:rPr>
          <w:rFonts w:ascii="Arial" w:eastAsia="Arial" w:hAnsi="Arial" w:cs="Arial"/>
          <w:color w:val="auto"/>
        </w:rPr>
        <w:t xml:space="preserve">fluence </w:t>
      </w:r>
      <w:r w:rsidR="005711B6">
        <w:rPr>
          <w:rFonts w:ascii="Arial" w:eastAsia="Arial" w:hAnsi="Arial" w:cs="Arial"/>
          <w:color w:val="auto"/>
        </w:rPr>
        <w:t xml:space="preserve">via a </w:t>
      </w:r>
      <w:r w:rsidR="005711B6" w:rsidRPr="004D7644">
        <w:rPr>
          <w:rFonts w:ascii="Arial" w:eastAsia="Arial" w:hAnsi="Arial" w:cs="Arial"/>
          <w:color w:val="auto"/>
        </w:rPr>
        <w:t>matrix developed to provide details in alignment with known Preponderance of Evidence guidance</w:t>
      </w:r>
      <w:r w:rsidR="005711B6">
        <w:rPr>
          <w:rFonts w:ascii="Arial" w:eastAsia="Arial" w:hAnsi="Arial" w:cs="Arial"/>
          <w:color w:val="auto"/>
        </w:rPr>
        <w:t xml:space="preserve"> from CPUC staff</w:t>
      </w:r>
      <w:r w:rsidR="005711B6" w:rsidRPr="004D7644">
        <w:rPr>
          <w:rFonts w:ascii="Arial" w:eastAsia="Arial" w:hAnsi="Arial" w:cs="Arial"/>
          <w:color w:val="auto"/>
        </w:rPr>
        <w:t xml:space="preserve">. </w:t>
      </w:r>
      <w:r w:rsidR="005711B6">
        <w:rPr>
          <w:rFonts w:ascii="Arial" w:eastAsia="Arial" w:hAnsi="Arial" w:cs="Arial"/>
          <w:color w:val="auto"/>
        </w:rPr>
        <w:t xml:space="preserve"> </w:t>
      </w:r>
    </w:p>
    <w:p w14:paraId="0401A74F" w14:textId="77777777" w:rsidR="00717ACB" w:rsidRDefault="00717ACB" w:rsidP="00717ACB">
      <w:pPr>
        <w:pStyle w:val="Default"/>
        <w:ind w:left="1440"/>
        <w:rPr>
          <w:rFonts w:ascii="Arial" w:eastAsia="Arial" w:hAnsi="Arial" w:cs="Arial"/>
          <w:color w:val="auto"/>
        </w:rPr>
      </w:pPr>
    </w:p>
    <w:p w14:paraId="297D26B8" w14:textId="6111D412" w:rsidR="005711B6" w:rsidRDefault="005711B6" w:rsidP="00717ACB">
      <w:pPr>
        <w:pStyle w:val="Default"/>
        <w:ind w:left="720"/>
        <w:rPr>
          <w:rFonts w:ascii="Arial" w:eastAsia="Arial" w:hAnsi="Arial" w:cs="Arial"/>
          <w:color w:val="auto"/>
        </w:rPr>
      </w:pPr>
      <w:r w:rsidRPr="004D7644">
        <w:rPr>
          <w:rFonts w:ascii="Arial" w:eastAsia="Arial" w:hAnsi="Arial" w:cs="Arial"/>
          <w:color w:val="auto"/>
        </w:rPr>
        <w:t>In 2018</w:t>
      </w:r>
      <w:r>
        <w:rPr>
          <w:rFonts w:ascii="Arial" w:eastAsia="Arial" w:hAnsi="Arial" w:cs="Arial"/>
          <w:color w:val="auto"/>
        </w:rPr>
        <w:t xml:space="preserve"> SCE enacted an</w:t>
      </w:r>
      <w:r w:rsidRPr="004D7644">
        <w:rPr>
          <w:rFonts w:ascii="Arial" w:eastAsia="Arial" w:hAnsi="Arial" w:cs="Arial"/>
          <w:color w:val="auto"/>
        </w:rPr>
        <w:t xml:space="preserve"> Early Screening process to </w:t>
      </w:r>
      <w:r>
        <w:rPr>
          <w:rFonts w:ascii="Arial" w:eastAsia="Arial" w:hAnsi="Arial" w:cs="Arial"/>
          <w:color w:val="auto"/>
        </w:rPr>
        <w:t xml:space="preserve">provide immediate feedback to customers and project implementers on </w:t>
      </w:r>
      <w:r w:rsidRPr="004D7644">
        <w:rPr>
          <w:rFonts w:ascii="Arial" w:eastAsia="Arial" w:hAnsi="Arial" w:cs="Arial"/>
          <w:color w:val="auto"/>
        </w:rPr>
        <w:t xml:space="preserve">projects </w:t>
      </w:r>
      <w:r>
        <w:rPr>
          <w:rFonts w:ascii="Arial" w:eastAsia="Arial" w:hAnsi="Arial" w:cs="Arial"/>
          <w:color w:val="auto"/>
        </w:rPr>
        <w:t>and their likelihood of receiving EE incentives based on current guidance.</w:t>
      </w:r>
    </w:p>
    <w:p w14:paraId="08F4A84C" w14:textId="77777777" w:rsidR="00717ACB" w:rsidRDefault="00717ACB" w:rsidP="00717ACB">
      <w:pPr>
        <w:pStyle w:val="Default"/>
        <w:ind w:left="720"/>
        <w:rPr>
          <w:rFonts w:ascii="Arial" w:eastAsia="Arial" w:hAnsi="Arial" w:cs="Arial"/>
        </w:rPr>
      </w:pPr>
    </w:p>
    <w:p w14:paraId="26747FD7" w14:textId="620DA5D1" w:rsidR="001A3FC4" w:rsidRDefault="001A3FC4">
      <w:pPr>
        <w:spacing w:after="240"/>
        <w:ind w:left="720"/>
        <w:rPr>
          <w:rFonts w:ascii="Arial" w:eastAsia="Arial" w:hAnsi="Arial" w:cs="Arial"/>
        </w:rPr>
      </w:pPr>
      <w:r>
        <w:rPr>
          <w:rFonts w:ascii="Arial" w:eastAsia="Arial" w:hAnsi="Arial" w:cs="Arial"/>
        </w:rPr>
        <w:t xml:space="preserve">SCE’s portfolio excludes the cost-effectiveness of its codes and standards advocacy </w:t>
      </w:r>
      <w:r w:rsidR="00A27A04">
        <w:rPr>
          <w:rFonts w:ascii="Arial" w:eastAsia="Arial" w:hAnsi="Arial" w:cs="Arial"/>
        </w:rPr>
        <w:t xml:space="preserve">programs </w:t>
      </w:r>
      <w:r>
        <w:rPr>
          <w:rFonts w:ascii="Arial" w:eastAsia="Arial" w:hAnsi="Arial" w:cs="Arial"/>
        </w:rPr>
        <w:t xml:space="preserve">which provides a significant buffer to maintain cost-effectiveness above 1.0.  Such programs </w:t>
      </w:r>
      <w:r w:rsidR="00900FFA">
        <w:rPr>
          <w:rFonts w:ascii="Arial" w:eastAsia="Arial" w:hAnsi="Arial" w:cs="Arial"/>
        </w:rPr>
        <w:t xml:space="preserve">can </w:t>
      </w:r>
      <w:r>
        <w:rPr>
          <w:rFonts w:ascii="Arial" w:eastAsia="Arial" w:hAnsi="Arial" w:cs="Arial"/>
        </w:rPr>
        <w:t>provide significant, cost-effective energy savings to California which are not captured in the cost-effectiveness metrics.</w:t>
      </w:r>
    </w:p>
    <w:p w14:paraId="116DF2EB" w14:textId="564360E8" w:rsidR="001A3FC4" w:rsidRPr="00EB2983" w:rsidRDefault="001A3FC4">
      <w:pPr>
        <w:spacing w:after="240"/>
        <w:ind w:left="720"/>
        <w:rPr>
          <w:rFonts w:ascii="Arial" w:eastAsia="Arial" w:hAnsi="Arial" w:cs="Arial"/>
          <w:b/>
          <w:bCs/>
          <w:u w:val="single"/>
        </w:rPr>
      </w:pPr>
      <w:r w:rsidRPr="00EB2983">
        <w:rPr>
          <w:rFonts w:ascii="Arial" w:eastAsia="Arial" w:hAnsi="Arial" w:cs="Arial"/>
          <w:b/>
          <w:bCs/>
          <w:u w:val="single"/>
        </w:rPr>
        <w:t>PROGRESS TOWARDS ACHIEV</w:t>
      </w:r>
      <w:r w:rsidR="005616C0">
        <w:rPr>
          <w:rFonts w:ascii="Arial" w:eastAsia="Arial" w:hAnsi="Arial" w:cs="Arial"/>
          <w:b/>
          <w:bCs/>
          <w:u w:val="single"/>
        </w:rPr>
        <w:t>ING</w:t>
      </w:r>
      <w:r w:rsidRPr="00EB2983">
        <w:rPr>
          <w:rFonts w:ascii="Arial" w:eastAsia="Arial" w:hAnsi="Arial" w:cs="Arial"/>
          <w:b/>
          <w:bCs/>
          <w:u w:val="single"/>
        </w:rPr>
        <w:t xml:space="preserve"> A TRC OF 1.25</w:t>
      </w:r>
      <w:r w:rsidR="004F59AE">
        <w:rPr>
          <w:rFonts w:ascii="Arial" w:eastAsia="Arial" w:hAnsi="Arial" w:cs="Arial"/>
          <w:b/>
          <w:bCs/>
          <w:u w:val="single"/>
        </w:rPr>
        <w:t xml:space="preserve"> by 2023</w:t>
      </w:r>
    </w:p>
    <w:p w14:paraId="61557BBA" w14:textId="5776CD87" w:rsidR="001A3FC4" w:rsidRDefault="001A3FC4">
      <w:pPr>
        <w:pStyle w:val="Default"/>
        <w:ind w:left="720"/>
        <w:rPr>
          <w:rFonts w:ascii="Arial" w:eastAsia="Arial" w:hAnsi="Arial" w:cs="Arial"/>
        </w:rPr>
      </w:pPr>
      <w:r>
        <w:rPr>
          <w:rFonts w:ascii="Arial" w:eastAsia="Arial" w:hAnsi="Arial" w:cs="Arial"/>
        </w:rPr>
        <w:t xml:space="preserve">SCE is evaluating several measures for reinstatement in 2019.  In January 2018 SCE </w:t>
      </w:r>
      <w:r w:rsidRPr="009D7093">
        <w:rPr>
          <w:rFonts w:ascii="Arial" w:eastAsia="Arial" w:hAnsi="Arial" w:cs="Arial"/>
        </w:rPr>
        <w:t>suspended several lighting measures</w:t>
      </w:r>
      <w:r>
        <w:rPr>
          <w:rFonts w:ascii="Arial" w:eastAsia="Arial" w:hAnsi="Arial" w:cs="Arial"/>
        </w:rPr>
        <w:t xml:space="preserve"> </w:t>
      </w:r>
      <w:r w:rsidRPr="009D7093">
        <w:rPr>
          <w:rFonts w:ascii="Arial" w:eastAsia="Arial" w:hAnsi="Arial" w:cs="Arial"/>
        </w:rPr>
        <w:t xml:space="preserve">due to guidance received from </w:t>
      </w:r>
      <w:r>
        <w:rPr>
          <w:rFonts w:ascii="Arial" w:eastAsia="Arial" w:hAnsi="Arial" w:cs="Arial"/>
        </w:rPr>
        <w:t xml:space="preserve">Commission </w:t>
      </w:r>
      <w:r w:rsidRPr="009D7093">
        <w:rPr>
          <w:rFonts w:ascii="Arial" w:eastAsia="Arial" w:hAnsi="Arial" w:cs="Arial"/>
        </w:rPr>
        <w:t xml:space="preserve">dispositions, market studies, </w:t>
      </w:r>
      <w:r w:rsidR="005616C0">
        <w:rPr>
          <w:rFonts w:ascii="Arial" w:eastAsia="Arial" w:hAnsi="Arial" w:cs="Arial"/>
        </w:rPr>
        <w:t>and</w:t>
      </w:r>
      <w:r w:rsidRPr="009D7093">
        <w:rPr>
          <w:rFonts w:ascii="Arial" w:eastAsia="Arial" w:hAnsi="Arial" w:cs="Arial"/>
        </w:rPr>
        <w:t xml:space="preserve"> industry standard practice (ISP) studies.</w:t>
      </w:r>
      <w:r>
        <w:rPr>
          <w:rStyle w:val="FootnoteReference"/>
          <w:rFonts w:ascii="Arial" w:eastAsia="Arial" w:hAnsi="Arial" w:cs="Arial"/>
        </w:rPr>
        <w:footnoteReference w:id="9"/>
      </w:r>
      <w:r w:rsidRPr="009D7093">
        <w:rPr>
          <w:rFonts w:ascii="Arial" w:eastAsia="Arial" w:hAnsi="Arial" w:cs="Arial"/>
        </w:rPr>
        <w:t xml:space="preserve">  As SCE receives clarifying direction, SCE will determine if and when </w:t>
      </w:r>
      <w:r w:rsidRPr="009D7093">
        <w:rPr>
          <w:rFonts w:ascii="Arial" w:eastAsia="Arial" w:hAnsi="Arial" w:cs="Arial"/>
        </w:rPr>
        <w:lastRenderedPageBreak/>
        <w:t xml:space="preserve">the measures </w:t>
      </w:r>
      <w:r w:rsidR="00DA41E4">
        <w:rPr>
          <w:rFonts w:ascii="Arial" w:eastAsia="Arial" w:hAnsi="Arial" w:cs="Arial"/>
        </w:rPr>
        <w:t>will be</w:t>
      </w:r>
      <w:r w:rsidR="00DA41E4" w:rsidRPr="009D7093">
        <w:rPr>
          <w:rFonts w:ascii="Arial" w:eastAsia="Arial" w:hAnsi="Arial" w:cs="Arial"/>
        </w:rPr>
        <w:t xml:space="preserve"> </w:t>
      </w:r>
      <w:r w:rsidRPr="009D7093">
        <w:rPr>
          <w:rFonts w:ascii="Arial" w:eastAsia="Arial" w:hAnsi="Arial" w:cs="Arial"/>
        </w:rPr>
        <w:t>reinstated a</w:t>
      </w:r>
      <w:r>
        <w:rPr>
          <w:rFonts w:ascii="Arial" w:eastAsia="Arial" w:hAnsi="Arial" w:cs="Arial"/>
        </w:rPr>
        <w:t>nd</w:t>
      </w:r>
      <w:r w:rsidRPr="009D7093">
        <w:rPr>
          <w:rFonts w:ascii="Arial" w:eastAsia="Arial" w:hAnsi="Arial" w:cs="Arial"/>
        </w:rPr>
        <w:t xml:space="preserve"> available for new project applications.  The reinstatement of these measures </w:t>
      </w:r>
      <w:r w:rsidR="00F807AA">
        <w:rPr>
          <w:rFonts w:ascii="Arial" w:eastAsia="Arial" w:hAnsi="Arial" w:cs="Arial"/>
        </w:rPr>
        <w:t>sh</w:t>
      </w:r>
      <w:r w:rsidR="00F807AA" w:rsidRPr="009D7093">
        <w:rPr>
          <w:rFonts w:ascii="Arial" w:eastAsia="Arial" w:hAnsi="Arial" w:cs="Arial"/>
        </w:rPr>
        <w:t xml:space="preserve">ould </w:t>
      </w:r>
      <w:r w:rsidRPr="009D7093">
        <w:rPr>
          <w:rFonts w:ascii="Arial" w:eastAsia="Arial" w:hAnsi="Arial" w:cs="Arial"/>
        </w:rPr>
        <w:t>have a positive impact on the portfolio</w:t>
      </w:r>
      <w:r>
        <w:rPr>
          <w:rFonts w:ascii="Arial" w:eastAsia="Arial" w:hAnsi="Arial" w:cs="Arial"/>
        </w:rPr>
        <w:t xml:space="preserve"> TRC and savings values.</w:t>
      </w:r>
    </w:p>
    <w:p w14:paraId="437C0581" w14:textId="77777777" w:rsidR="00066F0F" w:rsidRDefault="00066F0F">
      <w:pPr>
        <w:pStyle w:val="Default"/>
        <w:ind w:left="720"/>
        <w:rPr>
          <w:rFonts w:ascii="Arial" w:eastAsia="Arial" w:hAnsi="Arial" w:cs="Arial"/>
        </w:rPr>
      </w:pPr>
    </w:p>
    <w:p w14:paraId="1232B6B7" w14:textId="4F1677AB" w:rsidR="001A3FC4" w:rsidRPr="004F59AE" w:rsidRDefault="00066F0F" w:rsidP="004F59AE">
      <w:pPr>
        <w:spacing w:after="240"/>
        <w:ind w:left="720"/>
        <w:rPr>
          <w:rFonts w:ascii="Arial" w:eastAsia="Arial" w:hAnsi="Arial" w:cs="Arial"/>
        </w:rPr>
      </w:pPr>
      <w:r>
        <w:rPr>
          <w:rFonts w:ascii="Arial" w:eastAsia="Arial" w:hAnsi="Arial" w:cs="Arial"/>
        </w:rPr>
        <w:t xml:space="preserve">As noted above, in addition to increasing cost-effectiveness going forward through the methods discussed, SCE will encourage statewide programs not lead by SCE to also maximize cost-effectiveness, and require </w:t>
      </w:r>
      <w:r w:rsidRPr="004153E5">
        <w:rPr>
          <w:rFonts w:ascii="Arial" w:eastAsia="Arial" w:hAnsi="Arial" w:cs="Arial"/>
        </w:rPr>
        <w:t>new programs</w:t>
      </w:r>
      <w:r>
        <w:rPr>
          <w:rFonts w:ascii="Arial" w:eastAsia="Arial" w:hAnsi="Arial" w:cs="Arial"/>
        </w:rPr>
        <w:t xml:space="preserve"> to</w:t>
      </w:r>
      <w:r w:rsidRPr="004153E5">
        <w:rPr>
          <w:rFonts w:ascii="Arial" w:eastAsia="Arial" w:hAnsi="Arial" w:cs="Arial"/>
        </w:rPr>
        <w:t xml:space="preserve"> meet a high cost-effectiveness threshold and maximize pay-for-performance</w:t>
      </w:r>
      <w:r>
        <w:rPr>
          <w:rFonts w:ascii="Arial" w:eastAsia="Arial" w:hAnsi="Arial" w:cs="Arial"/>
        </w:rPr>
        <w:t xml:space="preserve">.  </w:t>
      </w:r>
    </w:p>
    <w:p w14:paraId="484F9FA0" w14:textId="08B035DB" w:rsidR="001708F4" w:rsidRPr="004F59AE" w:rsidRDefault="001708F4" w:rsidP="007C665B">
      <w:pPr>
        <w:spacing w:after="240"/>
        <w:rPr>
          <w:rFonts w:ascii="Arial" w:eastAsia="Arial" w:hAnsi="Arial" w:cs="Arial"/>
          <w:b/>
          <w:u w:val="single"/>
        </w:rPr>
      </w:pPr>
      <w:r w:rsidRPr="004F59AE">
        <w:rPr>
          <w:rFonts w:ascii="Arial" w:eastAsia="Arial" w:hAnsi="Arial" w:cs="Arial"/>
          <w:b/>
          <w:bCs/>
          <w:u w:val="single"/>
        </w:rPr>
        <w:t>Program Administrator's 2019-2025 Budget True-Up</w:t>
      </w:r>
    </w:p>
    <w:p w14:paraId="071E6F7E" w14:textId="044EA8D7" w:rsidR="00710E55" w:rsidRDefault="001708F4" w:rsidP="00FF29E9">
      <w:pPr>
        <w:spacing w:after="240"/>
        <w:rPr>
          <w:rFonts w:ascii="Arial" w:eastAsia="Arial" w:hAnsi="Arial" w:cs="Arial"/>
        </w:rPr>
      </w:pPr>
      <w:r>
        <w:rPr>
          <w:rFonts w:ascii="Arial" w:eastAsia="Arial" w:hAnsi="Arial" w:cs="Arial"/>
        </w:rPr>
        <w:t>Per D.18-05-041, SCE is providing an update to its budget to support the goals established in D.17-09-025 and D.17-08-022.</w:t>
      </w:r>
      <w:r w:rsidR="00140245">
        <w:rPr>
          <w:rStyle w:val="FootnoteReference"/>
          <w:rFonts w:ascii="Arial" w:eastAsia="Arial" w:hAnsi="Arial" w:cs="Arial"/>
        </w:rPr>
        <w:footnoteReference w:id="10"/>
      </w:r>
      <w:r>
        <w:rPr>
          <w:rFonts w:ascii="Arial" w:eastAsia="Arial" w:hAnsi="Arial" w:cs="Arial"/>
        </w:rPr>
        <w:t xml:space="preserve"> </w:t>
      </w:r>
      <w:r w:rsidR="00710E55">
        <w:rPr>
          <w:rFonts w:ascii="Arial" w:eastAsia="Arial" w:hAnsi="Arial" w:cs="Arial"/>
        </w:rPr>
        <w:t>Please see Table XX below.</w:t>
      </w:r>
    </w:p>
    <w:p w14:paraId="2BF9ACDF" w14:textId="11FE1E82" w:rsidR="004F59AE" w:rsidRPr="004F59AE" w:rsidRDefault="004F59AE" w:rsidP="006F11F1">
      <w:pPr>
        <w:pStyle w:val="Default"/>
        <w:jc w:val="both"/>
        <w:rPr>
          <w:rFonts w:ascii="Arial" w:eastAsia="Arial" w:hAnsi="Arial" w:cs="Arial"/>
        </w:rPr>
      </w:pPr>
      <w:r w:rsidRPr="00A17FB8">
        <w:rPr>
          <w:rFonts w:ascii="Arial" w:eastAsia="Arial" w:hAnsi="Arial" w:cs="Arial"/>
          <w:highlight w:val="yellow"/>
        </w:rPr>
        <w:t>[Text to be developed]</w:t>
      </w:r>
    </w:p>
    <w:p w14:paraId="2469A102" w14:textId="77777777" w:rsidR="004F59AE" w:rsidRDefault="004F59AE" w:rsidP="006F11F1">
      <w:pPr>
        <w:pStyle w:val="Default"/>
        <w:jc w:val="both"/>
        <w:rPr>
          <w:rFonts w:ascii="Arial" w:eastAsia="Arial" w:hAnsi="Arial" w:cs="Arial"/>
          <w:b/>
        </w:rPr>
      </w:pPr>
    </w:p>
    <w:p w14:paraId="23FAC2B4" w14:textId="03A780C0" w:rsidR="006F11F1" w:rsidRPr="009D19E7" w:rsidRDefault="006F11F1" w:rsidP="006F11F1">
      <w:pPr>
        <w:pStyle w:val="Default"/>
        <w:jc w:val="both"/>
        <w:rPr>
          <w:rFonts w:ascii="Arial" w:eastAsia="Arial" w:hAnsi="Arial" w:cs="Arial"/>
          <w:b/>
        </w:rPr>
      </w:pPr>
      <w:r w:rsidRPr="007C665B">
        <w:rPr>
          <w:rFonts w:ascii="Arial" w:eastAsia="Arial" w:hAnsi="Arial" w:cs="Arial"/>
          <w:b/>
        </w:rPr>
        <w:t>Table XX: Annual Rolling Portfolio Budget Forecast – True-Up</w:t>
      </w:r>
    </w:p>
    <w:p w14:paraId="2D1E99D9" w14:textId="698AC7ED" w:rsidR="00140245" w:rsidRDefault="00B37DF5" w:rsidP="00FF29E9">
      <w:pPr>
        <w:spacing w:after="240"/>
        <w:rPr>
          <w:rFonts w:eastAsia="Arial"/>
        </w:rPr>
      </w:pPr>
      <w:r>
        <w:rPr>
          <w:rFonts w:eastAsia="Arial"/>
        </w:rPr>
        <w:pict w14:anchorId="30041A4B">
          <v:shape id="_x0000_i1025" type="#_x0000_t75" style="width:467.1pt;height:221.35pt">
            <v:imagedata r:id="rId9" o:title=""/>
          </v:shape>
        </w:pict>
      </w:r>
    </w:p>
    <w:p w14:paraId="3BAD8B0C" w14:textId="3AA552D7" w:rsidR="006F11F1" w:rsidRPr="003279D2" w:rsidRDefault="006F11F1" w:rsidP="006F11F1">
      <w:pPr>
        <w:pStyle w:val="Default"/>
        <w:jc w:val="both"/>
        <w:rPr>
          <w:rFonts w:ascii="Arial" w:eastAsia="Arial" w:hAnsi="Arial" w:cs="Arial"/>
          <w:b/>
        </w:rPr>
      </w:pPr>
      <w:r w:rsidRPr="007C665B">
        <w:rPr>
          <w:rFonts w:ascii="Arial" w:eastAsia="Arial" w:hAnsi="Arial" w:cs="Arial"/>
          <w:b/>
        </w:rPr>
        <w:t xml:space="preserve">Table XX: </w:t>
      </w:r>
      <w:r w:rsidRPr="009D19E7">
        <w:rPr>
          <w:rFonts w:ascii="Arial" w:eastAsia="Arial" w:hAnsi="Arial" w:cs="Arial"/>
          <w:b/>
        </w:rPr>
        <w:t>Annual Rolling Portfolio Savings F</w:t>
      </w:r>
      <w:r w:rsidRPr="003279D2">
        <w:rPr>
          <w:rFonts w:ascii="Arial" w:eastAsia="Arial" w:hAnsi="Arial" w:cs="Arial"/>
          <w:b/>
        </w:rPr>
        <w:t>orecast – True-Up (kWh)</w:t>
      </w:r>
    </w:p>
    <w:p w14:paraId="7E026BAA" w14:textId="57EA38BC" w:rsidR="006F11F1" w:rsidRDefault="00B37DF5" w:rsidP="00FF29E9">
      <w:pPr>
        <w:spacing w:after="240"/>
        <w:rPr>
          <w:rFonts w:eastAsia="Arial"/>
        </w:rPr>
      </w:pPr>
      <w:r>
        <w:rPr>
          <w:rFonts w:eastAsia="Arial"/>
        </w:rPr>
        <w:lastRenderedPageBreak/>
        <w:pict w14:anchorId="5BFDDC35">
          <v:shape id="_x0000_i1026" type="#_x0000_t75" style="width:468.3pt;height:194.6pt">
            <v:imagedata r:id="rId10" o:title=""/>
          </v:shape>
        </w:pict>
      </w:r>
    </w:p>
    <w:p w14:paraId="521B3D5A" w14:textId="0C24AC76" w:rsidR="006F11F1" w:rsidRDefault="006F11F1" w:rsidP="00FF29E9">
      <w:pPr>
        <w:spacing w:after="240"/>
        <w:rPr>
          <w:rFonts w:eastAsia="Arial"/>
        </w:rPr>
      </w:pPr>
    </w:p>
    <w:p w14:paraId="1D6CE8DF" w14:textId="2B67C307" w:rsidR="006F11F1" w:rsidRDefault="006F11F1" w:rsidP="00FF29E9">
      <w:pPr>
        <w:spacing w:after="240"/>
        <w:rPr>
          <w:rFonts w:eastAsia="Arial"/>
        </w:rPr>
      </w:pPr>
    </w:p>
    <w:p w14:paraId="46B1B36B" w14:textId="5203FCB4" w:rsidR="006F11F1" w:rsidRPr="004F59AE" w:rsidRDefault="006F11F1" w:rsidP="004F59AE">
      <w:pPr>
        <w:pStyle w:val="Default"/>
        <w:jc w:val="both"/>
        <w:rPr>
          <w:rFonts w:ascii="Arial" w:eastAsia="Arial" w:hAnsi="Arial" w:cs="Arial"/>
          <w:b/>
        </w:rPr>
      </w:pPr>
      <w:r w:rsidRPr="007C665B">
        <w:rPr>
          <w:rFonts w:ascii="Arial" w:eastAsia="Arial" w:hAnsi="Arial" w:cs="Arial"/>
          <w:b/>
        </w:rPr>
        <w:t xml:space="preserve">Table XX: </w:t>
      </w:r>
      <w:r w:rsidRPr="009D19E7">
        <w:rPr>
          <w:rFonts w:ascii="Arial" w:eastAsia="Arial" w:hAnsi="Arial" w:cs="Arial"/>
          <w:b/>
        </w:rPr>
        <w:t>Annual Rolling Portfolio Savings Forecast – True-Up (kW)</w:t>
      </w:r>
    </w:p>
    <w:p w14:paraId="2A3CDB7A" w14:textId="5C8BAAC1" w:rsidR="006F11F1" w:rsidRDefault="00B37DF5" w:rsidP="00FF29E9">
      <w:pPr>
        <w:spacing w:after="240"/>
        <w:rPr>
          <w:rFonts w:eastAsia="Arial"/>
        </w:rPr>
      </w:pPr>
      <w:r>
        <w:rPr>
          <w:rFonts w:eastAsia="Arial"/>
        </w:rPr>
        <w:pict w14:anchorId="0212CF9B">
          <v:shape id="_x0000_i1027" type="#_x0000_t75" style="width:467.1pt;height:232.65pt">
            <v:imagedata r:id="rId11" o:title=""/>
          </v:shape>
        </w:pict>
      </w:r>
    </w:p>
    <w:p w14:paraId="182BFBC5" w14:textId="77777777" w:rsidR="006F11F1" w:rsidRPr="004153E5" w:rsidRDefault="006F11F1" w:rsidP="00FF29E9">
      <w:pPr>
        <w:spacing w:after="240"/>
        <w:rPr>
          <w:rFonts w:ascii="Arial" w:eastAsia="Arial" w:hAnsi="Arial" w:cs="Arial"/>
        </w:rPr>
      </w:pPr>
    </w:p>
    <w:p w14:paraId="277FBD97" w14:textId="77777777" w:rsidR="004D2EA5" w:rsidRDefault="004D2EA5" w:rsidP="004D2EA5">
      <w:pPr>
        <w:spacing w:after="240"/>
        <w:rPr>
          <w:rFonts w:ascii="Arial" w:hAnsi="Arial" w:cs="Arial"/>
          <w:b/>
          <w:noProof/>
          <w:szCs w:val="24"/>
        </w:rPr>
      </w:pPr>
      <w:r w:rsidRPr="00FD492A">
        <w:rPr>
          <w:rFonts w:ascii="Arial" w:hAnsi="Arial" w:cs="Arial"/>
          <w:b/>
          <w:noProof/>
          <w:szCs w:val="24"/>
          <w:u w:val="single"/>
        </w:rPr>
        <w:t>PROPOSED TARIFF CHANGES</w:t>
      </w:r>
      <w:r w:rsidRPr="00FD492A">
        <w:rPr>
          <w:rFonts w:ascii="Arial" w:hAnsi="Arial" w:cs="Arial"/>
          <w:b/>
          <w:noProof/>
          <w:szCs w:val="24"/>
        </w:rPr>
        <w:t xml:space="preserve">  </w:t>
      </w:r>
    </w:p>
    <w:p w14:paraId="42A9C0BC" w14:textId="77777777" w:rsidR="00E4167C" w:rsidRPr="001708F4" w:rsidRDefault="00E4167C" w:rsidP="00E4167C">
      <w:pPr>
        <w:rPr>
          <w:rFonts w:ascii="Arial" w:eastAsia="Arial" w:hAnsi="Arial" w:cs="Arial"/>
        </w:rPr>
      </w:pPr>
      <w:r w:rsidRPr="001708F4">
        <w:rPr>
          <w:rFonts w:ascii="Arial" w:eastAsia="Arial" w:hAnsi="Arial" w:cs="Arial"/>
        </w:rPr>
        <w:t>As described above, in this advice filing SCE modifies: (1) Preliminary Statement Part</w:t>
      </w:r>
    </w:p>
    <w:p w14:paraId="0553C64A" w14:textId="77777777" w:rsidR="00E4167C" w:rsidRPr="001708F4" w:rsidRDefault="00E4167C" w:rsidP="00E4167C">
      <w:pPr>
        <w:rPr>
          <w:rFonts w:ascii="Arial" w:eastAsia="Arial" w:hAnsi="Arial" w:cs="Arial"/>
        </w:rPr>
      </w:pPr>
      <w:r w:rsidRPr="001708F4">
        <w:rPr>
          <w:rFonts w:ascii="Arial" w:eastAsia="Arial" w:hAnsi="Arial" w:cs="Arial"/>
        </w:rPr>
        <w:t>FF, PPPAM, to reflect $</w:t>
      </w:r>
      <w:r w:rsidRPr="004F59AE">
        <w:rPr>
          <w:rFonts w:ascii="Arial" w:eastAsia="Arial" w:hAnsi="Arial" w:cs="Arial"/>
          <w:highlight w:val="yellow"/>
        </w:rPr>
        <w:t>XXX.XX</w:t>
      </w:r>
      <w:r w:rsidRPr="001708F4">
        <w:rPr>
          <w:rFonts w:ascii="Arial" w:eastAsia="Arial" w:hAnsi="Arial" w:cs="Arial"/>
        </w:rPr>
        <w:t xml:space="preserve"> million of EE funding effective January 1, 2019, and (2)</w:t>
      </w:r>
    </w:p>
    <w:p w14:paraId="79EABE20" w14:textId="77777777" w:rsidR="00E4167C" w:rsidRPr="001708F4" w:rsidRDefault="00E4167C" w:rsidP="00E4167C">
      <w:pPr>
        <w:rPr>
          <w:rFonts w:ascii="Arial" w:eastAsia="Arial" w:hAnsi="Arial" w:cs="Arial"/>
        </w:rPr>
      </w:pPr>
      <w:r w:rsidRPr="001708F4">
        <w:rPr>
          <w:rFonts w:ascii="Arial" w:eastAsia="Arial" w:hAnsi="Arial" w:cs="Arial"/>
        </w:rPr>
        <w:t>Preliminary Statement Part Y, DRPBA, to reflect $</w:t>
      </w:r>
      <w:r w:rsidRPr="004F59AE">
        <w:rPr>
          <w:rFonts w:ascii="Arial" w:eastAsia="Arial" w:hAnsi="Arial" w:cs="Arial"/>
          <w:highlight w:val="yellow"/>
        </w:rPr>
        <w:t>XX.XXX</w:t>
      </w:r>
      <w:r w:rsidRPr="001708F4">
        <w:rPr>
          <w:rFonts w:ascii="Arial" w:eastAsia="Arial" w:hAnsi="Arial" w:cs="Arial"/>
        </w:rPr>
        <w:t xml:space="preserve"> million in funding for emerging technologies and integrated demand side management (IDSM) activities.</w:t>
      </w:r>
    </w:p>
    <w:p w14:paraId="7F5FFCC4" w14:textId="77777777" w:rsidR="00E4167C" w:rsidRDefault="00E4167C" w:rsidP="004153E5">
      <w:pPr>
        <w:spacing w:after="240"/>
        <w:rPr>
          <w:rFonts w:ascii="Arial" w:eastAsia="Arial" w:hAnsi="Arial" w:cs="Arial"/>
        </w:rPr>
      </w:pPr>
    </w:p>
    <w:p w14:paraId="31383506" w14:textId="77777777" w:rsidR="00E4167C" w:rsidRPr="001708F4" w:rsidRDefault="00E4167C" w:rsidP="00E4167C">
      <w:pPr>
        <w:rPr>
          <w:rFonts w:ascii="Arial" w:eastAsia="Arial" w:hAnsi="Arial" w:cs="Arial"/>
        </w:rPr>
      </w:pPr>
      <w:r w:rsidRPr="001708F4">
        <w:rPr>
          <w:rFonts w:ascii="Arial" w:eastAsia="Arial" w:hAnsi="Arial" w:cs="Arial"/>
        </w:rPr>
        <w:t>The following table shows the currently authorized funding reflected in rates (excluding</w:t>
      </w:r>
    </w:p>
    <w:p w14:paraId="5456E6DE" w14:textId="77777777" w:rsidR="00E4167C" w:rsidRDefault="00E4167C" w:rsidP="51C25FA9">
      <w:r w:rsidRPr="001708F4">
        <w:rPr>
          <w:rFonts w:ascii="Arial" w:eastAsia="Arial" w:hAnsi="Arial" w:cs="Arial"/>
        </w:rPr>
        <w:t>FF&amp;U) and the revised funding effective January 1, 2019.</w:t>
      </w:r>
    </w:p>
    <w:p w14:paraId="5995B4E1" w14:textId="77777777" w:rsidR="00E4167C" w:rsidRDefault="00E4167C" w:rsidP="004153E5">
      <w:pPr>
        <w:spacing w:after="240"/>
        <w:rPr>
          <w:rFonts w:ascii="Arial" w:eastAsia="Arial" w:hAnsi="Arial" w:cs="Arial"/>
        </w:rPr>
      </w:pPr>
    </w:p>
    <w:tbl>
      <w:tblPr>
        <w:tblW w:w="0" w:type="auto"/>
        <w:tblLook w:val="04A0" w:firstRow="1" w:lastRow="0" w:firstColumn="1" w:lastColumn="0" w:noHBand="0" w:noVBand="1"/>
      </w:tblPr>
      <w:tblGrid>
        <w:gridCol w:w="2394"/>
        <w:gridCol w:w="2394"/>
        <w:gridCol w:w="2394"/>
        <w:gridCol w:w="2394"/>
      </w:tblGrid>
      <w:tr w:rsidR="00E4167C" w:rsidRPr="00E4167C" w14:paraId="5A1E8C1B" w14:textId="77777777" w:rsidTr="004F59AE">
        <w:tc>
          <w:tcPr>
            <w:tcW w:w="2394" w:type="dxa"/>
            <w:tcBorders>
              <w:bottom w:val="single" w:sz="4" w:space="0" w:color="7F7F7F"/>
              <w:right w:val="nil"/>
            </w:tcBorders>
            <w:shd w:val="clear" w:color="auto" w:fill="auto"/>
          </w:tcPr>
          <w:p w14:paraId="0BB7FA64" w14:textId="1445A544" w:rsidR="00E4167C" w:rsidRPr="00E4167C" w:rsidRDefault="00A34335" w:rsidP="00E4167C">
            <w:pPr>
              <w:spacing w:after="240"/>
              <w:jc w:val="center"/>
              <w:rPr>
                <w:rFonts w:ascii="Arial" w:eastAsia="Arial" w:hAnsi="Arial" w:cs="Arial"/>
                <w:b/>
                <w:bCs/>
                <w:caps/>
              </w:rPr>
            </w:pPr>
            <w:r>
              <w:rPr>
                <w:rFonts w:ascii="Arial" w:eastAsia="Arial" w:hAnsi="Arial" w:cs="Arial"/>
              </w:rPr>
              <w:t>Table XXX: Currently Authorized and Proposed Funding</w:t>
            </w:r>
            <w:r w:rsidR="00E4167C" w:rsidRPr="004153E5" w:rsidDel="00E4167C">
              <w:rPr>
                <w:rFonts w:ascii="Arial" w:eastAsia="Arial" w:hAnsi="Arial" w:cs="Arial"/>
              </w:rPr>
              <w:t xml:space="preserve"> </w:t>
            </w:r>
            <w:r w:rsidR="00E4167C" w:rsidRPr="00E4167C">
              <w:rPr>
                <w:rFonts w:ascii="Arial" w:eastAsia="Arial" w:hAnsi="Arial" w:cs="Arial"/>
                <w:b/>
                <w:bCs/>
                <w:caps/>
              </w:rPr>
              <w:t>program</w:t>
            </w:r>
          </w:p>
        </w:tc>
        <w:tc>
          <w:tcPr>
            <w:tcW w:w="2394" w:type="dxa"/>
            <w:tcBorders>
              <w:bottom w:val="single" w:sz="4" w:space="0" w:color="7F7F7F"/>
            </w:tcBorders>
            <w:shd w:val="clear" w:color="auto" w:fill="auto"/>
          </w:tcPr>
          <w:p w14:paraId="7F485D0E" w14:textId="77777777" w:rsidR="00E4167C" w:rsidRPr="00E4167C" w:rsidRDefault="00E4167C" w:rsidP="00E4167C">
            <w:pPr>
              <w:spacing w:after="240"/>
              <w:jc w:val="center"/>
              <w:rPr>
                <w:rFonts w:ascii="Arial" w:eastAsia="Arial" w:hAnsi="Arial" w:cs="Arial"/>
                <w:b/>
                <w:bCs/>
                <w:caps/>
              </w:rPr>
            </w:pPr>
            <w:r w:rsidRPr="00E4167C">
              <w:rPr>
                <w:rFonts w:ascii="Arial" w:eastAsia="Arial" w:hAnsi="Arial" w:cs="Arial"/>
                <w:b/>
                <w:bCs/>
                <w:caps/>
              </w:rPr>
              <w:t>Currently authorized</w:t>
            </w:r>
          </w:p>
          <w:p w14:paraId="2C0D7EA9" w14:textId="1626CD03" w:rsidR="00E4167C" w:rsidRPr="00E4167C" w:rsidRDefault="00E4167C" w:rsidP="00E4167C">
            <w:pPr>
              <w:spacing w:after="240"/>
              <w:jc w:val="center"/>
              <w:rPr>
                <w:rFonts w:ascii="Arial" w:eastAsia="Arial" w:hAnsi="Arial" w:cs="Arial"/>
                <w:b/>
                <w:bCs/>
                <w:caps/>
              </w:rPr>
            </w:pPr>
            <w:r w:rsidRPr="00E4167C">
              <w:rPr>
                <w:rFonts w:ascii="Arial" w:eastAsia="Arial" w:hAnsi="Arial" w:cs="Arial"/>
                <w:b/>
                <w:bCs/>
                <w:caps/>
              </w:rPr>
              <w:t>($000)</w:t>
            </w:r>
          </w:p>
        </w:tc>
        <w:tc>
          <w:tcPr>
            <w:tcW w:w="2394" w:type="dxa"/>
            <w:tcBorders>
              <w:bottom w:val="single" w:sz="4" w:space="0" w:color="7F7F7F"/>
            </w:tcBorders>
            <w:shd w:val="clear" w:color="auto" w:fill="auto"/>
          </w:tcPr>
          <w:p w14:paraId="30BA0EFF" w14:textId="77777777" w:rsidR="00E4167C" w:rsidRPr="00E4167C" w:rsidRDefault="00E4167C" w:rsidP="00E4167C">
            <w:pPr>
              <w:spacing w:after="240"/>
              <w:jc w:val="center"/>
              <w:rPr>
                <w:rFonts w:ascii="Arial" w:eastAsia="Arial" w:hAnsi="Arial" w:cs="Arial"/>
                <w:b/>
                <w:bCs/>
                <w:caps/>
              </w:rPr>
            </w:pPr>
            <w:r w:rsidRPr="00E4167C">
              <w:rPr>
                <w:rFonts w:ascii="Arial" w:eastAsia="Arial" w:hAnsi="Arial" w:cs="Arial"/>
                <w:b/>
                <w:bCs/>
                <w:caps/>
              </w:rPr>
              <w:t xml:space="preserve">January 1, 2019 </w:t>
            </w:r>
          </w:p>
          <w:p w14:paraId="6CDE0CEC" w14:textId="77777777" w:rsidR="00E4167C" w:rsidRPr="00E4167C" w:rsidRDefault="00E4167C" w:rsidP="00E4167C">
            <w:pPr>
              <w:spacing w:after="240"/>
              <w:jc w:val="center"/>
              <w:rPr>
                <w:rFonts w:ascii="Arial" w:eastAsia="Arial" w:hAnsi="Arial" w:cs="Arial"/>
                <w:b/>
                <w:bCs/>
                <w:caps/>
              </w:rPr>
            </w:pPr>
            <w:r w:rsidRPr="00E4167C">
              <w:rPr>
                <w:rFonts w:ascii="Arial" w:eastAsia="Arial" w:hAnsi="Arial" w:cs="Arial"/>
                <w:b/>
                <w:bCs/>
                <w:caps/>
              </w:rPr>
              <w:t>Proposed</w:t>
            </w:r>
          </w:p>
          <w:p w14:paraId="1CC0D2F1" w14:textId="0E7D56B7" w:rsidR="00E4167C" w:rsidRPr="00E4167C" w:rsidRDefault="00E4167C" w:rsidP="00E4167C">
            <w:pPr>
              <w:spacing w:after="240"/>
              <w:jc w:val="center"/>
              <w:rPr>
                <w:rFonts w:ascii="Arial" w:eastAsia="Arial" w:hAnsi="Arial" w:cs="Arial"/>
                <w:b/>
                <w:bCs/>
                <w:caps/>
              </w:rPr>
            </w:pPr>
            <w:r w:rsidRPr="00E4167C">
              <w:rPr>
                <w:rFonts w:ascii="Arial" w:eastAsia="Arial" w:hAnsi="Arial" w:cs="Arial"/>
                <w:b/>
                <w:bCs/>
                <w:caps/>
              </w:rPr>
              <w:t>($000)</w:t>
            </w:r>
          </w:p>
        </w:tc>
        <w:tc>
          <w:tcPr>
            <w:tcW w:w="2394" w:type="dxa"/>
            <w:tcBorders>
              <w:bottom w:val="single" w:sz="4" w:space="0" w:color="7F7F7F"/>
            </w:tcBorders>
            <w:shd w:val="clear" w:color="auto" w:fill="auto"/>
          </w:tcPr>
          <w:p w14:paraId="6993A75B" w14:textId="77777777" w:rsidR="00E4167C" w:rsidRPr="00E4167C" w:rsidRDefault="00E4167C" w:rsidP="00E4167C">
            <w:pPr>
              <w:spacing w:after="240"/>
              <w:jc w:val="center"/>
              <w:rPr>
                <w:rFonts w:ascii="Arial" w:eastAsia="Arial" w:hAnsi="Arial" w:cs="Arial"/>
                <w:b/>
                <w:bCs/>
                <w:caps/>
              </w:rPr>
            </w:pPr>
            <w:r w:rsidRPr="00E4167C">
              <w:rPr>
                <w:rFonts w:ascii="Arial" w:eastAsia="Arial" w:hAnsi="Arial" w:cs="Arial"/>
                <w:b/>
                <w:bCs/>
                <w:caps/>
              </w:rPr>
              <w:t>Change</w:t>
            </w:r>
          </w:p>
          <w:p w14:paraId="2C692E36" w14:textId="3B046974" w:rsidR="00E4167C" w:rsidRPr="00E4167C" w:rsidRDefault="00E4167C" w:rsidP="00E4167C">
            <w:pPr>
              <w:spacing w:after="240"/>
              <w:jc w:val="center"/>
              <w:rPr>
                <w:rFonts w:ascii="Arial" w:eastAsia="Arial" w:hAnsi="Arial" w:cs="Arial"/>
                <w:b/>
                <w:bCs/>
                <w:caps/>
              </w:rPr>
            </w:pPr>
            <w:r w:rsidRPr="00E4167C">
              <w:rPr>
                <w:rFonts w:ascii="Arial" w:eastAsia="Arial" w:hAnsi="Arial" w:cs="Arial"/>
                <w:b/>
                <w:bCs/>
                <w:caps/>
              </w:rPr>
              <w:t>($000)</w:t>
            </w:r>
          </w:p>
        </w:tc>
      </w:tr>
      <w:tr w:rsidR="00E4167C" w:rsidRPr="00E4167C" w14:paraId="1B6F8379" w14:textId="77777777" w:rsidTr="004F59AE">
        <w:tc>
          <w:tcPr>
            <w:tcW w:w="2394" w:type="dxa"/>
            <w:tcBorders>
              <w:right w:val="single" w:sz="4" w:space="0" w:color="7F7F7F"/>
            </w:tcBorders>
            <w:shd w:val="clear" w:color="auto" w:fill="F2F2F2"/>
          </w:tcPr>
          <w:p w14:paraId="60F1D461" w14:textId="692606C4" w:rsidR="00E4167C" w:rsidRPr="00E4167C" w:rsidRDefault="00E4167C" w:rsidP="00E4167C">
            <w:pPr>
              <w:spacing w:after="240"/>
              <w:jc w:val="center"/>
              <w:rPr>
                <w:rFonts w:ascii="Arial" w:eastAsia="Arial" w:hAnsi="Arial" w:cs="Arial"/>
                <w:b/>
                <w:bCs/>
                <w:caps/>
              </w:rPr>
            </w:pPr>
            <w:r w:rsidRPr="00E4167C">
              <w:rPr>
                <w:rFonts w:ascii="Arial" w:eastAsia="Arial" w:hAnsi="Arial" w:cs="Arial"/>
                <w:b/>
                <w:bCs/>
                <w:caps/>
              </w:rPr>
              <w:t>EE PROGRAMS</w:t>
            </w:r>
          </w:p>
        </w:tc>
        <w:tc>
          <w:tcPr>
            <w:tcW w:w="2394" w:type="dxa"/>
            <w:shd w:val="clear" w:color="auto" w:fill="F2F2F2"/>
          </w:tcPr>
          <w:p w14:paraId="386D6EA5" w14:textId="1140A1F4" w:rsidR="00E4167C" w:rsidRPr="00E4167C" w:rsidRDefault="00602C57" w:rsidP="00E4167C">
            <w:pPr>
              <w:spacing w:after="240"/>
              <w:jc w:val="center"/>
              <w:rPr>
                <w:rFonts w:ascii="Arial" w:eastAsia="Arial" w:hAnsi="Arial" w:cs="Arial"/>
              </w:rPr>
            </w:pPr>
            <w:r>
              <w:rPr>
                <w:rFonts w:ascii="Arial" w:eastAsia="Arial" w:hAnsi="Arial" w:cs="Arial"/>
              </w:rPr>
              <w:t>312,269</w:t>
            </w:r>
          </w:p>
        </w:tc>
        <w:tc>
          <w:tcPr>
            <w:tcW w:w="2394" w:type="dxa"/>
            <w:shd w:val="clear" w:color="auto" w:fill="F2F2F2"/>
          </w:tcPr>
          <w:p w14:paraId="593A8EE0" w14:textId="77777777" w:rsidR="00E4167C" w:rsidRPr="00E4167C" w:rsidRDefault="00E4167C" w:rsidP="00E4167C">
            <w:pPr>
              <w:spacing w:after="240"/>
              <w:jc w:val="center"/>
              <w:rPr>
                <w:rFonts w:ascii="Arial" w:eastAsia="Arial" w:hAnsi="Arial" w:cs="Arial"/>
              </w:rPr>
            </w:pPr>
          </w:p>
        </w:tc>
        <w:tc>
          <w:tcPr>
            <w:tcW w:w="2394" w:type="dxa"/>
            <w:shd w:val="clear" w:color="auto" w:fill="F2F2F2"/>
          </w:tcPr>
          <w:p w14:paraId="36880689" w14:textId="77777777" w:rsidR="00E4167C" w:rsidRPr="00E4167C" w:rsidRDefault="00E4167C" w:rsidP="00E4167C">
            <w:pPr>
              <w:spacing w:after="240"/>
              <w:jc w:val="center"/>
              <w:rPr>
                <w:rFonts w:ascii="Arial" w:eastAsia="Arial" w:hAnsi="Arial" w:cs="Arial"/>
              </w:rPr>
            </w:pPr>
          </w:p>
        </w:tc>
      </w:tr>
      <w:tr w:rsidR="00E4167C" w:rsidRPr="00E4167C" w14:paraId="186C2196" w14:textId="77777777" w:rsidTr="004F59AE">
        <w:tc>
          <w:tcPr>
            <w:tcW w:w="2394" w:type="dxa"/>
            <w:tcBorders>
              <w:right w:val="single" w:sz="4" w:space="0" w:color="7F7F7F"/>
            </w:tcBorders>
            <w:shd w:val="clear" w:color="auto" w:fill="auto"/>
          </w:tcPr>
          <w:p w14:paraId="20137A4C" w14:textId="72DE828A" w:rsidR="00E4167C" w:rsidRPr="00E4167C" w:rsidRDefault="00E4167C" w:rsidP="00E4167C">
            <w:pPr>
              <w:spacing w:after="240"/>
              <w:jc w:val="center"/>
              <w:rPr>
                <w:rFonts w:ascii="Arial" w:eastAsia="Arial" w:hAnsi="Arial" w:cs="Arial"/>
                <w:b/>
                <w:bCs/>
                <w:caps/>
              </w:rPr>
            </w:pPr>
            <w:r w:rsidRPr="00E4167C">
              <w:rPr>
                <w:rFonts w:ascii="Arial" w:eastAsia="Arial" w:hAnsi="Arial" w:cs="Arial"/>
                <w:b/>
                <w:bCs/>
                <w:caps/>
              </w:rPr>
              <w:t>IDSM</w:t>
            </w:r>
          </w:p>
        </w:tc>
        <w:tc>
          <w:tcPr>
            <w:tcW w:w="2394" w:type="dxa"/>
            <w:shd w:val="clear" w:color="auto" w:fill="auto"/>
          </w:tcPr>
          <w:p w14:paraId="26477813" w14:textId="3C5122E2" w:rsidR="00E4167C" w:rsidRPr="00E4167C" w:rsidRDefault="00602C57" w:rsidP="00E4167C">
            <w:pPr>
              <w:spacing w:after="240"/>
              <w:jc w:val="center"/>
              <w:rPr>
                <w:rFonts w:ascii="Arial" w:eastAsia="Arial" w:hAnsi="Arial" w:cs="Arial"/>
              </w:rPr>
            </w:pPr>
            <w:r>
              <w:rPr>
                <w:rFonts w:ascii="Arial" w:eastAsia="Arial" w:hAnsi="Arial" w:cs="Arial"/>
              </w:rPr>
              <w:t>10,137</w:t>
            </w:r>
          </w:p>
        </w:tc>
        <w:tc>
          <w:tcPr>
            <w:tcW w:w="2394" w:type="dxa"/>
            <w:shd w:val="clear" w:color="auto" w:fill="auto"/>
          </w:tcPr>
          <w:p w14:paraId="1ED628CD" w14:textId="77777777" w:rsidR="00E4167C" w:rsidRPr="00E4167C" w:rsidRDefault="00E4167C" w:rsidP="00E4167C">
            <w:pPr>
              <w:spacing w:after="240"/>
              <w:jc w:val="center"/>
              <w:rPr>
                <w:rFonts w:ascii="Arial" w:eastAsia="Arial" w:hAnsi="Arial" w:cs="Arial"/>
              </w:rPr>
            </w:pPr>
          </w:p>
        </w:tc>
        <w:tc>
          <w:tcPr>
            <w:tcW w:w="2394" w:type="dxa"/>
            <w:shd w:val="clear" w:color="auto" w:fill="auto"/>
          </w:tcPr>
          <w:p w14:paraId="18E80748" w14:textId="77777777" w:rsidR="00E4167C" w:rsidRPr="00E4167C" w:rsidRDefault="00E4167C" w:rsidP="00E4167C">
            <w:pPr>
              <w:spacing w:after="240"/>
              <w:jc w:val="center"/>
              <w:rPr>
                <w:rFonts w:ascii="Arial" w:eastAsia="Arial" w:hAnsi="Arial" w:cs="Arial"/>
              </w:rPr>
            </w:pPr>
          </w:p>
        </w:tc>
      </w:tr>
      <w:tr w:rsidR="00E4167C" w:rsidRPr="00E4167C" w14:paraId="7CD7F2D3" w14:textId="77777777" w:rsidTr="004F59AE">
        <w:tc>
          <w:tcPr>
            <w:tcW w:w="2394" w:type="dxa"/>
            <w:tcBorders>
              <w:right w:val="single" w:sz="4" w:space="0" w:color="7F7F7F"/>
            </w:tcBorders>
            <w:shd w:val="clear" w:color="auto" w:fill="F2F2F2"/>
          </w:tcPr>
          <w:p w14:paraId="07513576" w14:textId="5D42D334" w:rsidR="00E4167C" w:rsidRPr="00E4167C" w:rsidRDefault="00E4167C" w:rsidP="00E4167C">
            <w:pPr>
              <w:spacing w:after="240"/>
              <w:jc w:val="center"/>
              <w:rPr>
                <w:rFonts w:ascii="Arial" w:eastAsia="Arial" w:hAnsi="Arial" w:cs="Arial"/>
                <w:b/>
                <w:bCs/>
                <w:caps/>
              </w:rPr>
            </w:pPr>
            <w:r w:rsidRPr="00E4167C">
              <w:rPr>
                <w:rFonts w:ascii="Arial" w:eastAsia="Arial" w:hAnsi="Arial" w:cs="Arial"/>
                <w:b/>
                <w:bCs/>
                <w:caps/>
              </w:rPr>
              <w:t>tOTAL</w:t>
            </w:r>
          </w:p>
        </w:tc>
        <w:tc>
          <w:tcPr>
            <w:tcW w:w="2394" w:type="dxa"/>
            <w:shd w:val="clear" w:color="auto" w:fill="F2F2F2"/>
          </w:tcPr>
          <w:p w14:paraId="517CABA9" w14:textId="376D5CA1" w:rsidR="00E4167C" w:rsidRPr="00E4167C" w:rsidRDefault="00602C57" w:rsidP="00E4167C">
            <w:pPr>
              <w:spacing w:after="240"/>
              <w:jc w:val="center"/>
              <w:rPr>
                <w:rFonts w:ascii="Arial" w:eastAsia="Arial" w:hAnsi="Arial" w:cs="Arial"/>
              </w:rPr>
            </w:pPr>
            <w:r>
              <w:rPr>
                <w:rFonts w:ascii="Arial" w:eastAsia="Arial" w:hAnsi="Arial" w:cs="Arial"/>
              </w:rPr>
              <w:t>322,406</w:t>
            </w:r>
          </w:p>
        </w:tc>
        <w:tc>
          <w:tcPr>
            <w:tcW w:w="2394" w:type="dxa"/>
            <w:shd w:val="clear" w:color="auto" w:fill="F2F2F2"/>
          </w:tcPr>
          <w:p w14:paraId="36D24A49" w14:textId="77777777" w:rsidR="00E4167C" w:rsidRPr="00E4167C" w:rsidRDefault="00E4167C" w:rsidP="00E4167C">
            <w:pPr>
              <w:spacing w:after="240"/>
              <w:jc w:val="center"/>
              <w:rPr>
                <w:rFonts w:ascii="Arial" w:eastAsia="Arial" w:hAnsi="Arial" w:cs="Arial"/>
              </w:rPr>
            </w:pPr>
          </w:p>
        </w:tc>
        <w:tc>
          <w:tcPr>
            <w:tcW w:w="2394" w:type="dxa"/>
            <w:shd w:val="clear" w:color="auto" w:fill="F2F2F2"/>
          </w:tcPr>
          <w:p w14:paraId="3C78AED5" w14:textId="77777777" w:rsidR="00E4167C" w:rsidRPr="00E4167C" w:rsidRDefault="00E4167C" w:rsidP="00E4167C">
            <w:pPr>
              <w:spacing w:after="240"/>
              <w:jc w:val="center"/>
              <w:rPr>
                <w:rFonts w:ascii="Arial" w:eastAsia="Arial" w:hAnsi="Arial" w:cs="Arial"/>
              </w:rPr>
            </w:pPr>
          </w:p>
        </w:tc>
      </w:tr>
    </w:tbl>
    <w:p w14:paraId="78747037" w14:textId="098DCB8C" w:rsidR="0035493F" w:rsidRPr="001708F4" w:rsidRDefault="0035493F">
      <w:pPr>
        <w:spacing w:after="240"/>
        <w:jc w:val="center"/>
        <w:rPr>
          <w:rFonts w:ascii="Arial" w:eastAsia="Arial" w:hAnsi="Arial" w:cs="Arial"/>
        </w:rPr>
      </w:pPr>
    </w:p>
    <w:p w14:paraId="2601D89B" w14:textId="77777777" w:rsidR="0035493F" w:rsidRPr="004153E5" w:rsidRDefault="0035493F" w:rsidP="004153E5">
      <w:pPr>
        <w:spacing w:after="240"/>
        <w:rPr>
          <w:rFonts w:ascii="Arial" w:eastAsia="Arial" w:hAnsi="Arial" w:cs="Arial"/>
        </w:rPr>
      </w:pPr>
      <w:r w:rsidRPr="004153E5">
        <w:rPr>
          <w:rFonts w:ascii="Arial" w:eastAsia="Arial" w:hAnsi="Arial" w:cs="Arial"/>
        </w:rPr>
        <w:t>In SCE’s year-end consolidated revenue requirement and rate change advice filing, SCE will include all applicable preliminary statement changes.</w:t>
      </w:r>
    </w:p>
    <w:p w14:paraId="2FDF7811" w14:textId="77777777" w:rsidR="0035493F" w:rsidRPr="004153E5" w:rsidRDefault="0035493F" w:rsidP="004153E5">
      <w:pPr>
        <w:spacing w:after="240"/>
        <w:rPr>
          <w:rFonts w:ascii="Arial" w:eastAsia="Arial" w:hAnsi="Arial" w:cs="Arial"/>
        </w:rPr>
      </w:pPr>
      <w:r w:rsidRPr="7FBA53CB">
        <w:rPr>
          <w:rFonts w:ascii="Arial" w:eastAsia="Arial" w:hAnsi="Arial" w:cs="Arial"/>
        </w:rPr>
        <w:t>No cost information is required for this advice filing.</w:t>
      </w:r>
    </w:p>
    <w:p w14:paraId="0E257769" w14:textId="557D9EFC" w:rsidR="00967750" w:rsidRPr="004153E5" w:rsidRDefault="0035493F" w:rsidP="004153E5">
      <w:pPr>
        <w:spacing w:after="240"/>
        <w:rPr>
          <w:rFonts w:ascii="Arial" w:eastAsia="Arial" w:hAnsi="Arial" w:cs="Arial"/>
        </w:rPr>
      </w:pPr>
      <w:r w:rsidRPr="7FBA53CB">
        <w:rPr>
          <w:rFonts w:ascii="Arial" w:eastAsia="Arial" w:hAnsi="Arial" w:cs="Arial"/>
        </w:rPr>
        <w:t xml:space="preserve">This advice filing will not cause the withdrawal of service </w:t>
      </w:r>
      <w:r w:rsidR="00C07EA4">
        <w:rPr>
          <w:rFonts w:ascii="Arial" w:eastAsia="Arial" w:hAnsi="Arial" w:cs="Arial"/>
        </w:rPr>
        <w:t>n</w:t>
      </w:r>
      <w:r w:rsidRPr="7FBA53CB">
        <w:rPr>
          <w:rFonts w:ascii="Arial" w:eastAsia="Arial" w:hAnsi="Arial" w:cs="Arial"/>
        </w:rPr>
        <w:t>or conflict with any other schedule or rule.</w:t>
      </w:r>
    </w:p>
    <w:p w14:paraId="0F6E5BAD" w14:textId="77777777" w:rsidR="004D2EA5" w:rsidRPr="00FD492A" w:rsidRDefault="004D2EA5" w:rsidP="004D2EA5">
      <w:pPr>
        <w:spacing w:after="240"/>
        <w:rPr>
          <w:rFonts w:ascii="Arial" w:hAnsi="Arial" w:cs="Arial"/>
          <w:b/>
          <w:noProof/>
          <w:szCs w:val="24"/>
          <w:u w:val="single"/>
        </w:rPr>
      </w:pPr>
      <w:r w:rsidRPr="00FD492A">
        <w:rPr>
          <w:rFonts w:ascii="Arial" w:hAnsi="Arial" w:cs="Arial"/>
          <w:b/>
          <w:noProof/>
          <w:szCs w:val="24"/>
          <w:u w:val="single"/>
        </w:rPr>
        <w:t>TIER DESIGNATION</w:t>
      </w:r>
    </w:p>
    <w:p w14:paraId="17BFB8FE" w14:textId="77777777" w:rsidR="004D2EA5" w:rsidRPr="00FD492A" w:rsidRDefault="004D2EA5" w:rsidP="004D2EA5">
      <w:pPr>
        <w:spacing w:after="240"/>
        <w:rPr>
          <w:rFonts w:ascii="Arial" w:hAnsi="Arial" w:cs="Arial"/>
          <w:noProof/>
          <w:szCs w:val="24"/>
        </w:rPr>
      </w:pPr>
      <w:r w:rsidRPr="00FD492A">
        <w:rPr>
          <w:rFonts w:ascii="Arial" w:hAnsi="Arial" w:cs="Arial"/>
          <w:noProof/>
          <w:szCs w:val="24"/>
        </w:rPr>
        <w:t xml:space="preserve">Pursuant to </w:t>
      </w:r>
      <w:r w:rsidR="00B965BA" w:rsidRPr="00FD492A">
        <w:rPr>
          <w:rFonts w:ascii="Arial" w:hAnsi="Arial" w:cs="Arial"/>
          <w:noProof/>
          <w:szCs w:val="24"/>
        </w:rPr>
        <w:t>General Order (GO) 96-B</w:t>
      </w:r>
      <w:r w:rsidRPr="00FD492A">
        <w:rPr>
          <w:rFonts w:ascii="Arial" w:hAnsi="Arial" w:cs="Arial"/>
          <w:noProof/>
          <w:szCs w:val="24"/>
        </w:rPr>
        <w:t xml:space="preserve">, Energy Industry Rule </w:t>
      </w:r>
      <w:r w:rsidR="00B073E4" w:rsidRPr="00FD492A">
        <w:rPr>
          <w:rFonts w:ascii="Arial" w:hAnsi="Arial" w:cs="Arial"/>
          <w:noProof/>
          <w:szCs w:val="24"/>
        </w:rPr>
        <w:t>5.</w:t>
      </w:r>
      <w:r w:rsidR="00D44B2F">
        <w:rPr>
          <w:rFonts w:ascii="Arial" w:hAnsi="Arial" w:cs="Arial"/>
          <w:noProof/>
          <w:szCs w:val="24"/>
        </w:rPr>
        <w:t>2</w:t>
      </w:r>
      <w:r w:rsidRPr="00FD492A">
        <w:rPr>
          <w:rFonts w:ascii="Arial" w:hAnsi="Arial" w:cs="Arial"/>
          <w:noProof/>
          <w:szCs w:val="24"/>
        </w:rPr>
        <w:t xml:space="preserve">, this </w:t>
      </w:r>
      <w:r w:rsidR="00B073E4" w:rsidRPr="00FD492A">
        <w:rPr>
          <w:rFonts w:ascii="Arial" w:hAnsi="Arial" w:cs="Arial"/>
          <w:noProof/>
          <w:szCs w:val="24"/>
        </w:rPr>
        <w:t>a</w:t>
      </w:r>
      <w:r w:rsidRPr="00FD492A">
        <w:rPr>
          <w:rFonts w:ascii="Arial" w:hAnsi="Arial" w:cs="Arial"/>
          <w:noProof/>
          <w:szCs w:val="24"/>
        </w:rPr>
        <w:t xml:space="preserve">dvice </w:t>
      </w:r>
      <w:r w:rsidR="00B073E4" w:rsidRPr="00FD492A">
        <w:rPr>
          <w:rFonts w:ascii="Arial" w:hAnsi="Arial" w:cs="Arial"/>
          <w:noProof/>
          <w:szCs w:val="24"/>
        </w:rPr>
        <w:t>l</w:t>
      </w:r>
      <w:r w:rsidRPr="00FD492A">
        <w:rPr>
          <w:rFonts w:ascii="Arial" w:hAnsi="Arial" w:cs="Arial"/>
          <w:noProof/>
          <w:szCs w:val="24"/>
        </w:rPr>
        <w:t xml:space="preserve">etter is </w:t>
      </w:r>
      <w:r w:rsidR="00B073E4" w:rsidRPr="00FD492A">
        <w:rPr>
          <w:rFonts w:ascii="Arial" w:hAnsi="Arial" w:cs="Arial"/>
          <w:noProof/>
          <w:szCs w:val="24"/>
        </w:rPr>
        <w:t xml:space="preserve">submitted with a </w:t>
      </w:r>
      <w:r w:rsidRPr="00FD492A">
        <w:rPr>
          <w:rFonts w:ascii="Arial" w:hAnsi="Arial" w:cs="Arial"/>
          <w:noProof/>
          <w:szCs w:val="24"/>
        </w:rPr>
        <w:t xml:space="preserve">Tier </w:t>
      </w:r>
      <w:r w:rsidR="00D44B2F">
        <w:rPr>
          <w:rFonts w:ascii="Arial" w:hAnsi="Arial" w:cs="Arial"/>
          <w:noProof/>
          <w:szCs w:val="24"/>
        </w:rPr>
        <w:t>2</w:t>
      </w:r>
      <w:r w:rsidR="00164D3C" w:rsidRPr="00FD492A">
        <w:rPr>
          <w:rFonts w:ascii="Arial" w:hAnsi="Arial" w:cs="Arial"/>
          <w:noProof/>
          <w:szCs w:val="24"/>
        </w:rPr>
        <w:t xml:space="preserve"> </w:t>
      </w:r>
      <w:r w:rsidR="00B073E4" w:rsidRPr="00FD492A">
        <w:rPr>
          <w:rFonts w:ascii="Arial" w:hAnsi="Arial" w:cs="Arial"/>
          <w:noProof/>
          <w:szCs w:val="24"/>
        </w:rPr>
        <w:t>designation</w:t>
      </w:r>
      <w:r w:rsidRPr="00FD492A">
        <w:rPr>
          <w:rFonts w:ascii="Arial" w:hAnsi="Arial" w:cs="Arial"/>
          <w:noProof/>
          <w:szCs w:val="24"/>
        </w:rPr>
        <w:t>.</w:t>
      </w:r>
    </w:p>
    <w:p w14:paraId="3128A424" w14:textId="77777777" w:rsidR="00B800A1" w:rsidRPr="00FD492A" w:rsidRDefault="00B800A1" w:rsidP="004D2EA5">
      <w:pPr>
        <w:keepNext/>
        <w:keepLines/>
        <w:spacing w:after="240"/>
        <w:rPr>
          <w:rFonts w:ascii="Arial" w:hAnsi="Arial" w:cs="Arial"/>
          <w:b/>
          <w:noProof/>
          <w:szCs w:val="24"/>
          <w:u w:val="single"/>
        </w:rPr>
      </w:pPr>
      <w:r w:rsidRPr="00FD492A">
        <w:rPr>
          <w:rFonts w:ascii="Arial" w:hAnsi="Arial" w:cs="Arial"/>
          <w:b/>
          <w:noProof/>
          <w:szCs w:val="24"/>
          <w:u w:val="single"/>
        </w:rPr>
        <w:t>EFFECTIVE DATE</w:t>
      </w:r>
    </w:p>
    <w:p w14:paraId="7F2DD7EF" w14:textId="7893F6C5" w:rsidR="008C1D91" w:rsidRPr="00042EEF" w:rsidRDefault="00B800A1" w:rsidP="008C1D91">
      <w:pPr>
        <w:spacing w:after="240"/>
        <w:rPr>
          <w:rFonts w:ascii="Arial" w:eastAsia="Arial" w:hAnsi="Arial" w:cs="Arial"/>
        </w:rPr>
      </w:pPr>
      <w:r w:rsidRPr="1EF028A6">
        <w:rPr>
          <w:rFonts w:ascii="Arial" w:eastAsia="Arial" w:hAnsi="Arial" w:cs="Arial"/>
        </w:rPr>
        <w:t xml:space="preserve">This advice filing will become effective on </w:t>
      </w:r>
      <w:r w:rsidR="00621502">
        <w:rPr>
          <w:rFonts w:ascii="Arial" w:eastAsia="Arial" w:hAnsi="Arial" w:cs="Arial"/>
          <w:highlight w:val="yellow"/>
        </w:rPr>
        <w:t>October</w:t>
      </w:r>
      <w:r w:rsidR="00621502" w:rsidRPr="1EF028A6">
        <w:rPr>
          <w:rFonts w:ascii="Arial" w:eastAsia="Arial" w:hAnsi="Arial" w:cs="Arial"/>
          <w:highlight w:val="yellow"/>
        </w:rPr>
        <w:t xml:space="preserve"> </w:t>
      </w:r>
      <w:r w:rsidR="00D44B2F" w:rsidRPr="1EF028A6">
        <w:rPr>
          <w:rFonts w:ascii="Arial" w:eastAsia="Arial" w:hAnsi="Arial" w:cs="Arial"/>
          <w:highlight w:val="yellow"/>
        </w:rPr>
        <w:t>XX, 2018</w:t>
      </w:r>
      <w:r w:rsidR="00137D43" w:rsidRPr="1EF028A6">
        <w:rPr>
          <w:rFonts w:ascii="Arial" w:eastAsia="Arial" w:hAnsi="Arial" w:cs="Arial"/>
        </w:rPr>
        <w:t xml:space="preserve">, </w:t>
      </w:r>
      <w:r w:rsidRPr="1EF028A6">
        <w:rPr>
          <w:rFonts w:ascii="Arial" w:eastAsia="Arial" w:hAnsi="Arial" w:cs="Arial"/>
        </w:rPr>
        <w:t xml:space="preserve">the </w:t>
      </w:r>
      <w:r w:rsidR="009C0D71" w:rsidRPr="1EF028A6">
        <w:rPr>
          <w:rFonts w:ascii="Arial" w:eastAsia="Arial" w:hAnsi="Arial" w:cs="Arial"/>
        </w:rPr>
        <w:t>3</w:t>
      </w:r>
      <w:r w:rsidRPr="1EF028A6">
        <w:rPr>
          <w:rFonts w:ascii="Arial" w:eastAsia="Arial" w:hAnsi="Arial" w:cs="Arial"/>
        </w:rPr>
        <w:t>0</w:t>
      </w:r>
      <w:r w:rsidRPr="1EF028A6">
        <w:rPr>
          <w:rFonts w:ascii="Arial" w:eastAsia="Arial" w:hAnsi="Arial" w:cs="Arial"/>
          <w:vertAlign w:val="superscript"/>
        </w:rPr>
        <w:t>th</w:t>
      </w:r>
      <w:r w:rsidRPr="1EF028A6">
        <w:rPr>
          <w:rFonts w:ascii="Arial" w:eastAsia="Arial" w:hAnsi="Arial" w:cs="Arial"/>
        </w:rPr>
        <w:t xml:space="preserve"> cal</w:t>
      </w:r>
      <w:r w:rsidR="00137D43" w:rsidRPr="1EF028A6">
        <w:rPr>
          <w:rFonts w:ascii="Arial" w:eastAsia="Arial" w:hAnsi="Arial" w:cs="Arial"/>
        </w:rPr>
        <w:t>endar day after the date filed</w:t>
      </w:r>
      <w:r w:rsidRPr="1EF028A6">
        <w:rPr>
          <w:rFonts w:ascii="Arial" w:eastAsia="Arial" w:hAnsi="Arial" w:cs="Arial"/>
        </w:rPr>
        <w:t>.</w:t>
      </w:r>
      <w:r w:rsidR="008C1D91" w:rsidRPr="1EF028A6">
        <w:rPr>
          <w:rFonts w:ascii="Arial" w:eastAsia="Arial" w:hAnsi="Arial" w:cs="Arial"/>
        </w:rPr>
        <w:t xml:space="preserve"> </w:t>
      </w:r>
    </w:p>
    <w:p w14:paraId="1CC1EA61" w14:textId="77777777" w:rsidR="00B800A1" w:rsidRPr="00FD492A" w:rsidRDefault="00B800A1">
      <w:pPr>
        <w:spacing w:after="240"/>
        <w:rPr>
          <w:rFonts w:ascii="Arial" w:hAnsi="Arial" w:cs="Arial"/>
          <w:b/>
          <w:noProof/>
          <w:szCs w:val="24"/>
          <w:u w:val="single"/>
        </w:rPr>
      </w:pPr>
      <w:r w:rsidRPr="00FD492A">
        <w:rPr>
          <w:rFonts w:ascii="Arial" w:hAnsi="Arial" w:cs="Arial"/>
          <w:b/>
          <w:noProof/>
          <w:szCs w:val="24"/>
          <w:u w:val="single"/>
        </w:rPr>
        <w:t>NOTICE</w:t>
      </w:r>
    </w:p>
    <w:p w14:paraId="56495D22" w14:textId="77777777" w:rsidR="00B800A1" w:rsidRPr="00FD492A" w:rsidRDefault="00B800A1">
      <w:pPr>
        <w:pStyle w:val="BodyText"/>
        <w:rPr>
          <w:rFonts w:ascii="Arial" w:eastAsia="Arial" w:hAnsi="Arial" w:cs="Arial"/>
        </w:rPr>
      </w:pPr>
      <w:r w:rsidRPr="1EF028A6">
        <w:rPr>
          <w:rFonts w:ascii="Arial" w:eastAsia="Arial" w:hAnsi="Arial" w:cs="Arial"/>
        </w:rPr>
        <w:t>Anyone wishing to protest this advice filing may do so by letter via U.S. Mail, facsimile, or electronically, any of which must be received no later than 20 days after the date of this advice fi</w:t>
      </w:r>
      <w:r w:rsidR="00CB1FAC" w:rsidRPr="1EF028A6">
        <w:rPr>
          <w:rFonts w:ascii="Arial" w:eastAsia="Arial" w:hAnsi="Arial" w:cs="Arial"/>
        </w:rPr>
        <w:t>ling.  Protests should be submitted</w:t>
      </w:r>
      <w:r w:rsidRPr="1EF028A6">
        <w:rPr>
          <w:rFonts w:ascii="Arial" w:eastAsia="Arial" w:hAnsi="Arial" w:cs="Arial"/>
        </w:rPr>
        <w:t xml:space="preserve"> to:</w:t>
      </w:r>
    </w:p>
    <w:p w14:paraId="5786CFA5" w14:textId="77777777" w:rsidR="00B800A1" w:rsidRPr="00FD492A" w:rsidRDefault="00042EEF" w:rsidP="00042EEF">
      <w:pPr>
        <w:pStyle w:val="BodyText"/>
        <w:keepNext/>
        <w:keepLines/>
        <w:spacing w:after="0"/>
        <w:ind w:left="720" w:firstLine="720"/>
        <w:rPr>
          <w:rFonts w:ascii="Arial" w:eastAsia="Arial" w:hAnsi="Arial" w:cs="Arial"/>
        </w:rPr>
      </w:pPr>
      <w:r w:rsidRPr="1EF028A6">
        <w:rPr>
          <w:rFonts w:ascii="Arial" w:eastAsia="Arial" w:hAnsi="Arial" w:cs="Arial"/>
        </w:rPr>
        <w:lastRenderedPageBreak/>
        <w:t xml:space="preserve">CPUC, </w:t>
      </w:r>
      <w:r w:rsidR="00B800A1" w:rsidRPr="1EF028A6">
        <w:rPr>
          <w:rFonts w:ascii="Arial" w:eastAsia="Arial" w:hAnsi="Arial" w:cs="Arial"/>
        </w:rPr>
        <w:t>Energy Division</w:t>
      </w:r>
    </w:p>
    <w:p w14:paraId="69D8D52A" w14:textId="77777777" w:rsidR="00A64A6D" w:rsidRPr="00FD492A" w:rsidRDefault="00A64A6D" w:rsidP="00042EEF">
      <w:pPr>
        <w:pStyle w:val="BodyText"/>
        <w:keepNext/>
        <w:keepLines/>
        <w:spacing w:after="0"/>
        <w:ind w:left="720" w:firstLine="720"/>
        <w:rPr>
          <w:rFonts w:ascii="Arial" w:eastAsia="Arial" w:hAnsi="Arial" w:cs="Arial"/>
        </w:rPr>
      </w:pPr>
      <w:r w:rsidRPr="1EF028A6">
        <w:rPr>
          <w:rFonts w:ascii="Arial" w:eastAsia="Arial" w:hAnsi="Arial" w:cs="Arial"/>
        </w:rPr>
        <w:t>Attention:  Tariff Unit</w:t>
      </w:r>
    </w:p>
    <w:p w14:paraId="3E769F7F" w14:textId="77777777" w:rsidR="00B800A1" w:rsidRPr="00FD492A" w:rsidRDefault="00B800A1" w:rsidP="00042EEF">
      <w:pPr>
        <w:pStyle w:val="BodyText"/>
        <w:keepNext/>
        <w:keepLines/>
        <w:spacing w:after="0"/>
        <w:ind w:left="720" w:firstLine="720"/>
        <w:rPr>
          <w:rFonts w:ascii="Arial" w:eastAsia="Arial" w:hAnsi="Arial" w:cs="Arial"/>
        </w:rPr>
      </w:pPr>
      <w:r w:rsidRPr="1EF028A6">
        <w:rPr>
          <w:rFonts w:ascii="Arial" w:eastAsia="Arial" w:hAnsi="Arial" w:cs="Arial"/>
        </w:rPr>
        <w:t>505 Van Ness Avenue</w:t>
      </w:r>
    </w:p>
    <w:p w14:paraId="67D1B2E9" w14:textId="77777777" w:rsidR="00B800A1" w:rsidRPr="00FD492A" w:rsidRDefault="00B800A1" w:rsidP="00042EEF">
      <w:pPr>
        <w:pStyle w:val="BodyText"/>
        <w:keepNext/>
        <w:keepLines/>
        <w:spacing w:after="0"/>
        <w:ind w:left="720" w:firstLine="720"/>
        <w:rPr>
          <w:rFonts w:ascii="Arial" w:eastAsia="Arial" w:hAnsi="Arial" w:cs="Arial"/>
        </w:rPr>
      </w:pPr>
      <w:r w:rsidRPr="1EF028A6">
        <w:rPr>
          <w:rFonts w:ascii="Arial" w:eastAsia="Arial" w:hAnsi="Arial" w:cs="Arial"/>
        </w:rPr>
        <w:t>San Francisco, California  94102</w:t>
      </w:r>
    </w:p>
    <w:p w14:paraId="72C9846F" w14:textId="77777777" w:rsidR="00B800A1" w:rsidRPr="00FD492A" w:rsidRDefault="1EF028A6" w:rsidP="00042EEF">
      <w:pPr>
        <w:pStyle w:val="BodyText"/>
        <w:keepNext/>
        <w:keepLines/>
        <w:spacing w:after="0"/>
        <w:ind w:left="720" w:firstLine="720"/>
        <w:rPr>
          <w:rFonts w:ascii="Arial" w:eastAsia="Arial" w:hAnsi="Arial" w:cs="Arial"/>
        </w:rPr>
      </w:pPr>
      <w:r w:rsidRPr="1EF028A6">
        <w:rPr>
          <w:rFonts w:ascii="Arial" w:eastAsia="Arial" w:hAnsi="Arial" w:cs="Arial"/>
        </w:rPr>
        <w:t xml:space="preserve">E-mail:  </w:t>
      </w:r>
      <w:hyperlink r:id="rId12">
        <w:r w:rsidRPr="1EF028A6">
          <w:rPr>
            <w:rStyle w:val="Hyperlink"/>
            <w:rFonts w:ascii="Arial" w:eastAsia="Arial" w:hAnsi="Arial" w:cs="Arial"/>
          </w:rPr>
          <w:t>EDTariffUnit@cpuc.ca.gov</w:t>
        </w:r>
      </w:hyperlink>
    </w:p>
    <w:p w14:paraId="37EA96D4" w14:textId="77777777" w:rsidR="00B800A1" w:rsidRPr="00FD492A" w:rsidRDefault="00B800A1" w:rsidP="00137D43">
      <w:pPr>
        <w:spacing w:before="240"/>
        <w:rPr>
          <w:rFonts w:ascii="Arial" w:eastAsia="Arial" w:hAnsi="Arial" w:cs="Arial"/>
        </w:rPr>
      </w:pPr>
      <w:r w:rsidRPr="1EF028A6">
        <w:rPr>
          <w:rFonts w:ascii="Arial" w:eastAsia="Arial" w:hAnsi="Arial" w:cs="Arial"/>
        </w:rPr>
        <w:t>Copies should also be mailed to the attention of the Director, Energy Division, Room</w:t>
      </w:r>
      <w:r w:rsidR="00042EEF" w:rsidRPr="1EF028A6">
        <w:rPr>
          <w:rFonts w:ascii="Arial" w:eastAsia="Arial" w:hAnsi="Arial" w:cs="Arial"/>
        </w:rPr>
        <w:t> </w:t>
      </w:r>
      <w:r w:rsidRPr="1EF028A6">
        <w:rPr>
          <w:rFonts w:ascii="Arial" w:eastAsia="Arial" w:hAnsi="Arial" w:cs="Arial"/>
        </w:rPr>
        <w:t>4004 (same address above).</w:t>
      </w:r>
    </w:p>
    <w:p w14:paraId="3DA90A46" w14:textId="77777777" w:rsidR="00B800A1" w:rsidRPr="00FD492A" w:rsidRDefault="00B800A1">
      <w:pPr>
        <w:spacing w:before="240" w:after="240"/>
        <w:rPr>
          <w:rFonts w:ascii="Arial" w:eastAsia="Arial" w:hAnsi="Arial" w:cs="Arial"/>
        </w:rPr>
      </w:pPr>
      <w:r w:rsidRPr="1EF028A6">
        <w:rPr>
          <w:rFonts w:ascii="Arial" w:eastAsia="Arial" w:hAnsi="Arial" w:cs="Arial"/>
        </w:rPr>
        <w:t>In addition, protests and all other correspondence regarding this advice letter should also be sent by letter and transmitted via facsimile or electronically to the attention of:</w:t>
      </w:r>
    </w:p>
    <w:p w14:paraId="18FBEF4E" w14:textId="795239B9" w:rsidR="00B800A1" w:rsidRPr="00FD492A" w:rsidRDefault="00690355" w:rsidP="00A64A6D">
      <w:pPr>
        <w:pStyle w:val="BodyText"/>
        <w:keepNext/>
        <w:keepLines/>
        <w:spacing w:after="0"/>
        <w:ind w:left="720" w:firstLine="720"/>
        <w:rPr>
          <w:rFonts w:ascii="Arial" w:eastAsia="Arial" w:hAnsi="Arial" w:cs="Arial"/>
        </w:rPr>
      </w:pPr>
      <w:r w:rsidRPr="1EF028A6">
        <w:rPr>
          <w:rFonts w:ascii="Arial" w:eastAsia="Arial" w:hAnsi="Arial" w:cs="Arial"/>
        </w:rPr>
        <w:t xml:space="preserve">Gary </w:t>
      </w:r>
      <w:r w:rsidR="00B119BB" w:rsidRPr="004872A4">
        <w:rPr>
          <w:rFonts w:ascii="Arial" w:eastAsia="Arial" w:hAnsi="Arial" w:cs="Arial"/>
        </w:rPr>
        <w:t xml:space="preserve">A. </w:t>
      </w:r>
      <w:r w:rsidRPr="1EF028A6">
        <w:rPr>
          <w:rFonts w:ascii="Arial" w:eastAsia="Arial" w:hAnsi="Arial" w:cs="Arial"/>
        </w:rPr>
        <w:t>Stern</w:t>
      </w:r>
    </w:p>
    <w:p w14:paraId="14184EF1" w14:textId="77777777" w:rsidR="00B800A1" w:rsidRPr="00FD492A" w:rsidRDefault="005273F8" w:rsidP="00A64A6D">
      <w:pPr>
        <w:pStyle w:val="BodyText"/>
        <w:keepNext/>
        <w:keepLines/>
        <w:spacing w:after="0"/>
        <w:ind w:left="720" w:firstLine="720"/>
        <w:rPr>
          <w:rFonts w:ascii="Arial" w:eastAsia="Arial" w:hAnsi="Arial" w:cs="Arial"/>
        </w:rPr>
      </w:pPr>
      <w:r w:rsidRPr="1EF028A6">
        <w:rPr>
          <w:rFonts w:ascii="Arial" w:eastAsia="Arial" w:hAnsi="Arial" w:cs="Arial"/>
        </w:rPr>
        <w:t xml:space="preserve">Managing </w:t>
      </w:r>
      <w:r w:rsidR="005228B5" w:rsidRPr="1EF028A6">
        <w:rPr>
          <w:rFonts w:ascii="Arial" w:eastAsia="Arial" w:hAnsi="Arial" w:cs="Arial"/>
        </w:rPr>
        <w:t>Director</w:t>
      </w:r>
      <w:r w:rsidR="008545B7" w:rsidRPr="1EF028A6">
        <w:rPr>
          <w:rFonts w:ascii="Arial" w:eastAsia="Arial" w:hAnsi="Arial" w:cs="Arial"/>
        </w:rPr>
        <w:t xml:space="preserve">, State </w:t>
      </w:r>
      <w:r w:rsidR="004338B1" w:rsidRPr="1EF028A6">
        <w:rPr>
          <w:rFonts w:ascii="Arial" w:eastAsia="Arial" w:hAnsi="Arial" w:cs="Arial"/>
        </w:rPr>
        <w:t>Regulatory Operations</w:t>
      </w:r>
    </w:p>
    <w:p w14:paraId="03993198" w14:textId="77777777" w:rsidR="00B800A1" w:rsidRPr="00FD492A" w:rsidRDefault="00B800A1" w:rsidP="00A64A6D">
      <w:pPr>
        <w:pStyle w:val="BodyText"/>
        <w:keepNext/>
        <w:keepLines/>
        <w:spacing w:after="0"/>
        <w:ind w:left="720" w:firstLine="720"/>
        <w:rPr>
          <w:rFonts w:ascii="Arial" w:eastAsia="Arial" w:hAnsi="Arial" w:cs="Arial"/>
        </w:rPr>
      </w:pPr>
      <w:r w:rsidRPr="1EF028A6">
        <w:rPr>
          <w:rFonts w:ascii="Arial" w:eastAsia="Arial" w:hAnsi="Arial" w:cs="Arial"/>
        </w:rPr>
        <w:t>Southern California Edison Company</w:t>
      </w:r>
    </w:p>
    <w:p w14:paraId="271056FB" w14:textId="77777777" w:rsidR="00B800A1" w:rsidRPr="00FD492A" w:rsidRDefault="00021006" w:rsidP="00A64A6D">
      <w:pPr>
        <w:pStyle w:val="BodyText"/>
        <w:keepNext/>
        <w:keepLines/>
        <w:spacing w:after="0"/>
        <w:ind w:left="720" w:firstLine="720"/>
        <w:rPr>
          <w:rFonts w:ascii="Arial" w:eastAsia="Arial" w:hAnsi="Arial" w:cs="Arial"/>
        </w:rPr>
      </w:pPr>
      <w:r w:rsidRPr="1EF028A6">
        <w:rPr>
          <w:rFonts w:ascii="Arial" w:eastAsia="Arial" w:hAnsi="Arial" w:cs="Arial"/>
        </w:rPr>
        <w:t>8631 Rush Street</w:t>
      </w:r>
    </w:p>
    <w:p w14:paraId="38E5AEF4" w14:textId="77777777" w:rsidR="00B800A1" w:rsidRPr="00FD492A" w:rsidRDefault="00B800A1" w:rsidP="00A64A6D">
      <w:pPr>
        <w:pStyle w:val="BodyText"/>
        <w:keepNext/>
        <w:keepLines/>
        <w:spacing w:after="0"/>
        <w:ind w:left="720" w:firstLine="720"/>
        <w:rPr>
          <w:rFonts w:ascii="Arial" w:eastAsia="Arial" w:hAnsi="Arial" w:cs="Arial"/>
        </w:rPr>
      </w:pPr>
      <w:r w:rsidRPr="1EF028A6">
        <w:rPr>
          <w:rFonts w:ascii="Arial" w:eastAsia="Arial" w:hAnsi="Arial" w:cs="Arial"/>
        </w:rPr>
        <w:t>Rosemead, California 91770</w:t>
      </w:r>
      <w:r w:rsidR="007D0056">
        <w:rPr>
          <w:rFonts w:ascii="Arial" w:hAnsi="Arial" w:cs="Arial"/>
          <w:szCs w:val="24"/>
        </w:rPr>
        <w:br/>
      </w:r>
      <w:r w:rsidR="007D0056">
        <w:rPr>
          <w:rFonts w:ascii="Arial" w:hAnsi="Arial" w:cs="Arial"/>
          <w:szCs w:val="24"/>
        </w:rPr>
        <w:tab/>
      </w:r>
      <w:r w:rsidR="007D0056" w:rsidRPr="1EF028A6">
        <w:rPr>
          <w:rFonts w:ascii="Arial" w:eastAsia="Arial" w:hAnsi="Arial" w:cs="Arial"/>
        </w:rPr>
        <w:t>Telephone (626) 302-4177</w:t>
      </w:r>
    </w:p>
    <w:p w14:paraId="5E75A353" w14:textId="77777777" w:rsidR="00B800A1" w:rsidRPr="00FD492A" w:rsidRDefault="00A02445" w:rsidP="00F16CB7">
      <w:pPr>
        <w:pStyle w:val="BodyText"/>
        <w:keepNext/>
        <w:keepLines/>
        <w:spacing w:after="0"/>
        <w:ind w:left="720" w:firstLine="720"/>
        <w:rPr>
          <w:rFonts w:ascii="Arial" w:eastAsia="Arial" w:hAnsi="Arial" w:cs="Arial"/>
        </w:rPr>
      </w:pPr>
      <w:r w:rsidRPr="1EF028A6">
        <w:rPr>
          <w:rFonts w:ascii="Arial" w:eastAsia="Arial" w:hAnsi="Arial" w:cs="Arial"/>
        </w:rPr>
        <w:t xml:space="preserve">Facsimile:  </w:t>
      </w:r>
      <w:r w:rsidRPr="1EF028A6">
        <w:rPr>
          <w:rFonts w:ascii="Arial" w:eastAsia="Arial" w:hAnsi="Arial" w:cs="Arial"/>
          <w:highlight w:val="yellow"/>
        </w:rPr>
        <w:t>(626) 302-6396</w:t>
      </w:r>
    </w:p>
    <w:p w14:paraId="62079B70" w14:textId="77777777" w:rsidR="00B800A1" w:rsidRPr="00FD492A" w:rsidRDefault="1EF028A6" w:rsidP="00F16CB7">
      <w:pPr>
        <w:pStyle w:val="BodyText"/>
        <w:keepNext/>
        <w:keepLines/>
        <w:spacing w:after="0"/>
        <w:ind w:left="720" w:firstLine="720"/>
        <w:rPr>
          <w:rFonts w:ascii="Arial" w:eastAsia="Arial" w:hAnsi="Arial" w:cs="Arial"/>
          <w:color w:val="0000FF"/>
          <w:u w:val="words"/>
        </w:rPr>
      </w:pPr>
      <w:r w:rsidRPr="1EF028A6">
        <w:rPr>
          <w:rFonts w:ascii="Arial" w:eastAsia="Arial" w:hAnsi="Arial" w:cs="Arial"/>
        </w:rPr>
        <w:t xml:space="preserve">E-mail:  </w:t>
      </w:r>
      <w:hyperlink r:id="rId13">
        <w:r w:rsidRPr="1EF028A6">
          <w:rPr>
            <w:rStyle w:val="Hyperlink"/>
            <w:rFonts w:ascii="Arial" w:eastAsia="Arial" w:hAnsi="Arial" w:cs="Arial"/>
          </w:rPr>
          <w:t>AdviceTariffManager@sce.com</w:t>
        </w:r>
      </w:hyperlink>
    </w:p>
    <w:p w14:paraId="58E3144B" w14:textId="77777777" w:rsidR="00F16CB7" w:rsidRPr="00FD492A" w:rsidRDefault="00F16CB7" w:rsidP="00F16CB7">
      <w:pPr>
        <w:pStyle w:val="BodyText"/>
        <w:spacing w:after="0"/>
        <w:ind w:left="720" w:firstLine="720"/>
        <w:rPr>
          <w:rFonts w:ascii="Arial" w:hAnsi="Arial" w:cs="Arial"/>
          <w:szCs w:val="24"/>
          <w:u w:val="words"/>
        </w:rPr>
      </w:pPr>
    </w:p>
    <w:p w14:paraId="1A8E5DB6" w14:textId="77777777" w:rsidR="00B800A1" w:rsidRPr="00FD492A" w:rsidRDefault="00A07CA7" w:rsidP="00F16CB7">
      <w:pPr>
        <w:pStyle w:val="BodyText"/>
        <w:keepNext/>
        <w:keepLines/>
        <w:spacing w:after="0"/>
        <w:ind w:left="720" w:firstLine="720"/>
        <w:rPr>
          <w:rFonts w:ascii="Arial" w:eastAsia="Arial" w:hAnsi="Arial" w:cs="Arial"/>
        </w:rPr>
      </w:pPr>
      <w:r w:rsidRPr="1EF028A6">
        <w:rPr>
          <w:rFonts w:ascii="Arial" w:eastAsia="Arial" w:hAnsi="Arial" w:cs="Arial"/>
        </w:rPr>
        <w:t>Laura Genao</w:t>
      </w:r>
    </w:p>
    <w:p w14:paraId="62ADC823" w14:textId="77777777" w:rsidR="00B800A1" w:rsidRPr="00FD492A" w:rsidRDefault="006A1189" w:rsidP="00F16CB7">
      <w:pPr>
        <w:pStyle w:val="BodyText"/>
        <w:keepNext/>
        <w:keepLines/>
        <w:spacing w:after="0"/>
        <w:ind w:left="720" w:firstLine="720"/>
        <w:rPr>
          <w:rFonts w:ascii="Arial" w:eastAsia="Arial" w:hAnsi="Arial" w:cs="Arial"/>
        </w:rPr>
      </w:pPr>
      <w:r w:rsidRPr="1EF028A6">
        <w:rPr>
          <w:rFonts w:ascii="Arial" w:eastAsia="Arial" w:hAnsi="Arial" w:cs="Arial"/>
        </w:rPr>
        <w:t xml:space="preserve">Managing </w:t>
      </w:r>
      <w:r w:rsidR="00091ED6" w:rsidRPr="1EF028A6">
        <w:rPr>
          <w:rFonts w:ascii="Arial" w:eastAsia="Arial" w:hAnsi="Arial" w:cs="Arial"/>
        </w:rPr>
        <w:t xml:space="preserve">Director, State </w:t>
      </w:r>
      <w:r w:rsidR="005C2B02" w:rsidRPr="1EF028A6">
        <w:rPr>
          <w:rFonts w:ascii="Arial" w:eastAsia="Arial" w:hAnsi="Arial" w:cs="Arial"/>
        </w:rPr>
        <w:t xml:space="preserve">Regulatory </w:t>
      </w:r>
      <w:r w:rsidR="00EA6EAC" w:rsidRPr="1EF028A6">
        <w:rPr>
          <w:rFonts w:ascii="Arial" w:eastAsia="Arial" w:hAnsi="Arial" w:cs="Arial"/>
        </w:rPr>
        <w:t>Affairs</w:t>
      </w:r>
    </w:p>
    <w:p w14:paraId="3FE3C952" w14:textId="77777777" w:rsidR="00B800A1" w:rsidRPr="00FD492A" w:rsidRDefault="00B800A1" w:rsidP="00A64A6D">
      <w:pPr>
        <w:pStyle w:val="BodyText"/>
        <w:keepNext/>
        <w:keepLines/>
        <w:spacing w:after="0"/>
        <w:ind w:left="720" w:firstLine="720"/>
        <w:rPr>
          <w:rFonts w:ascii="Arial" w:eastAsia="Arial" w:hAnsi="Arial" w:cs="Arial"/>
        </w:rPr>
      </w:pPr>
      <w:r w:rsidRPr="1EF028A6">
        <w:rPr>
          <w:rFonts w:ascii="Arial" w:eastAsia="Arial" w:hAnsi="Arial" w:cs="Arial"/>
        </w:rPr>
        <w:t>c/o Karyn Gansecki</w:t>
      </w:r>
    </w:p>
    <w:p w14:paraId="20AF2A21" w14:textId="77777777" w:rsidR="00B800A1" w:rsidRPr="00FD492A" w:rsidRDefault="00B800A1" w:rsidP="00A64A6D">
      <w:pPr>
        <w:pStyle w:val="BodyText"/>
        <w:keepNext/>
        <w:keepLines/>
        <w:spacing w:after="0"/>
        <w:ind w:left="720" w:firstLine="720"/>
        <w:rPr>
          <w:rFonts w:ascii="Arial" w:eastAsia="Arial" w:hAnsi="Arial" w:cs="Arial"/>
        </w:rPr>
      </w:pPr>
      <w:r w:rsidRPr="1EF028A6">
        <w:rPr>
          <w:rFonts w:ascii="Arial" w:eastAsia="Arial" w:hAnsi="Arial" w:cs="Arial"/>
        </w:rPr>
        <w:t>Southern California Edison Company</w:t>
      </w:r>
    </w:p>
    <w:p w14:paraId="7AEFF792" w14:textId="77777777" w:rsidR="00B800A1" w:rsidRPr="00FD492A" w:rsidRDefault="00B800A1" w:rsidP="00A64A6D">
      <w:pPr>
        <w:pStyle w:val="BodyText"/>
        <w:keepNext/>
        <w:keepLines/>
        <w:spacing w:after="0"/>
        <w:ind w:left="720" w:firstLine="720"/>
        <w:rPr>
          <w:rFonts w:ascii="Arial" w:eastAsia="Arial" w:hAnsi="Arial" w:cs="Arial"/>
        </w:rPr>
      </w:pPr>
      <w:r w:rsidRPr="1EF028A6">
        <w:rPr>
          <w:rFonts w:ascii="Arial" w:eastAsia="Arial" w:hAnsi="Arial" w:cs="Arial"/>
        </w:rPr>
        <w:t>601 Van Ness Avenue, Suite 20</w:t>
      </w:r>
      <w:r w:rsidR="00803CA2" w:rsidRPr="1EF028A6">
        <w:rPr>
          <w:rFonts w:ascii="Arial" w:eastAsia="Arial" w:hAnsi="Arial" w:cs="Arial"/>
        </w:rPr>
        <w:t>3</w:t>
      </w:r>
      <w:r w:rsidRPr="1EF028A6">
        <w:rPr>
          <w:rFonts w:ascii="Arial" w:eastAsia="Arial" w:hAnsi="Arial" w:cs="Arial"/>
        </w:rPr>
        <w:t>0</w:t>
      </w:r>
    </w:p>
    <w:p w14:paraId="62F99618" w14:textId="77777777" w:rsidR="00B800A1" w:rsidRPr="00FD492A" w:rsidRDefault="00B800A1" w:rsidP="00A64A6D">
      <w:pPr>
        <w:pStyle w:val="BodyText"/>
        <w:keepNext/>
        <w:keepLines/>
        <w:spacing w:after="0"/>
        <w:ind w:left="720" w:firstLine="720"/>
        <w:rPr>
          <w:rFonts w:ascii="Arial" w:eastAsia="Arial" w:hAnsi="Arial" w:cs="Arial"/>
        </w:rPr>
      </w:pPr>
      <w:r w:rsidRPr="1EF028A6">
        <w:rPr>
          <w:rFonts w:ascii="Arial" w:eastAsia="Arial" w:hAnsi="Arial" w:cs="Arial"/>
        </w:rPr>
        <w:t>San Francisco, California 94102</w:t>
      </w:r>
    </w:p>
    <w:p w14:paraId="1C0012E1" w14:textId="77777777" w:rsidR="00B800A1" w:rsidRPr="00FD492A" w:rsidRDefault="00B800A1" w:rsidP="00A64A6D">
      <w:pPr>
        <w:pStyle w:val="BodyText"/>
        <w:keepNext/>
        <w:keepLines/>
        <w:spacing w:after="0"/>
        <w:ind w:left="720" w:firstLine="720"/>
        <w:rPr>
          <w:rFonts w:ascii="Arial" w:eastAsia="Arial" w:hAnsi="Arial" w:cs="Arial"/>
        </w:rPr>
      </w:pPr>
      <w:r w:rsidRPr="1EF028A6">
        <w:rPr>
          <w:rFonts w:ascii="Arial" w:eastAsia="Arial" w:hAnsi="Arial" w:cs="Arial"/>
        </w:rPr>
        <w:t xml:space="preserve">Facsimile:  (415) </w:t>
      </w:r>
      <w:r w:rsidR="00571E32" w:rsidRPr="1EF028A6">
        <w:rPr>
          <w:rFonts w:ascii="Arial" w:eastAsia="Arial" w:hAnsi="Arial" w:cs="Arial"/>
        </w:rPr>
        <w:t>929-554</w:t>
      </w:r>
      <w:r w:rsidR="0043312D" w:rsidRPr="1EF028A6">
        <w:rPr>
          <w:rFonts w:ascii="Arial" w:eastAsia="Arial" w:hAnsi="Arial" w:cs="Arial"/>
        </w:rPr>
        <w:t>4</w:t>
      </w:r>
    </w:p>
    <w:p w14:paraId="49E0F464" w14:textId="77777777" w:rsidR="00B800A1" w:rsidRPr="00FD492A" w:rsidRDefault="00B800A1" w:rsidP="00A64A6D">
      <w:pPr>
        <w:pStyle w:val="BodyText"/>
        <w:keepNext/>
        <w:keepLines/>
        <w:spacing w:after="240"/>
        <w:ind w:left="720" w:firstLine="720"/>
        <w:rPr>
          <w:rFonts w:ascii="Arial" w:eastAsia="Arial" w:hAnsi="Arial" w:cs="Arial"/>
        </w:rPr>
      </w:pPr>
      <w:r w:rsidRPr="1EF028A6">
        <w:rPr>
          <w:rFonts w:ascii="Arial" w:eastAsia="Arial" w:hAnsi="Arial" w:cs="Arial"/>
        </w:rPr>
        <w:t xml:space="preserve">E-mail:  </w:t>
      </w:r>
      <w:r w:rsidRPr="1EF028A6">
        <w:rPr>
          <w:rFonts w:ascii="Arial" w:eastAsia="Arial" w:hAnsi="Arial" w:cs="Arial"/>
          <w:color w:val="0000FF"/>
          <w:u w:val="words"/>
        </w:rPr>
        <w:t>Karyn.Gansecki@sce.com</w:t>
      </w:r>
    </w:p>
    <w:p w14:paraId="560C7213" w14:textId="77777777" w:rsidR="00B800A1" w:rsidRPr="00FD492A" w:rsidRDefault="00B800A1">
      <w:pPr>
        <w:rPr>
          <w:rFonts w:ascii="Arial" w:eastAsia="Arial" w:hAnsi="Arial" w:cs="Arial"/>
        </w:rPr>
      </w:pPr>
      <w:r w:rsidRPr="1EF028A6">
        <w:rPr>
          <w:rFonts w:ascii="Arial" w:eastAsia="Arial" w:hAnsi="Arial" w:cs="Arial"/>
        </w:rPr>
        <w:t xml:space="preserve">There are no restrictions on who may file a protest, but the protest shall set forth specifically the grounds upon which it is based and </w:t>
      </w:r>
      <w:r w:rsidR="00CB1FAC" w:rsidRPr="1EF028A6">
        <w:rPr>
          <w:rFonts w:ascii="Arial" w:eastAsia="Arial" w:hAnsi="Arial" w:cs="Arial"/>
        </w:rPr>
        <w:t>must be received by the deadline shown above</w:t>
      </w:r>
      <w:r w:rsidRPr="1EF028A6">
        <w:rPr>
          <w:rFonts w:ascii="Arial" w:eastAsia="Arial" w:hAnsi="Arial" w:cs="Arial"/>
        </w:rPr>
        <w:t>.</w:t>
      </w:r>
    </w:p>
    <w:p w14:paraId="36812343" w14:textId="77777777" w:rsidR="00B800A1" w:rsidRPr="00FD492A" w:rsidRDefault="001A1569">
      <w:pPr>
        <w:spacing w:before="240" w:after="240"/>
        <w:rPr>
          <w:rFonts w:ascii="Arial" w:eastAsia="Arial" w:hAnsi="Arial" w:cs="Arial"/>
        </w:rPr>
      </w:pPr>
      <w:r w:rsidRPr="1EF028A6">
        <w:rPr>
          <w:rFonts w:ascii="Arial" w:eastAsia="Arial" w:hAnsi="Arial" w:cs="Arial"/>
        </w:rPr>
        <w:t>In accordance with General Rule</w:t>
      </w:r>
      <w:r w:rsidR="00B800A1" w:rsidRPr="1EF028A6">
        <w:rPr>
          <w:rFonts w:ascii="Arial" w:eastAsia="Arial" w:hAnsi="Arial" w:cs="Arial"/>
        </w:rPr>
        <w:t xml:space="preserve"> </w:t>
      </w:r>
      <w:r w:rsidR="00D32F15" w:rsidRPr="1EF028A6">
        <w:rPr>
          <w:rFonts w:ascii="Arial" w:eastAsia="Arial" w:hAnsi="Arial" w:cs="Arial"/>
        </w:rPr>
        <w:t>4</w:t>
      </w:r>
      <w:r w:rsidR="00B800A1" w:rsidRPr="1EF028A6">
        <w:rPr>
          <w:rFonts w:ascii="Arial" w:eastAsia="Arial" w:hAnsi="Arial" w:cs="Arial"/>
        </w:rPr>
        <w:t xml:space="preserve"> of </w:t>
      </w:r>
      <w:r w:rsidR="00F15035" w:rsidRPr="1EF028A6">
        <w:rPr>
          <w:rFonts w:ascii="Arial" w:eastAsia="Arial" w:hAnsi="Arial" w:cs="Arial"/>
        </w:rPr>
        <w:t>GO</w:t>
      </w:r>
      <w:r w:rsidR="00D32F15" w:rsidRPr="1EF028A6">
        <w:rPr>
          <w:rFonts w:ascii="Arial" w:eastAsia="Arial" w:hAnsi="Arial" w:cs="Arial"/>
        </w:rPr>
        <w:t xml:space="preserve"> </w:t>
      </w:r>
      <w:r w:rsidR="00B800A1" w:rsidRPr="1EF028A6">
        <w:rPr>
          <w:rFonts w:ascii="Arial" w:eastAsia="Arial" w:hAnsi="Arial" w:cs="Arial"/>
        </w:rPr>
        <w:t>96-</w:t>
      </w:r>
      <w:r w:rsidR="00D32F15" w:rsidRPr="1EF028A6">
        <w:rPr>
          <w:rFonts w:ascii="Arial" w:eastAsia="Arial" w:hAnsi="Arial" w:cs="Arial"/>
        </w:rPr>
        <w:t>B</w:t>
      </w:r>
      <w:r w:rsidR="00B800A1" w:rsidRPr="1EF028A6">
        <w:rPr>
          <w:rFonts w:ascii="Arial" w:eastAsia="Arial" w:hAnsi="Arial" w:cs="Arial"/>
        </w:rPr>
        <w:t xml:space="preserve">, SCE is </w:t>
      </w:r>
      <w:r w:rsidR="00042EEF" w:rsidRPr="1EF028A6">
        <w:rPr>
          <w:rFonts w:ascii="Arial" w:eastAsia="Arial" w:hAnsi="Arial" w:cs="Arial"/>
        </w:rPr>
        <w:t>serving</w:t>
      </w:r>
      <w:r w:rsidR="00B800A1" w:rsidRPr="1EF028A6">
        <w:rPr>
          <w:rFonts w:ascii="Arial" w:eastAsia="Arial" w:hAnsi="Arial" w:cs="Arial"/>
        </w:rPr>
        <w:t xml:space="preserve"> copies of this advice filing to the interested parties shown on the attached </w:t>
      </w:r>
      <w:r w:rsidR="009810A1" w:rsidRPr="1EF028A6">
        <w:rPr>
          <w:rFonts w:ascii="Arial" w:eastAsia="Arial" w:hAnsi="Arial" w:cs="Arial"/>
        </w:rPr>
        <w:t>GO 96-</w:t>
      </w:r>
      <w:r w:rsidR="00D32F15" w:rsidRPr="1EF028A6">
        <w:rPr>
          <w:rFonts w:ascii="Arial" w:eastAsia="Arial" w:hAnsi="Arial" w:cs="Arial"/>
        </w:rPr>
        <w:t>B</w:t>
      </w:r>
      <w:r w:rsidR="009810A1" w:rsidRPr="1EF028A6">
        <w:rPr>
          <w:rFonts w:ascii="Arial" w:eastAsia="Arial" w:hAnsi="Arial" w:cs="Arial"/>
        </w:rPr>
        <w:t xml:space="preserve"> </w:t>
      </w:r>
      <w:r w:rsidR="005228B5" w:rsidRPr="1EF028A6">
        <w:rPr>
          <w:rFonts w:ascii="Arial" w:eastAsia="Arial" w:hAnsi="Arial" w:cs="Arial"/>
        </w:rPr>
        <w:t xml:space="preserve">and </w:t>
      </w:r>
      <w:r w:rsidR="005228B5" w:rsidRPr="1EF028A6">
        <w:rPr>
          <w:rFonts w:ascii="Arial" w:eastAsia="Arial" w:hAnsi="Arial" w:cs="Arial"/>
          <w:highlight w:val="yellow"/>
        </w:rPr>
        <w:t>XX</w:t>
      </w:r>
      <w:r w:rsidR="005228B5" w:rsidRPr="1EF028A6">
        <w:rPr>
          <w:rFonts w:ascii="Arial" w:eastAsia="Arial" w:hAnsi="Arial" w:cs="Arial"/>
        </w:rPr>
        <w:t xml:space="preserve"> service lists.</w:t>
      </w:r>
      <w:r w:rsidR="00B800A1" w:rsidRPr="1EF028A6">
        <w:rPr>
          <w:rFonts w:ascii="Arial" w:eastAsia="Arial" w:hAnsi="Arial" w:cs="Arial"/>
        </w:rPr>
        <w:t xml:space="preserve">  Address change requests to the GO 96-</w:t>
      </w:r>
      <w:r w:rsidR="00D32F15" w:rsidRPr="1EF028A6">
        <w:rPr>
          <w:rFonts w:ascii="Arial" w:eastAsia="Arial" w:hAnsi="Arial" w:cs="Arial"/>
        </w:rPr>
        <w:t>B</w:t>
      </w:r>
      <w:r w:rsidR="00B800A1" w:rsidRPr="1EF028A6">
        <w:rPr>
          <w:rFonts w:ascii="Arial" w:eastAsia="Arial" w:hAnsi="Arial" w:cs="Arial"/>
        </w:rPr>
        <w:t xml:space="preserve"> </w:t>
      </w:r>
      <w:r w:rsidR="00042EEF" w:rsidRPr="1EF028A6">
        <w:rPr>
          <w:rFonts w:ascii="Arial" w:eastAsia="Arial" w:hAnsi="Arial" w:cs="Arial"/>
        </w:rPr>
        <w:t>s</w:t>
      </w:r>
      <w:r w:rsidR="00B800A1" w:rsidRPr="1EF028A6">
        <w:rPr>
          <w:rFonts w:ascii="Arial" w:eastAsia="Arial" w:hAnsi="Arial" w:cs="Arial"/>
        </w:rPr>
        <w:t xml:space="preserve">ervice </w:t>
      </w:r>
      <w:r w:rsidR="00042EEF" w:rsidRPr="1EF028A6">
        <w:rPr>
          <w:rFonts w:ascii="Arial" w:eastAsia="Arial" w:hAnsi="Arial" w:cs="Arial"/>
        </w:rPr>
        <w:t>l</w:t>
      </w:r>
      <w:r w:rsidR="00B800A1" w:rsidRPr="1EF028A6">
        <w:rPr>
          <w:rFonts w:ascii="Arial" w:eastAsia="Arial" w:hAnsi="Arial" w:cs="Arial"/>
        </w:rPr>
        <w:t xml:space="preserve">ist should be directed by electronic mail to </w:t>
      </w:r>
      <w:hyperlink r:id="rId14" w:history="1">
        <w:r w:rsidR="00B800A1" w:rsidRPr="1EF028A6">
          <w:rPr>
            <w:rStyle w:val="Hyperlink"/>
            <w:rFonts w:ascii="Arial" w:eastAsia="Arial" w:hAnsi="Arial" w:cs="Arial"/>
          </w:rPr>
          <w:t>AdviceTariffManager@sce.com</w:t>
        </w:r>
      </w:hyperlink>
      <w:r w:rsidR="00B800A1" w:rsidRPr="1EF028A6">
        <w:rPr>
          <w:rFonts w:ascii="Arial" w:eastAsia="Arial" w:hAnsi="Arial" w:cs="Arial"/>
        </w:rPr>
        <w:t xml:space="preserve"> or at (626)</w:t>
      </w:r>
      <w:r w:rsidR="00E1412F" w:rsidRPr="1EF028A6">
        <w:rPr>
          <w:rFonts w:ascii="Arial" w:eastAsia="Arial" w:hAnsi="Arial" w:cs="Arial"/>
        </w:rPr>
        <w:t> </w:t>
      </w:r>
      <w:r w:rsidR="00B800A1" w:rsidRPr="1EF028A6">
        <w:rPr>
          <w:rFonts w:ascii="Arial" w:eastAsia="Arial" w:hAnsi="Arial" w:cs="Arial"/>
        </w:rPr>
        <w:t>302</w:t>
      </w:r>
      <w:r w:rsidR="00E1412F" w:rsidRPr="00FD492A">
        <w:rPr>
          <w:rFonts w:ascii="Arial" w:hAnsi="Arial" w:cs="Arial"/>
          <w:szCs w:val="24"/>
        </w:rPr>
        <w:noBreakHyphen/>
      </w:r>
      <w:r w:rsidR="005228B5" w:rsidRPr="1EF028A6">
        <w:rPr>
          <w:rFonts w:ascii="Arial" w:eastAsia="Arial" w:hAnsi="Arial" w:cs="Arial"/>
        </w:rPr>
        <w:t>4039</w:t>
      </w:r>
      <w:r w:rsidR="00B800A1" w:rsidRPr="1EF028A6">
        <w:rPr>
          <w:rFonts w:ascii="Arial" w:eastAsia="Arial" w:hAnsi="Arial" w:cs="Arial"/>
        </w:rPr>
        <w:t xml:space="preserve">.  For changes to </w:t>
      </w:r>
      <w:r w:rsidR="00042EEF" w:rsidRPr="1EF028A6">
        <w:rPr>
          <w:rFonts w:ascii="Arial" w:eastAsia="Arial" w:hAnsi="Arial" w:cs="Arial"/>
        </w:rPr>
        <w:t>all other</w:t>
      </w:r>
      <w:r w:rsidR="00B800A1" w:rsidRPr="1EF028A6">
        <w:rPr>
          <w:rFonts w:ascii="Arial" w:eastAsia="Arial" w:hAnsi="Arial" w:cs="Arial"/>
        </w:rPr>
        <w:t xml:space="preserve"> </w:t>
      </w:r>
      <w:r w:rsidR="00042EEF" w:rsidRPr="1EF028A6">
        <w:rPr>
          <w:rFonts w:ascii="Arial" w:eastAsia="Arial" w:hAnsi="Arial" w:cs="Arial"/>
        </w:rPr>
        <w:t>s</w:t>
      </w:r>
      <w:r w:rsidR="00B800A1" w:rsidRPr="1EF028A6">
        <w:rPr>
          <w:rFonts w:ascii="Arial" w:eastAsia="Arial" w:hAnsi="Arial" w:cs="Arial"/>
        </w:rPr>
        <w:t xml:space="preserve">ervice </w:t>
      </w:r>
      <w:r w:rsidR="00042EEF" w:rsidRPr="1EF028A6">
        <w:rPr>
          <w:rFonts w:ascii="Arial" w:eastAsia="Arial" w:hAnsi="Arial" w:cs="Arial"/>
        </w:rPr>
        <w:t>l</w:t>
      </w:r>
      <w:r w:rsidR="00B800A1" w:rsidRPr="1EF028A6">
        <w:rPr>
          <w:rFonts w:ascii="Arial" w:eastAsia="Arial" w:hAnsi="Arial" w:cs="Arial"/>
        </w:rPr>
        <w:t>ist</w:t>
      </w:r>
      <w:r w:rsidR="00042EEF" w:rsidRPr="1EF028A6">
        <w:rPr>
          <w:rFonts w:ascii="Arial" w:eastAsia="Arial" w:hAnsi="Arial" w:cs="Arial"/>
        </w:rPr>
        <w:t>s</w:t>
      </w:r>
      <w:r w:rsidR="00B800A1" w:rsidRPr="1EF028A6">
        <w:rPr>
          <w:rFonts w:ascii="Arial" w:eastAsia="Arial" w:hAnsi="Arial" w:cs="Arial"/>
        </w:rPr>
        <w:t>, please contact the Commission’s Process Office at (415) 703</w:t>
      </w:r>
      <w:r w:rsidR="00A64A6D" w:rsidRPr="00FD492A">
        <w:rPr>
          <w:rFonts w:ascii="Arial" w:hAnsi="Arial" w:cs="Arial"/>
          <w:szCs w:val="24"/>
        </w:rPr>
        <w:noBreakHyphen/>
      </w:r>
      <w:r w:rsidR="00B800A1" w:rsidRPr="1EF028A6">
        <w:rPr>
          <w:rFonts w:ascii="Arial" w:eastAsia="Arial" w:hAnsi="Arial" w:cs="Arial"/>
        </w:rPr>
        <w:t xml:space="preserve">2021 or by electronic mail at </w:t>
      </w:r>
      <w:hyperlink r:id="rId15" w:history="1">
        <w:r w:rsidR="00B800A1" w:rsidRPr="1EF028A6">
          <w:rPr>
            <w:rStyle w:val="Hyperlink"/>
            <w:rFonts w:ascii="Arial" w:eastAsia="Arial" w:hAnsi="Arial" w:cs="Arial"/>
          </w:rPr>
          <w:t>Process_Office@cpuc.ca.gov</w:t>
        </w:r>
      </w:hyperlink>
      <w:r w:rsidR="00B800A1" w:rsidRPr="1EF028A6">
        <w:rPr>
          <w:rFonts w:ascii="Arial" w:eastAsia="Arial" w:hAnsi="Arial" w:cs="Arial"/>
        </w:rPr>
        <w:t>.</w:t>
      </w:r>
    </w:p>
    <w:p w14:paraId="13328B72" w14:textId="77777777" w:rsidR="005C2B02" w:rsidRPr="00FD492A" w:rsidRDefault="00B800A1" w:rsidP="005C2B02">
      <w:pPr>
        <w:spacing w:after="240"/>
        <w:rPr>
          <w:rFonts w:ascii="Arial" w:eastAsia="Arial" w:hAnsi="Arial" w:cs="Arial"/>
        </w:rPr>
      </w:pPr>
      <w:r w:rsidRPr="1EF028A6">
        <w:rPr>
          <w:rFonts w:ascii="Arial" w:eastAsia="Arial" w:hAnsi="Arial" w:cs="Arial"/>
        </w:rPr>
        <w:t xml:space="preserve">Further, in accordance with Public Utilities Code Section 491, notice to the public is hereby given by filing and keeping the advice filing at SCE’s corporate headquarters.  </w:t>
      </w:r>
      <w:r w:rsidR="1EF028A6" w:rsidRPr="1EF028A6">
        <w:rPr>
          <w:rFonts w:ascii="Arial" w:eastAsia="Arial" w:hAnsi="Arial" w:cs="Arial"/>
        </w:rPr>
        <w:t xml:space="preserve">To view other SCE advice letters filed with the Commission, log on to SCE’s web site at </w:t>
      </w:r>
      <w:hyperlink r:id="rId16">
        <w:r w:rsidR="1EF028A6" w:rsidRPr="1EF028A6">
          <w:rPr>
            <w:rStyle w:val="Hyperlink"/>
            <w:rFonts w:ascii="Arial" w:eastAsia="Arial" w:hAnsi="Arial" w:cs="Arial"/>
          </w:rPr>
          <w:t>https://www.sce.com/wps/portal/home/regulatory/advice-letters</w:t>
        </w:r>
      </w:hyperlink>
      <w:r w:rsidR="1EF028A6" w:rsidRPr="00CC38EB">
        <w:rPr>
          <w:rFonts w:ascii="Arial" w:eastAsia="Arial" w:hAnsi="Arial" w:cs="Arial"/>
          <w:color w:val="000000"/>
        </w:rPr>
        <w:t>.</w:t>
      </w:r>
    </w:p>
    <w:p w14:paraId="151C608B" w14:textId="3D56DC5F" w:rsidR="00B800A1" w:rsidRPr="00FD492A" w:rsidRDefault="00B800A1" w:rsidP="009810A1">
      <w:pPr>
        <w:keepNext/>
        <w:keepLines/>
        <w:spacing w:after="240"/>
        <w:rPr>
          <w:rFonts w:ascii="Arial" w:eastAsia="Arial" w:hAnsi="Arial" w:cs="Arial"/>
        </w:rPr>
      </w:pPr>
      <w:r w:rsidRPr="1EF028A6">
        <w:rPr>
          <w:rFonts w:ascii="Arial" w:eastAsia="Arial" w:hAnsi="Arial" w:cs="Arial"/>
        </w:rPr>
        <w:lastRenderedPageBreak/>
        <w:t xml:space="preserve">For questions, please contact </w:t>
      </w:r>
      <w:r w:rsidR="004872A4">
        <w:rPr>
          <w:rFonts w:ascii="Arial" w:eastAsia="Arial" w:hAnsi="Arial" w:cs="Arial"/>
        </w:rPr>
        <w:t>Lisa Mau</w:t>
      </w:r>
      <w:r w:rsidR="00B119BB" w:rsidRPr="00621502">
        <w:rPr>
          <w:rFonts w:ascii="Arial" w:eastAsia="Arial" w:hAnsi="Arial" w:cs="Arial"/>
        </w:rPr>
        <w:t xml:space="preserve"> </w:t>
      </w:r>
      <w:r w:rsidRPr="1EF028A6">
        <w:rPr>
          <w:rFonts w:ascii="Arial" w:eastAsia="Arial" w:hAnsi="Arial" w:cs="Arial"/>
        </w:rPr>
        <w:t>at (626) 302</w:t>
      </w:r>
      <w:r w:rsidR="004872A4">
        <w:rPr>
          <w:rFonts w:ascii="Arial" w:eastAsia="Arial" w:hAnsi="Arial" w:cs="Arial"/>
        </w:rPr>
        <w:t>-3684</w:t>
      </w:r>
      <w:r w:rsidR="00B119BB" w:rsidRPr="00621502">
        <w:rPr>
          <w:rFonts w:ascii="Arial" w:eastAsia="Arial" w:hAnsi="Arial" w:cs="Arial"/>
        </w:rPr>
        <w:t xml:space="preserve"> </w:t>
      </w:r>
      <w:r w:rsidRPr="1EF028A6">
        <w:rPr>
          <w:rFonts w:ascii="Arial" w:eastAsia="Arial" w:hAnsi="Arial" w:cs="Arial"/>
        </w:rPr>
        <w:t xml:space="preserve">or by electronic mail at </w:t>
      </w:r>
      <w:r w:rsidR="004872A4">
        <w:rPr>
          <w:rFonts w:ascii="Arial" w:eastAsia="Arial" w:hAnsi="Arial" w:cs="Arial"/>
        </w:rPr>
        <w:t>lisa.mau@</w:t>
      </w:r>
      <w:r w:rsidRPr="1EF028A6">
        <w:rPr>
          <w:rFonts w:ascii="Arial" w:eastAsia="Arial" w:hAnsi="Arial" w:cs="Arial"/>
        </w:rPr>
        <w:t>sce.com</w:t>
      </w:r>
    </w:p>
    <w:p w14:paraId="7CB07CF3" w14:textId="77777777" w:rsidR="00B800A1" w:rsidRPr="00621502" w:rsidRDefault="00B800A1" w:rsidP="00621502">
      <w:pPr>
        <w:keepNext/>
        <w:keepLines/>
        <w:spacing w:after="240"/>
        <w:ind w:firstLine="4320"/>
        <w:rPr>
          <w:rFonts w:ascii="Arial" w:eastAsia="Arial" w:hAnsi="Arial" w:cs="Arial"/>
          <w:b/>
          <w:bCs/>
        </w:rPr>
      </w:pPr>
      <w:r w:rsidRPr="00A60A31">
        <w:rPr>
          <w:rFonts w:ascii="Arial" w:eastAsia="Arial" w:hAnsi="Arial" w:cs="Arial"/>
          <w:b/>
          <w:bCs/>
        </w:rPr>
        <w:t>Southern California Edison Company</w:t>
      </w:r>
    </w:p>
    <w:p w14:paraId="19B668EC" w14:textId="68C551FE" w:rsidR="00B800A1" w:rsidRPr="00FD492A" w:rsidRDefault="00B119BB" w:rsidP="00E1412F">
      <w:pPr>
        <w:spacing w:before="720" w:after="240"/>
        <w:ind w:firstLine="4320"/>
        <w:rPr>
          <w:rFonts w:ascii="Arial" w:eastAsia="Arial" w:hAnsi="Arial" w:cs="Arial"/>
        </w:rPr>
      </w:pPr>
      <w:r w:rsidRPr="004872A4">
        <w:rPr>
          <w:rFonts w:ascii="Arial" w:eastAsia="Arial" w:hAnsi="Arial" w:cs="Arial"/>
        </w:rPr>
        <w:t>Gary A Stern</w:t>
      </w:r>
    </w:p>
    <w:p w14:paraId="05E3D5EB" w14:textId="77777777" w:rsidR="00B800A1" w:rsidRPr="00FD492A" w:rsidRDefault="005228B5">
      <w:pPr>
        <w:rPr>
          <w:rFonts w:ascii="Arial" w:hAnsi="Arial" w:cs="Arial"/>
          <w:noProof/>
          <w:szCs w:val="24"/>
        </w:rPr>
      </w:pPr>
      <w:r w:rsidRPr="00FD492A">
        <w:rPr>
          <w:rFonts w:ascii="Arial" w:hAnsi="Arial" w:cs="Arial"/>
          <w:noProof/>
          <w:szCs w:val="24"/>
        </w:rPr>
        <w:t>RGW</w:t>
      </w:r>
      <w:r w:rsidR="00B800A1" w:rsidRPr="00FD492A">
        <w:rPr>
          <w:rFonts w:ascii="Arial" w:hAnsi="Arial" w:cs="Arial"/>
          <w:noProof/>
          <w:szCs w:val="24"/>
        </w:rPr>
        <w:t>:analyst initial</w:t>
      </w:r>
      <w:r w:rsidRPr="00FD492A">
        <w:rPr>
          <w:rFonts w:ascii="Arial" w:hAnsi="Arial" w:cs="Arial"/>
          <w:noProof/>
          <w:szCs w:val="24"/>
        </w:rPr>
        <w:t xml:space="preserve">:jm </w:t>
      </w:r>
    </w:p>
    <w:p w14:paraId="428C1E09" w14:textId="77777777" w:rsidR="00221107" w:rsidRDefault="00B800A1">
      <w:pPr>
        <w:spacing w:after="480"/>
        <w:rPr>
          <w:rFonts w:ascii="Arial" w:hAnsi="Arial" w:cs="Arial"/>
          <w:noProof/>
          <w:szCs w:val="24"/>
          <w:highlight w:val="yellow"/>
        </w:rPr>
      </w:pPr>
      <w:r w:rsidRPr="008C1D91">
        <w:rPr>
          <w:rFonts w:ascii="Arial" w:hAnsi="Arial" w:cs="Arial"/>
          <w:noProof/>
          <w:szCs w:val="24"/>
          <w:highlight w:val="yellow"/>
        </w:rPr>
        <w:t>Enc</w:t>
      </w:r>
    </w:p>
    <w:p w14:paraId="1853C3A4" w14:textId="77777777" w:rsidR="00221107" w:rsidRDefault="00221107">
      <w:pPr>
        <w:spacing w:after="480"/>
        <w:rPr>
          <w:rFonts w:ascii="Arial" w:hAnsi="Arial" w:cs="Arial"/>
          <w:noProof/>
          <w:szCs w:val="24"/>
          <w:highlight w:val="yellow"/>
        </w:rPr>
      </w:pPr>
      <w:r>
        <w:rPr>
          <w:rFonts w:ascii="Arial" w:hAnsi="Arial" w:cs="Arial"/>
          <w:noProof/>
          <w:szCs w:val="24"/>
          <w:highlight w:val="yellow"/>
        </w:rPr>
        <w:br w:type="page"/>
      </w:r>
    </w:p>
    <w:p w14:paraId="6032BC4A" w14:textId="77777777" w:rsidR="00221107" w:rsidRDefault="00221107">
      <w:pPr>
        <w:spacing w:after="480"/>
        <w:rPr>
          <w:rFonts w:ascii="Arial" w:hAnsi="Arial" w:cs="Arial"/>
          <w:noProof/>
          <w:szCs w:val="24"/>
          <w:highlight w:val="yellow"/>
        </w:rPr>
      </w:pPr>
    </w:p>
    <w:p w14:paraId="156E3A8D" w14:textId="77777777" w:rsidR="00221107" w:rsidRDefault="00221107">
      <w:pPr>
        <w:spacing w:after="480"/>
        <w:rPr>
          <w:rFonts w:ascii="Arial" w:hAnsi="Arial" w:cs="Arial"/>
          <w:noProof/>
          <w:szCs w:val="24"/>
          <w:highlight w:val="yellow"/>
        </w:rPr>
      </w:pPr>
    </w:p>
    <w:p w14:paraId="0529EB1C" w14:textId="77777777" w:rsidR="00221107" w:rsidRDefault="00221107" w:rsidP="00221107">
      <w:pPr>
        <w:spacing w:after="480"/>
        <w:jc w:val="center"/>
        <w:rPr>
          <w:rFonts w:ascii="Arial" w:hAnsi="Arial" w:cs="Arial"/>
          <w:b/>
          <w:noProof/>
          <w:szCs w:val="24"/>
          <w:highlight w:val="yellow"/>
        </w:rPr>
      </w:pPr>
    </w:p>
    <w:p w14:paraId="335EB278" w14:textId="77777777" w:rsidR="00221107" w:rsidRPr="008D4F1B" w:rsidRDefault="00221107" w:rsidP="00221107">
      <w:pPr>
        <w:pStyle w:val="Default"/>
        <w:jc w:val="center"/>
        <w:rPr>
          <w:rFonts w:ascii="Arial" w:eastAsia="Arial" w:hAnsi="Arial" w:cs="Arial"/>
          <w:b/>
          <w:bCs/>
          <w:u w:val="single"/>
        </w:rPr>
      </w:pPr>
      <w:r w:rsidRPr="008D4F1B">
        <w:rPr>
          <w:rFonts w:ascii="Arial" w:hAnsi="Arial" w:cs="Arial"/>
          <w:b/>
          <w:noProof/>
          <w:highlight w:val="yellow"/>
        </w:rPr>
        <w:br w:type="page"/>
      </w:r>
      <w:r w:rsidRPr="008D4F1B">
        <w:rPr>
          <w:rFonts w:ascii="Arial" w:eastAsia="Arial" w:hAnsi="Arial" w:cs="Arial"/>
          <w:b/>
          <w:bCs/>
          <w:u w:val="single"/>
        </w:rPr>
        <w:lastRenderedPageBreak/>
        <w:t>Description of Program Changes</w:t>
      </w:r>
    </w:p>
    <w:p w14:paraId="52F1753E" w14:textId="77777777" w:rsidR="00221107" w:rsidRPr="006F0216" w:rsidRDefault="00221107" w:rsidP="00221107">
      <w:pPr>
        <w:pStyle w:val="Default"/>
        <w:rPr>
          <w:rFonts w:ascii="Arial" w:eastAsia="Arial" w:hAnsi="Arial" w:cs="Arial"/>
          <w:b/>
          <w:bCs/>
          <w:u w:val="single"/>
        </w:rPr>
      </w:pPr>
    </w:p>
    <w:p w14:paraId="142BA896" w14:textId="77777777" w:rsidR="00221107" w:rsidRPr="006F0216" w:rsidRDefault="00221107" w:rsidP="00221107">
      <w:pPr>
        <w:pStyle w:val="Default"/>
        <w:rPr>
          <w:rFonts w:ascii="Arial" w:eastAsia="Arial" w:hAnsi="Arial" w:cs="Arial"/>
          <w:b/>
          <w:bCs/>
          <w:u w:val="single"/>
        </w:rPr>
      </w:pPr>
    </w:p>
    <w:p w14:paraId="69EF4CE5" w14:textId="3AA5FA12" w:rsidR="00221107" w:rsidRPr="006F0216" w:rsidRDefault="00221107" w:rsidP="00221107">
      <w:pPr>
        <w:pStyle w:val="Default"/>
        <w:rPr>
          <w:rFonts w:ascii="Arial" w:eastAsia="Arial" w:hAnsi="Arial" w:cs="Arial"/>
          <w:b/>
          <w:bCs/>
        </w:rPr>
      </w:pPr>
      <w:r w:rsidRPr="006F0216">
        <w:rPr>
          <w:rFonts w:ascii="Arial" w:eastAsia="Arial" w:hAnsi="Arial" w:cs="Arial"/>
          <w:b/>
          <w:bCs/>
        </w:rPr>
        <w:t xml:space="preserve">Proposed Programs and Subprograms </w:t>
      </w:r>
      <w:r w:rsidR="006F0216" w:rsidRPr="006F0216">
        <w:rPr>
          <w:rFonts w:ascii="Arial" w:eastAsia="Arial" w:hAnsi="Arial" w:cs="Arial"/>
          <w:b/>
          <w:bCs/>
        </w:rPr>
        <w:t>To Be Discontinued</w:t>
      </w:r>
    </w:p>
    <w:p w14:paraId="1C65D532" w14:textId="77777777" w:rsidR="00221107" w:rsidRPr="006F0216" w:rsidRDefault="00221107" w:rsidP="00221107">
      <w:pPr>
        <w:pStyle w:val="Default"/>
        <w:ind w:firstLine="720"/>
        <w:rPr>
          <w:rFonts w:ascii="Arial" w:eastAsia="Arial" w:hAnsi="Arial" w:cs="Arial"/>
          <w:b/>
          <w:bCs/>
        </w:rPr>
      </w:pPr>
    </w:p>
    <w:p w14:paraId="17B66E7C" w14:textId="487A04A1" w:rsidR="00221107" w:rsidRPr="006F0216" w:rsidRDefault="00221107" w:rsidP="005A1E6A">
      <w:pPr>
        <w:pStyle w:val="Default"/>
        <w:numPr>
          <w:ilvl w:val="0"/>
          <w:numId w:val="17"/>
        </w:numPr>
        <w:rPr>
          <w:rFonts w:ascii="Arial" w:eastAsia="Arial" w:hAnsi="Arial" w:cs="Arial"/>
          <w:b/>
          <w:bCs/>
          <w:u w:val="single"/>
        </w:rPr>
      </w:pPr>
      <w:r w:rsidRPr="006F0216">
        <w:rPr>
          <w:rFonts w:ascii="Arial" w:eastAsia="Arial" w:hAnsi="Arial" w:cs="Arial"/>
          <w:b/>
          <w:bCs/>
          <w:u w:val="single"/>
        </w:rPr>
        <w:t>Energy Upgrade California Program</w:t>
      </w:r>
      <w:r w:rsidR="005A1E6A">
        <w:rPr>
          <w:rFonts w:ascii="Arial" w:eastAsia="Arial" w:hAnsi="Arial" w:cs="Arial"/>
          <w:b/>
          <w:bCs/>
          <w:u w:val="single"/>
        </w:rPr>
        <w:t xml:space="preserve"> (SCE-13-SW-001D)</w:t>
      </w:r>
    </w:p>
    <w:p w14:paraId="4CB94E1B" w14:textId="77777777" w:rsidR="00221107" w:rsidRPr="006F0216" w:rsidRDefault="00221107" w:rsidP="00AA074A">
      <w:pPr>
        <w:rPr>
          <w:rFonts w:ascii="Arial" w:hAnsi="Arial" w:cs="Arial"/>
          <w:szCs w:val="24"/>
          <w:u w:val="single"/>
        </w:rPr>
      </w:pPr>
    </w:p>
    <w:p w14:paraId="7BF65173" w14:textId="4447B3EF" w:rsidR="00221107" w:rsidRDefault="00221107" w:rsidP="005A1E6A">
      <w:pPr>
        <w:ind w:left="360"/>
        <w:rPr>
          <w:rFonts w:ascii="Arial" w:eastAsia="Arial" w:hAnsi="Arial" w:cs="Arial"/>
        </w:rPr>
      </w:pPr>
      <w:r w:rsidRPr="7FBA53CB">
        <w:rPr>
          <w:rFonts w:ascii="Arial" w:eastAsia="Arial" w:hAnsi="Arial" w:cs="Arial"/>
        </w:rPr>
        <w:t>SCE has made multiple improvements since program inception to improve the Energy Upgrade California Home Upgrade (“Home Upgrade”) program</w:t>
      </w:r>
      <w:r>
        <w:rPr>
          <w:rFonts w:ascii="Arial" w:eastAsia="Arial" w:hAnsi="Arial" w:cs="Arial"/>
        </w:rPr>
        <w:t>; however,</w:t>
      </w:r>
      <w:r w:rsidRPr="7FBA53CB">
        <w:rPr>
          <w:rFonts w:ascii="Arial" w:eastAsia="Arial" w:hAnsi="Arial" w:cs="Arial"/>
        </w:rPr>
        <w:t xml:space="preserve"> the Home Upgrade program continues to have a low cost-effectiveness ratio</w:t>
      </w:r>
      <w:r>
        <w:rPr>
          <w:rFonts w:ascii="Arial" w:eastAsia="Arial" w:hAnsi="Arial" w:cs="Arial"/>
        </w:rPr>
        <w:t xml:space="preserve"> as shown in the table below.</w:t>
      </w:r>
      <w:r w:rsidRPr="7FBA53CB">
        <w:rPr>
          <w:rFonts w:ascii="Arial" w:eastAsia="Arial" w:hAnsi="Arial" w:cs="Arial"/>
        </w:rPr>
        <w:t xml:space="preserve">  </w:t>
      </w:r>
      <w:r>
        <w:rPr>
          <w:rFonts w:ascii="Arial" w:eastAsia="Arial" w:hAnsi="Arial" w:cs="Arial"/>
        </w:rPr>
        <w:t xml:space="preserve">SCE does not anticipate the TRC improving.  </w:t>
      </w:r>
      <w:r w:rsidRPr="7FBA53CB">
        <w:rPr>
          <w:rFonts w:ascii="Arial" w:eastAsia="Arial" w:hAnsi="Arial" w:cs="Arial"/>
        </w:rPr>
        <w:t>While there is no requirement for the Home Upgrade program</w:t>
      </w:r>
      <w:r w:rsidR="00DB5680">
        <w:rPr>
          <w:rFonts w:ascii="Arial" w:eastAsia="Arial" w:hAnsi="Arial" w:cs="Arial"/>
        </w:rPr>
        <w:t>,</w:t>
      </w:r>
      <w:r w:rsidRPr="7FBA53CB">
        <w:rPr>
          <w:rFonts w:ascii="Arial" w:eastAsia="Arial" w:hAnsi="Arial" w:cs="Arial"/>
        </w:rPr>
        <w:t xml:space="preserve"> or any individual program</w:t>
      </w:r>
      <w:r w:rsidR="00DB5680">
        <w:rPr>
          <w:rFonts w:ascii="Arial" w:eastAsia="Arial" w:hAnsi="Arial" w:cs="Arial"/>
        </w:rPr>
        <w:t>,</w:t>
      </w:r>
      <w:r w:rsidRPr="7FBA53CB">
        <w:rPr>
          <w:rFonts w:ascii="Arial" w:eastAsia="Arial" w:hAnsi="Arial" w:cs="Arial"/>
        </w:rPr>
        <w:t xml:space="preserve"> to be cost</w:t>
      </w:r>
      <w:r>
        <w:rPr>
          <w:rFonts w:ascii="Arial" w:eastAsia="Arial" w:hAnsi="Arial" w:cs="Arial"/>
        </w:rPr>
        <w:t>-</w:t>
      </w:r>
      <w:r w:rsidRPr="7FBA53CB">
        <w:rPr>
          <w:rFonts w:ascii="Arial" w:eastAsia="Arial" w:hAnsi="Arial" w:cs="Arial"/>
        </w:rPr>
        <w:t xml:space="preserve">effective, it is necessary to </w:t>
      </w:r>
      <w:r>
        <w:rPr>
          <w:rFonts w:ascii="Arial" w:eastAsia="Arial" w:hAnsi="Arial" w:cs="Arial"/>
        </w:rPr>
        <w:t>discontinue this program</w:t>
      </w:r>
      <w:r w:rsidR="00DB5680">
        <w:rPr>
          <w:rFonts w:ascii="Arial" w:eastAsia="Arial" w:hAnsi="Arial" w:cs="Arial"/>
        </w:rPr>
        <w:t xml:space="preserve"> </w:t>
      </w:r>
      <w:r w:rsidRPr="7FBA53CB">
        <w:rPr>
          <w:rFonts w:ascii="Arial" w:eastAsia="Arial" w:hAnsi="Arial" w:cs="Arial"/>
        </w:rPr>
        <w:t>in order to improve the cost</w:t>
      </w:r>
      <w:r>
        <w:rPr>
          <w:rFonts w:ascii="Arial" w:eastAsia="Arial" w:hAnsi="Arial" w:cs="Arial"/>
        </w:rPr>
        <w:t>-</w:t>
      </w:r>
      <w:r w:rsidRPr="7FBA53CB">
        <w:rPr>
          <w:rFonts w:ascii="Arial" w:eastAsia="Arial" w:hAnsi="Arial" w:cs="Arial"/>
        </w:rPr>
        <w:t>effectiveness of the overall portfolio.</w:t>
      </w:r>
    </w:p>
    <w:p w14:paraId="339F9B58" w14:textId="77777777" w:rsidR="00221107" w:rsidRDefault="00221107" w:rsidP="005A1E6A">
      <w:pPr>
        <w:ind w:left="360"/>
        <w:rPr>
          <w:rFonts w:ascii="Arial" w:eastAsia="Arial" w:hAnsi="Arial" w:cs="Arial"/>
        </w:rPr>
      </w:pPr>
    </w:p>
    <w:p w14:paraId="0D174E79" w14:textId="77777777" w:rsidR="00221107" w:rsidRPr="007F3ECC" w:rsidRDefault="00B37DF5" w:rsidP="005A1E6A">
      <w:pPr>
        <w:ind w:left="360"/>
        <w:rPr>
          <w:rFonts w:ascii="Arial" w:hAnsi="Arial" w:cs="Arial"/>
          <w:szCs w:val="24"/>
        </w:rPr>
      </w:pPr>
      <w:r>
        <w:pict w14:anchorId="0C6C6984">
          <v:shape id="_x0000_i1028" type="#_x0000_t75" style="width:467.7pt;height:50pt">
            <v:imagedata r:id="rId17" o:title=""/>
          </v:shape>
        </w:pict>
      </w:r>
    </w:p>
    <w:tbl>
      <w:tblPr>
        <w:tblW w:w="9221" w:type="dxa"/>
        <w:tblInd w:w="390" w:type="dxa"/>
        <w:tblLook w:val="04A0" w:firstRow="1" w:lastRow="0" w:firstColumn="1" w:lastColumn="0" w:noHBand="0" w:noVBand="1"/>
      </w:tblPr>
      <w:tblGrid>
        <w:gridCol w:w="9221"/>
      </w:tblGrid>
      <w:tr w:rsidR="00221107" w:rsidRPr="00E65459" w14:paraId="3536057E" w14:textId="77777777" w:rsidTr="008D4F1B">
        <w:trPr>
          <w:trHeight w:val="300"/>
        </w:trPr>
        <w:tc>
          <w:tcPr>
            <w:tcW w:w="9221" w:type="dxa"/>
            <w:tcBorders>
              <w:top w:val="nil"/>
              <w:left w:val="nil"/>
              <w:bottom w:val="nil"/>
              <w:right w:val="nil"/>
            </w:tcBorders>
            <w:shd w:val="clear" w:color="auto" w:fill="auto"/>
            <w:noWrap/>
            <w:vAlign w:val="bottom"/>
            <w:hideMark/>
          </w:tcPr>
          <w:p w14:paraId="522A20B8" w14:textId="77777777" w:rsidR="00221107" w:rsidRPr="004F59AE" w:rsidRDefault="00221107" w:rsidP="00AA074A">
            <w:pPr>
              <w:overflowPunct/>
              <w:autoSpaceDE/>
              <w:autoSpaceDN/>
              <w:adjustRightInd/>
              <w:textAlignment w:val="auto"/>
              <w:rPr>
                <w:rFonts w:ascii="Calibri" w:eastAsia="Calibri" w:hAnsi="Calibri" w:cs="Calibri"/>
                <w:color w:val="000000"/>
                <w:sz w:val="20"/>
              </w:rPr>
            </w:pPr>
            <w:r w:rsidRPr="641C5C5C">
              <w:rPr>
                <w:rFonts w:ascii="Calibri" w:eastAsia="Calibri" w:hAnsi="Calibri" w:cs="Calibri"/>
                <w:color w:val="000000"/>
                <w:sz w:val="20"/>
              </w:rPr>
              <w:t>[1] TRC calculation for 2015-2017 includes 5% Market Effects and was run using the 2013 set of avoided costs.</w:t>
            </w:r>
          </w:p>
        </w:tc>
      </w:tr>
      <w:tr w:rsidR="00221107" w:rsidRPr="00E65459" w14:paraId="0BCAFFC7" w14:textId="77777777" w:rsidTr="008D4F1B">
        <w:trPr>
          <w:trHeight w:val="300"/>
        </w:trPr>
        <w:tc>
          <w:tcPr>
            <w:tcW w:w="9221" w:type="dxa"/>
            <w:tcBorders>
              <w:top w:val="nil"/>
              <w:left w:val="nil"/>
              <w:bottom w:val="nil"/>
              <w:right w:val="nil"/>
            </w:tcBorders>
            <w:shd w:val="clear" w:color="auto" w:fill="auto"/>
            <w:noWrap/>
            <w:vAlign w:val="bottom"/>
            <w:hideMark/>
          </w:tcPr>
          <w:p w14:paraId="747D73A9" w14:textId="77777777" w:rsidR="00221107" w:rsidRPr="007C665B" w:rsidRDefault="00221107" w:rsidP="00AA074A">
            <w:pPr>
              <w:overflowPunct/>
              <w:autoSpaceDE/>
              <w:autoSpaceDN/>
              <w:adjustRightInd/>
              <w:textAlignment w:val="auto"/>
              <w:rPr>
                <w:rFonts w:ascii="Calibri" w:eastAsia="Calibri" w:hAnsi="Calibri" w:cs="Calibri"/>
                <w:color w:val="000000"/>
                <w:sz w:val="20"/>
              </w:rPr>
            </w:pPr>
            <w:r w:rsidRPr="641C5C5C">
              <w:rPr>
                <w:rFonts w:ascii="Calibri" w:eastAsia="Calibri" w:hAnsi="Calibri" w:cs="Calibri"/>
                <w:color w:val="000000"/>
                <w:sz w:val="20"/>
              </w:rPr>
              <w:t>[2] TRC calculation for 2018 uses 2017 actuals, rerun using 2018 avoided costs, with 5% market effects.</w:t>
            </w:r>
          </w:p>
        </w:tc>
      </w:tr>
    </w:tbl>
    <w:p w14:paraId="05C31FA2" w14:textId="77777777" w:rsidR="00221107" w:rsidRDefault="00221107" w:rsidP="00AA074A">
      <w:pPr>
        <w:pStyle w:val="Default"/>
        <w:rPr>
          <w:rFonts w:ascii="Arial" w:hAnsi="Arial" w:cs="Arial"/>
          <w:color w:val="2E74B5"/>
        </w:rPr>
      </w:pPr>
    </w:p>
    <w:p w14:paraId="29A12F05" w14:textId="77777777" w:rsidR="00221107" w:rsidRPr="007F3ECC" w:rsidRDefault="00221107" w:rsidP="00221107">
      <w:pPr>
        <w:pStyle w:val="Default"/>
        <w:ind w:left="720"/>
        <w:rPr>
          <w:rFonts w:ascii="Arial" w:hAnsi="Arial" w:cs="Arial"/>
          <w:color w:val="2E74B5"/>
        </w:rPr>
      </w:pPr>
    </w:p>
    <w:p w14:paraId="1083751B" w14:textId="41FEBF94" w:rsidR="006F0216" w:rsidRPr="006F0216" w:rsidRDefault="006F0216" w:rsidP="004A2E57">
      <w:pPr>
        <w:pStyle w:val="Default"/>
        <w:numPr>
          <w:ilvl w:val="0"/>
          <w:numId w:val="17"/>
        </w:numPr>
        <w:rPr>
          <w:rFonts w:ascii="Arial" w:eastAsia="Arial" w:hAnsi="Arial" w:cs="Arial"/>
          <w:b/>
          <w:bCs/>
          <w:color w:val="auto"/>
          <w:u w:val="single"/>
        </w:rPr>
      </w:pPr>
      <w:r w:rsidRPr="006F0216">
        <w:rPr>
          <w:rFonts w:ascii="Arial" w:eastAsia="Arial" w:hAnsi="Arial" w:cs="Arial"/>
          <w:b/>
          <w:bCs/>
          <w:color w:val="auto"/>
          <w:u w:val="single"/>
        </w:rPr>
        <w:t>Residential HVAC</w:t>
      </w:r>
      <w:r w:rsidR="005A1E6A">
        <w:rPr>
          <w:rFonts w:ascii="Arial" w:eastAsia="Arial" w:hAnsi="Arial" w:cs="Arial"/>
          <w:b/>
          <w:bCs/>
          <w:color w:val="auto"/>
          <w:u w:val="single"/>
        </w:rPr>
        <w:t xml:space="preserve"> (SCE-13-SW-001E)</w:t>
      </w:r>
    </w:p>
    <w:p w14:paraId="3CAC2F0A" w14:textId="77777777" w:rsidR="006F0216" w:rsidRDefault="006F0216" w:rsidP="00AA074A">
      <w:pPr>
        <w:pStyle w:val="Default"/>
        <w:rPr>
          <w:rFonts w:ascii="Arial" w:eastAsia="Arial" w:hAnsi="Arial" w:cs="Arial"/>
          <w:bCs/>
          <w:color w:val="auto"/>
        </w:rPr>
      </w:pPr>
    </w:p>
    <w:p w14:paraId="49300B0D" w14:textId="535D1D81" w:rsidR="006F0216" w:rsidRPr="006F0216" w:rsidRDefault="006F0216" w:rsidP="004A2E57">
      <w:pPr>
        <w:pStyle w:val="Default"/>
        <w:ind w:left="360"/>
        <w:rPr>
          <w:rFonts w:ascii="Arial" w:eastAsia="Arial" w:hAnsi="Arial" w:cs="Arial"/>
          <w:color w:val="auto"/>
        </w:rPr>
      </w:pPr>
      <w:r w:rsidRPr="69434D37">
        <w:rPr>
          <w:rFonts w:ascii="Arial" w:eastAsia="Arial" w:hAnsi="Arial" w:cs="Arial"/>
          <w:color w:val="auto"/>
        </w:rPr>
        <w:t>[Text to be developed]</w:t>
      </w:r>
    </w:p>
    <w:p w14:paraId="3C2A98AD" w14:textId="77777777" w:rsidR="006F0216" w:rsidRDefault="006F0216" w:rsidP="00AA074A">
      <w:pPr>
        <w:pStyle w:val="Default"/>
        <w:rPr>
          <w:rFonts w:ascii="Arial" w:eastAsia="Arial" w:hAnsi="Arial" w:cs="Arial"/>
          <w:b/>
          <w:bCs/>
          <w:color w:val="auto"/>
        </w:rPr>
      </w:pPr>
    </w:p>
    <w:p w14:paraId="69F329F3" w14:textId="6FCC16D6" w:rsidR="006F0216" w:rsidRPr="00C93F55" w:rsidRDefault="006F0216" w:rsidP="004A2E57">
      <w:pPr>
        <w:pStyle w:val="Default"/>
        <w:numPr>
          <w:ilvl w:val="0"/>
          <w:numId w:val="17"/>
        </w:numPr>
        <w:rPr>
          <w:rFonts w:ascii="Arial" w:eastAsia="Arial" w:hAnsi="Arial" w:cs="Arial"/>
          <w:b/>
          <w:bCs/>
          <w:u w:val="single"/>
        </w:rPr>
      </w:pPr>
      <w:r>
        <w:rPr>
          <w:rFonts w:ascii="Arial" w:eastAsia="Arial" w:hAnsi="Arial" w:cs="Arial"/>
          <w:b/>
          <w:bCs/>
          <w:u w:val="single"/>
        </w:rPr>
        <w:t>IDEEA 365</w:t>
      </w:r>
      <w:r w:rsidR="005A1E6A">
        <w:rPr>
          <w:rFonts w:ascii="Arial" w:eastAsia="Arial" w:hAnsi="Arial" w:cs="Arial"/>
          <w:b/>
          <w:bCs/>
          <w:u w:val="single"/>
        </w:rPr>
        <w:t xml:space="preserve"> (SCE-13-TP-020)</w:t>
      </w:r>
    </w:p>
    <w:p w14:paraId="309D34BB" w14:textId="77777777" w:rsidR="006F0216" w:rsidRDefault="006F0216" w:rsidP="006F0216">
      <w:pPr>
        <w:pStyle w:val="Default"/>
        <w:rPr>
          <w:rFonts w:ascii="Arial" w:hAnsi="Arial" w:cs="Arial"/>
        </w:rPr>
      </w:pPr>
      <w:r>
        <w:rPr>
          <w:rFonts w:ascii="Arial" w:hAnsi="Arial" w:cs="Arial"/>
        </w:rPr>
        <w:tab/>
      </w:r>
    </w:p>
    <w:p w14:paraId="19FCC187" w14:textId="77777777" w:rsidR="006F0216" w:rsidRDefault="006F0216" w:rsidP="004A2E57">
      <w:pPr>
        <w:pStyle w:val="Default"/>
        <w:ind w:left="360"/>
        <w:rPr>
          <w:rFonts w:ascii="Arial" w:eastAsia="Arial" w:hAnsi="Arial" w:cs="Arial"/>
        </w:rPr>
      </w:pPr>
      <w:r w:rsidRPr="00BB4B17">
        <w:rPr>
          <w:rFonts w:ascii="Arial" w:eastAsia="Arial" w:hAnsi="Arial" w:cs="Arial"/>
        </w:rPr>
        <w:t>The intent of the statewide IDEEA365 Program is to find, fund, and foster the best</w:t>
      </w:r>
      <w:r>
        <w:rPr>
          <w:rFonts w:ascii="Arial" w:eastAsia="Arial" w:hAnsi="Arial" w:cs="Arial"/>
        </w:rPr>
        <w:t xml:space="preserve"> </w:t>
      </w:r>
      <w:r w:rsidRPr="00BB4B17">
        <w:rPr>
          <w:rFonts w:ascii="Arial" w:eastAsia="Arial" w:hAnsi="Arial" w:cs="Arial"/>
        </w:rPr>
        <w:t>energy efficiency (EE) or integrated demand side management (IDSM) delivery</w:t>
      </w:r>
      <w:r>
        <w:rPr>
          <w:rFonts w:ascii="Arial" w:eastAsia="Arial" w:hAnsi="Arial" w:cs="Arial"/>
        </w:rPr>
        <w:t xml:space="preserve"> </w:t>
      </w:r>
      <w:r w:rsidRPr="00BB4B17">
        <w:rPr>
          <w:rFonts w:ascii="Arial" w:eastAsia="Arial" w:hAnsi="Arial" w:cs="Arial"/>
        </w:rPr>
        <w:t>approaches available in the marketplace and discovered through outreach events</w:t>
      </w:r>
      <w:r>
        <w:rPr>
          <w:rFonts w:ascii="Arial" w:eastAsia="Arial" w:hAnsi="Arial" w:cs="Arial"/>
        </w:rPr>
        <w:t>.  This program is no longer needed because SCE will be conducting open solicitations for innovative and cost-effective third party proposed, designed, and implemented programs as directed in D.18-01-004.</w:t>
      </w:r>
    </w:p>
    <w:p w14:paraId="7CC10F27" w14:textId="77777777" w:rsidR="006F0216" w:rsidRDefault="006F0216" w:rsidP="00AA074A">
      <w:pPr>
        <w:pStyle w:val="Default"/>
        <w:rPr>
          <w:rFonts w:ascii="Arial" w:eastAsia="Arial" w:hAnsi="Arial" w:cs="Arial"/>
          <w:b/>
          <w:bCs/>
          <w:u w:val="single"/>
        </w:rPr>
      </w:pPr>
    </w:p>
    <w:p w14:paraId="3404A295" w14:textId="0D2666AB" w:rsidR="006F0216" w:rsidRPr="0090457C" w:rsidRDefault="006F0216" w:rsidP="004A2E57">
      <w:pPr>
        <w:pStyle w:val="Default"/>
        <w:numPr>
          <w:ilvl w:val="0"/>
          <w:numId w:val="17"/>
        </w:numPr>
        <w:rPr>
          <w:rFonts w:ascii="Arial" w:eastAsia="Arial" w:hAnsi="Arial" w:cs="Arial"/>
          <w:b/>
          <w:bCs/>
          <w:u w:val="single"/>
        </w:rPr>
      </w:pPr>
      <w:r w:rsidRPr="7FBA53CB">
        <w:rPr>
          <w:rFonts w:ascii="Arial" w:eastAsia="Arial" w:hAnsi="Arial" w:cs="Arial"/>
          <w:b/>
          <w:bCs/>
          <w:u w:val="single"/>
        </w:rPr>
        <w:t>Cool Planet</w:t>
      </w:r>
      <w:r>
        <w:rPr>
          <w:rFonts w:ascii="Arial" w:eastAsia="Arial" w:hAnsi="Arial" w:cs="Arial"/>
          <w:b/>
          <w:bCs/>
          <w:u w:val="single"/>
        </w:rPr>
        <w:t xml:space="preserve"> Program</w:t>
      </w:r>
      <w:r w:rsidR="005A1E6A">
        <w:rPr>
          <w:rFonts w:ascii="Arial" w:eastAsia="Arial" w:hAnsi="Arial" w:cs="Arial"/>
          <w:b/>
          <w:bCs/>
          <w:u w:val="single"/>
        </w:rPr>
        <w:t xml:space="preserve"> (SCE-13-TP-002)</w:t>
      </w:r>
    </w:p>
    <w:p w14:paraId="30DDF0AB" w14:textId="77777777" w:rsidR="006F0216" w:rsidRPr="007F3ECC" w:rsidRDefault="006F0216" w:rsidP="006F0216">
      <w:pPr>
        <w:rPr>
          <w:rFonts w:ascii="Arial" w:hAnsi="Arial" w:cs="Arial"/>
          <w:b/>
        </w:rPr>
      </w:pPr>
    </w:p>
    <w:p w14:paraId="4D668EFC" w14:textId="77777777" w:rsidR="006F0216" w:rsidRDefault="006F0216" w:rsidP="004A2E57">
      <w:pPr>
        <w:ind w:left="360"/>
        <w:rPr>
          <w:rFonts w:ascii="Arial" w:eastAsia="Arial" w:hAnsi="Arial" w:cs="Arial"/>
        </w:rPr>
      </w:pPr>
      <w:r w:rsidRPr="7FBA53CB">
        <w:rPr>
          <w:rFonts w:ascii="Arial" w:eastAsia="Arial" w:hAnsi="Arial" w:cs="Arial"/>
        </w:rPr>
        <w:t>The 2013-2016 Cool Planet Program is a non-resource program that provides utility business customers with education and technical training to measure and manage their energy use and greenhouse gas</w:t>
      </w:r>
      <w:r>
        <w:rPr>
          <w:rFonts w:ascii="Arial" w:eastAsia="Arial" w:hAnsi="Arial" w:cs="Arial"/>
        </w:rPr>
        <w:t xml:space="preserve"> (GHG)</w:t>
      </w:r>
      <w:r w:rsidRPr="7FBA53CB">
        <w:rPr>
          <w:rFonts w:ascii="Arial" w:eastAsia="Arial" w:hAnsi="Arial" w:cs="Arial"/>
        </w:rPr>
        <w:t xml:space="preserve"> emissions. Customers earn public recognition and awards of 1</w:t>
      </w:r>
      <w:r>
        <w:rPr>
          <w:rFonts w:ascii="Arial" w:eastAsia="Arial" w:hAnsi="Arial" w:cs="Arial"/>
        </w:rPr>
        <w:t>-</w:t>
      </w:r>
      <w:r w:rsidRPr="7FBA53CB">
        <w:rPr>
          <w:rFonts w:ascii="Arial" w:eastAsia="Arial" w:hAnsi="Arial" w:cs="Arial"/>
        </w:rPr>
        <w:t>, 2</w:t>
      </w:r>
      <w:r>
        <w:rPr>
          <w:rFonts w:ascii="Arial" w:eastAsia="Arial" w:hAnsi="Arial" w:cs="Arial"/>
        </w:rPr>
        <w:t>-</w:t>
      </w:r>
      <w:r w:rsidRPr="7FBA53CB">
        <w:rPr>
          <w:rFonts w:ascii="Arial" w:eastAsia="Arial" w:hAnsi="Arial" w:cs="Arial"/>
        </w:rPr>
        <w:t xml:space="preserve">, or 3-year memberships with The Climate Registry based on meeting kWh energy savings or demand response program participation thresholds. </w:t>
      </w:r>
      <w:r>
        <w:rPr>
          <w:rFonts w:ascii="Arial" w:eastAsia="Arial" w:hAnsi="Arial" w:cs="Arial"/>
        </w:rPr>
        <w:t xml:space="preserve">The </w:t>
      </w:r>
      <w:r w:rsidRPr="7FBA53CB">
        <w:rPr>
          <w:rFonts w:ascii="Arial" w:eastAsia="Arial" w:hAnsi="Arial" w:cs="Arial"/>
        </w:rPr>
        <w:t xml:space="preserve">Cool Planet </w:t>
      </w:r>
      <w:r>
        <w:rPr>
          <w:rFonts w:ascii="Arial" w:eastAsia="Arial" w:hAnsi="Arial" w:cs="Arial"/>
        </w:rPr>
        <w:t xml:space="preserve">Program </w:t>
      </w:r>
      <w:r w:rsidRPr="7FBA53CB">
        <w:rPr>
          <w:rFonts w:ascii="Arial" w:eastAsia="Arial" w:hAnsi="Arial" w:cs="Arial"/>
        </w:rPr>
        <w:t xml:space="preserve">also includes a water-energy GHG education pilot program that offers a clear means to quantify, compare, and analyze the GHG </w:t>
      </w:r>
      <w:r w:rsidRPr="7FBA53CB">
        <w:rPr>
          <w:rFonts w:ascii="Arial" w:eastAsia="Arial" w:hAnsi="Arial" w:cs="Arial"/>
        </w:rPr>
        <w:lastRenderedPageBreak/>
        <w:t>emissions embedded in delivered water using a consistent and transparent methodology.</w:t>
      </w:r>
    </w:p>
    <w:p w14:paraId="72884298" w14:textId="77777777" w:rsidR="006F0216" w:rsidRDefault="006F0216" w:rsidP="004A2E57">
      <w:pPr>
        <w:ind w:left="360"/>
        <w:rPr>
          <w:rFonts w:ascii="Arial" w:eastAsia="Arial" w:hAnsi="Arial" w:cs="Arial"/>
        </w:rPr>
      </w:pPr>
    </w:p>
    <w:p w14:paraId="706FB462" w14:textId="77777777" w:rsidR="006F0216" w:rsidRPr="007F3ECC" w:rsidRDefault="006F0216" w:rsidP="004A2E57">
      <w:pPr>
        <w:ind w:left="360"/>
        <w:rPr>
          <w:rFonts w:ascii="Arial" w:eastAsia="Arial" w:hAnsi="Arial" w:cs="Arial"/>
        </w:rPr>
      </w:pPr>
      <w:r>
        <w:rPr>
          <w:rFonts w:ascii="Arial" w:eastAsia="Arial" w:hAnsi="Arial" w:cs="Arial"/>
        </w:rPr>
        <w:t>Due to the lack of success of the program</w:t>
      </w:r>
      <w:r w:rsidRPr="1EF028A6">
        <w:rPr>
          <w:rFonts w:ascii="Arial" w:eastAsia="Arial" w:hAnsi="Arial" w:cs="Arial"/>
        </w:rPr>
        <w:t xml:space="preserve"> </w:t>
      </w:r>
      <w:r>
        <w:rPr>
          <w:rFonts w:ascii="Arial" w:eastAsia="Arial" w:hAnsi="Arial" w:cs="Arial"/>
        </w:rPr>
        <w:t>a</w:t>
      </w:r>
      <w:r w:rsidRPr="1EF028A6">
        <w:rPr>
          <w:rFonts w:ascii="Arial" w:eastAsia="Arial" w:hAnsi="Arial" w:cs="Arial"/>
        </w:rPr>
        <w:t xml:space="preserve">nd </w:t>
      </w:r>
      <w:r>
        <w:rPr>
          <w:rFonts w:ascii="Arial" w:eastAsia="Arial" w:hAnsi="Arial" w:cs="Arial"/>
        </w:rPr>
        <w:t xml:space="preserve">to </w:t>
      </w:r>
      <w:r w:rsidRPr="1EF028A6">
        <w:rPr>
          <w:rFonts w:ascii="Arial" w:eastAsia="Arial" w:hAnsi="Arial" w:cs="Arial"/>
        </w:rPr>
        <w:t xml:space="preserve">improve the cost-effectiveness of the overall portfolio, SCE </w:t>
      </w:r>
      <w:r>
        <w:rPr>
          <w:rFonts w:ascii="Arial" w:eastAsia="Arial" w:hAnsi="Arial" w:cs="Arial"/>
        </w:rPr>
        <w:t>will</w:t>
      </w:r>
      <w:r w:rsidRPr="1EF028A6">
        <w:rPr>
          <w:rFonts w:ascii="Arial" w:eastAsia="Arial" w:hAnsi="Arial" w:cs="Arial"/>
        </w:rPr>
        <w:t xml:space="preserve"> discontinue the Cool Planet Program. </w:t>
      </w:r>
      <w:r>
        <w:rPr>
          <w:rFonts w:ascii="Arial" w:eastAsia="Arial" w:hAnsi="Arial" w:cs="Arial"/>
        </w:rPr>
        <w:t>As an added benefit, t</w:t>
      </w:r>
      <w:r w:rsidRPr="1EF028A6">
        <w:rPr>
          <w:rFonts w:ascii="Arial" w:eastAsia="Arial" w:hAnsi="Arial" w:cs="Arial"/>
        </w:rPr>
        <w:t xml:space="preserve">his effort will also allow for alignment to SCE’s Public Sector design and open up new opportunities for both water-energy initiatives and education. </w:t>
      </w:r>
    </w:p>
    <w:p w14:paraId="0867F47D" w14:textId="77777777" w:rsidR="006F0216" w:rsidRDefault="006F0216" w:rsidP="006F0216">
      <w:pPr>
        <w:pStyle w:val="Default"/>
        <w:ind w:left="720" w:firstLine="720"/>
        <w:rPr>
          <w:rFonts w:ascii="Arial" w:hAnsi="Arial" w:cs="Arial"/>
          <w:b/>
          <w:u w:val="single"/>
        </w:rPr>
      </w:pPr>
    </w:p>
    <w:p w14:paraId="171B0DA5" w14:textId="49952C5C" w:rsidR="006F0216" w:rsidRPr="0090457C" w:rsidRDefault="006F0216" w:rsidP="004A2E57">
      <w:pPr>
        <w:pStyle w:val="Default"/>
        <w:numPr>
          <w:ilvl w:val="0"/>
          <w:numId w:val="17"/>
        </w:numPr>
        <w:rPr>
          <w:rFonts w:ascii="Arial" w:eastAsia="Arial" w:hAnsi="Arial" w:cs="Arial"/>
          <w:b/>
          <w:bCs/>
          <w:u w:val="single"/>
        </w:rPr>
      </w:pPr>
      <w:r w:rsidRPr="7FBA53CB">
        <w:rPr>
          <w:rFonts w:ascii="Arial" w:eastAsia="Arial" w:hAnsi="Arial" w:cs="Arial"/>
          <w:b/>
          <w:bCs/>
          <w:u w:val="single"/>
        </w:rPr>
        <w:t>Cool Schools</w:t>
      </w:r>
      <w:r>
        <w:rPr>
          <w:rFonts w:ascii="Arial" w:eastAsia="Arial" w:hAnsi="Arial" w:cs="Arial"/>
          <w:b/>
          <w:bCs/>
          <w:u w:val="single"/>
        </w:rPr>
        <w:t xml:space="preserve"> Program</w:t>
      </w:r>
      <w:r w:rsidR="005A1E6A">
        <w:rPr>
          <w:rFonts w:ascii="Arial" w:eastAsia="Arial" w:hAnsi="Arial" w:cs="Arial"/>
          <w:b/>
          <w:bCs/>
          <w:u w:val="single"/>
        </w:rPr>
        <w:t xml:space="preserve"> (SCE-13-TP-013)</w:t>
      </w:r>
    </w:p>
    <w:p w14:paraId="03E72932" w14:textId="77777777" w:rsidR="006F0216" w:rsidRPr="007F3ECC" w:rsidRDefault="006F0216" w:rsidP="006F0216">
      <w:pPr>
        <w:pStyle w:val="Default"/>
        <w:rPr>
          <w:rFonts w:ascii="Arial" w:hAnsi="Arial" w:cs="Arial"/>
          <w:b/>
          <w:u w:val="single"/>
        </w:rPr>
      </w:pPr>
    </w:p>
    <w:p w14:paraId="562403C2" w14:textId="77777777" w:rsidR="006F0216" w:rsidRDefault="006F0216" w:rsidP="004A2E57">
      <w:pPr>
        <w:pStyle w:val="Default"/>
        <w:ind w:left="360"/>
        <w:rPr>
          <w:rFonts w:ascii="Arial" w:eastAsia="Arial" w:hAnsi="Arial" w:cs="Arial"/>
        </w:rPr>
      </w:pPr>
      <w:r w:rsidRPr="7FBA53CB">
        <w:rPr>
          <w:rFonts w:ascii="Arial" w:eastAsia="Arial" w:hAnsi="Arial" w:cs="Arial"/>
        </w:rPr>
        <w:t>The Cool Schools program assist</w:t>
      </w:r>
      <w:r>
        <w:rPr>
          <w:rFonts w:ascii="Arial" w:eastAsia="Arial" w:hAnsi="Arial" w:cs="Arial"/>
        </w:rPr>
        <w:t>s</w:t>
      </w:r>
      <w:r w:rsidRPr="7FBA53CB">
        <w:rPr>
          <w:rFonts w:ascii="Arial" w:eastAsia="Arial" w:hAnsi="Arial" w:cs="Arial"/>
        </w:rPr>
        <w:t xml:space="preserve"> p</w:t>
      </w:r>
      <w:r>
        <w:rPr>
          <w:rFonts w:ascii="Arial" w:eastAsia="Arial" w:hAnsi="Arial" w:cs="Arial"/>
        </w:rPr>
        <w:t>ublic and private schools with</w:t>
      </w:r>
      <w:r w:rsidRPr="7FBA53CB">
        <w:rPr>
          <w:rFonts w:ascii="Arial" w:eastAsia="Arial" w:hAnsi="Arial" w:cs="Arial"/>
        </w:rPr>
        <w:t xml:space="preserve"> </w:t>
      </w:r>
      <w:r>
        <w:rPr>
          <w:rFonts w:ascii="Arial" w:eastAsia="Arial" w:hAnsi="Arial" w:cs="Arial"/>
        </w:rPr>
        <w:t>energy efficiency</w:t>
      </w:r>
      <w:r w:rsidRPr="7FBA53CB">
        <w:rPr>
          <w:rFonts w:ascii="Arial" w:eastAsia="Arial" w:hAnsi="Arial" w:cs="Arial"/>
        </w:rPr>
        <w:t xml:space="preserve"> and conservation.  Cool Schools utilizes the knowledge and communication channels of trusted </w:t>
      </w:r>
      <w:r>
        <w:rPr>
          <w:rFonts w:ascii="Arial" w:eastAsia="Arial" w:hAnsi="Arial" w:cs="Arial"/>
        </w:rPr>
        <w:t>institutions a</w:t>
      </w:r>
      <w:r w:rsidRPr="7FBA53CB">
        <w:rPr>
          <w:rFonts w:ascii="Arial" w:eastAsia="Arial" w:hAnsi="Arial" w:cs="Arial"/>
        </w:rPr>
        <w:t xml:space="preserve">nd </w:t>
      </w:r>
      <w:r>
        <w:rPr>
          <w:rFonts w:ascii="Arial" w:eastAsia="Arial" w:hAnsi="Arial" w:cs="Arial"/>
        </w:rPr>
        <w:t xml:space="preserve">provides </w:t>
      </w:r>
      <w:r w:rsidRPr="7FBA53CB">
        <w:rPr>
          <w:rFonts w:ascii="Arial" w:eastAsia="Arial" w:hAnsi="Arial" w:cs="Arial"/>
        </w:rPr>
        <w:t xml:space="preserve">financial assistance to accelerate the replacement of existing equipment </w:t>
      </w:r>
      <w:r>
        <w:rPr>
          <w:rFonts w:ascii="Arial" w:eastAsia="Arial" w:hAnsi="Arial" w:cs="Arial"/>
        </w:rPr>
        <w:t>near</w:t>
      </w:r>
      <w:r w:rsidRPr="7FBA53CB">
        <w:rPr>
          <w:rFonts w:ascii="Arial" w:eastAsia="Arial" w:hAnsi="Arial" w:cs="Arial"/>
        </w:rPr>
        <w:t xml:space="preserve"> the end of its useful life with new, more energy-efficient equipment. </w:t>
      </w:r>
    </w:p>
    <w:p w14:paraId="3EB103D7" w14:textId="77777777" w:rsidR="006F0216" w:rsidRDefault="006F0216" w:rsidP="004A2E57">
      <w:pPr>
        <w:pStyle w:val="Default"/>
        <w:ind w:left="360"/>
        <w:rPr>
          <w:rFonts w:ascii="Arial" w:eastAsia="Arial" w:hAnsi="Arial" w:cs="Arial"/>
        </w:rPr>
      </w:pPr>
    </w:p>
    <w:p w14:paraId="27ED2B32" w14:textId="77777777" w:rsidR="006F0216" w:rsidRDefault="006F0216" w:rsidP="004A2E57">
      <w:pPr>
        <w:pStyle w:val="Default"/>
        <w:ind w:left="360"/>
        <w:rPr>
          <w:rFonts w:ascii="Arial" w:eastAsia="Arial" w:hAnsi="Arial" w:cs="Arial"/>
        </w:rPr>
      </w:pPr>
      <w:r w:rsidRPr="7FBA53CB">
        <w:rPr>
          <w:rFonts w:ascii="Arial" w:eastAsia="Arial" w:hAnsi="Arial" w:cs="Arial"/>
        </w:rPr>
        <w:t xml:space="preserve">Cool Schools has </w:t>
      </w:r>
      <w:r>
        <w:rPr>
          <w:rFonts w:ascii="Arial" w:eastAsia="Arial" w:hAnsi="Arial" w:cs="Arial"/>
        </w:rPr>
        <w:t>been unable to compete</w:t>
      </w:r>
      <w:r w:rsidRPr="7FBA53CB">
        <w:rPr>
          <w:rFonts w:ascii="Arial" w:eastAsia="Arial" w:hAnsi="Arial" w:cs="Arial"/>
        </w:rPr>
        <w:t xml:space="preserve"> with turnkey programs that retrofit many lighting measures</w:t>
      </w:r>
      <w:r>
        <w:rPr>
          <w:rFonts w:ascii="Arial" w:eastAsia="Arial" w:hAnsi="Arial" w:cs="Arial"/>
        </w:rPr>
        <w:t xml:space="preserve"> because </w:t>
      </w:r>
      <w:r w:rsidRPr="7FBA53CB">
        <w:rPr>
          <w:rFonts w:ascii="Arial" w:eastAsia="Arial" w:hAnsi="Arial" w:cs="Arial"/>
        </w:rPr>
        <w:t>the</w:t>
      </w:r>
      <w:r>
        <w:rPr>
          <w:rFonts w:ascii="Arial" w:eastAsia="Arial" w:hAnsi="Arial" w:cs="Arial"/>
        </w:rPr>
        <w:t xml:space="preserve"> Cool Schools</w:t>
      </w:r>
      <w:r w:rsidRPr="7FBA53CB">
        <w:rPr>
          <w:rFonts w:ascii="Arial" w:eastAsia="Arial" w:hAnsi="Arial" w:cs="Arial"/>
        </w:rPr>
        <w:t xml:space="preserve"> payback on HVAC or ancillary measures </w:t>
      </w:r>
      <w:r>
        <w:rPr>
          <w:rFonts w:ascii="Arial" w:eastAsia="Arial" w:hAnsi="Arial" w:cs="Arial"/>
        </w:rPr>
        <w:t xml:space="preserve">is </w:t>
      </w:r>
      <w:r w:rsidRPr="7FBA53CB">
        <w:rPr>
          <w:rFonts w:ascii="Arial" w:eastAsia="Arial" w:hAnsi="Arial" w:cs="Arial"/>
        </w:rPr>
        <w:t xml:space="preserve">much less attractive to customers. </w:t>
      </w:r>
      <w:r>
        <w:rPr>
          <w:rFonts w:ascii="Arial" w:eastAsia="Arial" w:hAnsi="Arial" w:cs="Arial"/>
        </w:rPr>
        <w:t xml:space="preserve">Furthermore, reduction in </w:t>
      </w:r>
      <w:r w:rsidRPr="7FBA53CB">
        <w:rPr>
          <w:rFonts w:ascii="Arial" w:eastAsia="Arial" w:hAnsi="Arial" w:cs="Arial"/>
        </w:rPr>
        <w:t xml:space="preserve">Proposition 39 funding has </w:t>
      </w:r>
      <w:r>
        <w:rPr>
          <w:rFonts w:ascii="Arial" w:eastAsia="Arial" w:hAnsi="Arial" w:cs="Arial"/>
        </w:rPr>
        <w:t>caused</w:t>
      </w:r>
      <w:r w:rsidRPr="7FBA53CB">
        <w:rPr>
          <w:rFonts w:ascii="Arial" w:eastAsia="Arial" w:hAnsi="Arial" w:cs="Arial"/>
        </w:rPr>
        <w:t xml:space="preserve"> many school customers to only bring their buildings up to code instead of achieving savings above code. In order to simplify and </w:t>
      </w:r>
      <w:r>
        <w:rPr>
          <w:rFonts w:ascii="Arial" w:eastAsia="Arial" w:hAnsi="Arial" w:cs="Arial"/>
        </w:rPr>
        <w:t>maintain</w:t>
      </w:r>
      <w:r w:rsidRPr="7FBA53CB">
        <w:rPr>
          <w:rFonts w:ascii="Arial" w:eastAsia="Arial" w:hAnsi="Arial" w:cs="Arial"/>
        </w:rPr>
        <w:t xml:space="preserve"> the cost-effectiveness of the overall portfo</w:t>
      </w:r>
      <w:r>
        <w:rPr>
          <w:rFonts w:ascii="Arial" w:eastAsia="Arial" w:hAnsi="Arial" w:cs="Arial"/>
        </w:rPr>
        <w:t>lio, SCE proposes to discontinue</w:t>
      </w:r>
      <w:r w:rsidRPr="7FBA53CB">
        <w:rPr>
          <w:rFonts w:ascii="Arial" w:eastAsia="Arial" w:hAnsi="Arial" w:cs="Arial"/>
        </w:rPr>
        <w:t xml:space="preserve"> the</w:t>
      </w:r>
      <w:r>
        <w:rPr>
          <w:rFonts w:ascii="Arial" w:eastAsia="Arial" w:hAnsi="Arial" w:cs="Arial"/>
        </w:rPr>
        <w:t xml:space="preserve"> Cool Schools</w:t>
      </w:r>
      <w:r w:rsidRPr="7FBA53CB">
        <w:rPr>
          <w:rFonts w:ascii="Arial" w:eastAsia="Arial" w:hAnsi="Arial" w:cs="Arial"/>
        </w:rPr>
        <w:t xml:space="preserve"> program. </w:t>
      </w:r>
      <w:r>
        <w:rPr>
          <w:rFonts w:ascii="Arial" w:eastAsia="Arial" w:hAnsi="Arial" w:cs="Arial"/>
        </w:rPr>
        <w:t xml:space="preserve">Please see the table below for the Cool Schools Program historical TRC ratio. </w:t>
      </w:r>
    </w:p>
    <w:p w14:paraId="509ED9B5" w14:textId="77777777" w:rsidR="006F0216" w:rsidRDefault="006F0216" w:rsidP="004A2E57">
      <w:pPr>
        <w:pStyle w:val="Default"/>
        <w:ind w:left="1800"/>
        <w:rPr>
          <w:rFonts w:ascii="Arial" w:eastAsia="Arial" w:hAnsi="Arial" w:cs="Arial"/>
        </w:rPr>
      </w:pPr>
    </w:p>
    <w:p w14:paraId="7912C599" w14:textId="77777777" w:rsidR="006F0216" w:rsidRDefault="006F0216" w:rsidP="004A2E57">
      <w:pPr>
        <w:pStyle w:val="Default"/>
        <w:ind w:left="360"/>
        <w:rPr>
          <w:rFonts w:ascii="Arial" w:eastAsia="Arial" w:hAnsi="Arial" w:cs="Arial"/>
        </w:rPr>
      </w:pPr>
    </w:p>
    <w:p w14:paraId="60337E68" w14:textId="77777777" w:rsidR="006F0216" w:rsidRPr="007F3ECC" w:rsidRDefault="00B37DF5" w:rsidP="004A2E57">
      <w:pPr>
        <w:pStyle w:val="Default"/>
        <w:ind w:left="360"/>
        <w:rPr>
          <w:rFonts w:ascii="Arial" w:hAnsi="Arial" w:cs="Arial"/>
          <w:b/>
          <w:u w:val="single"/>
        </w:rPr>
      </w:pPr>
      <w:r>
        <w:pict w14:anchorId="05B0BF48">
          <v:shape id="_x0000_i1029" type="#_x0000_t75" style="width:467.7pt;height:50pt">
            <v:imagedata r:id="rId18" o:title=""/>
          </v:shape>
        </w:pict>
      </w:r>
    </w:p>
    <w:tbl>
      <w:tblPr>
        <w:tblW w:w="9221" w:type="dxa"/>
        <w:tblInd w:w="390" w:type="dxa"/>
        <w:tblLook w:val="04A0" w:firstRow="1" w:lastRow="0" w:firstColumn="1" w:lastColumn="0" w:noHBand="0" w:noVBand="1"/>
      </w:tblPr>
      <w:tblGrid>
        <w:gridCol w:w="9221"/>
      </w:tblGrid>
      <w:tr w:rsidR="006F0216" w:rsidRPr="00E65459" w14:paraId="407A2BFB" w14:textId="77777777" w:rsidTr="008D4F1B">
        <w:trPr>
          <w:trHeight w:val="300"/>
        </w:trPr>
        <w:tc>
          <w:tcPr>
            <w:tcW w:w="9221" w:type="dxa"/>
            <w:tcBorders>
              <w:top w:val="nil"/>
              <w:left w:val="nil"/>
              <w:bottom w:val="nil"/>
              <w:right w:val="nil"/>
            </w:tcBorders>
            <w:shd w:val="clear" w:color="auto" w:fill="auto"/>
            <w:noWrap/>
            <w:vAlign w:val="bottom"/>
            <w:hideMark/>
          </w:tcPr>
          <w:p w14:paraId="3285577D" w14:textId="77777777" w:rsidR="006F0216" w:rsidRPr="004F59AE" w:rsidRDefault="006F0216" w:rsidP="000C5C28">
            <w:pPr>
              <w:overflowPunct/>
              <w:autoSpaceDE/>
              <w:autoSpaceDN/>
              <w:adjustRightInd/>
              <w:textAlignment w:val="auto"/>
              <w:rPr>
                <w:rFonts w:ascii="Calibri" w:eastAsia="Calibri" w:hAnsi="Calibri" w:cs="Calibri"/>
                <w:color w:val="000000"/>
                <w:sz w:val="20"/>
              </w:rPr>
            </w:pPr>
            <w:r w:rsidRPr="641C5C5C">
              <w:rPr>
                <w:rFonts w:ascii="Calibri" w:eastAsia="Calibri" w:hAnsi="Calibri" w:cs="Calibri"/>
                <w:color w:val="000000"/>
                <w:sz w:val="20"/>
              </w:rPr>
              <w:t>[1] TRC calculation for 2015-2017 includes 5% Market Effects and was run using the 2013 set of avoided costs.</w:t>
            </w:r>
          </w:p>
        </w:tc>
      </w:tr>
      <w:tr w:rsidR="006F0216" w:rsidRPr="00E65459" w14:paraId="5D761B5B" w14:textId="77777777" w:rsidTr="008D4F1B">
        <w:trPr>
          <w:trHeight w:val="300"/>
        </w:trPr>
        <w:tc>
          <w:tcPr>
            <w:tcW w:w="9221" w:type="dxa"/>
            <w:tcBorders>
              <w:top w:val="nil"/>
              <w:left w:val="nil"/>
              <w:bottom w:val="nil"/>
              <w:right w:val="nil"/>
            </w:tcBorders>
            <w:shd w:val="clear" w:color="auto" w:fill="auto"/>
            <w:noWrap/>
            <w:vAlign w:val="bottom"/>
            <w:hideMark/>
          </w:tcPr>
          <w:p w14:paraId="29F6004C" w14:textId="77777777" w:rsidR="006F0216" w:rsidRPr="009D19E7" w:rsidRDefault="006F0216" w:rsidP="000C5C28">
            <w:pPr>
              <w:overflowPunct/>
              <w:autoSpaceDE/>
              <w:autoSpaceDN/>
              <w:adjustRightInd/>
              <w:textAlignment w:val="auto"/>
              <w:rPr>
                <w:rFonts w:ascii="Calibri" w:eastAsia="Calibri" w:hAnsi="Calibri" w:cs="Calibri"/>
                <w:color w:val="000000"/>
                <w:sz w:val="20"/>
              </w:rPr>
            </w:pPr>
            <w:r w:rsidRPr="641C5C5C">
              <w:rPr>
                <w:rFonts w:ascii="Calibri" w:eastAsia="Calibri" w:hAnsi="Calibri" w:cs="Calibri"/>
                <w:color w:val="000000"/>
                <w:sz w:val="20"/>
              </w:rPr>
              <w:t>[2] TRC calculation for 2018 uses 2017 actuals, rerun using 2018 avoided costs, with 5% market effects.</w:t>
            </w:r>
          </w:p>
        </w:tc>
      </w:tr>
    </w:tbl>
    <w:p w14:paraId="1704514C" w14:textId="77777777" w:rsidR="006F0216" w:rsidRPr="007F3ECC" w:rsidRDefault="006F0216" w:rsidP="006F0216">
      <w:pPr>
        <w:pStyle w:val="Default"/>
        <w:ind w:left="720"/>
        <w:rPr>
          <w:rFonts w:ascii="Arial" w:hAnsi="Arial" w:cs="Arial"/>
          <w:b/>
          <w:u w:val="single"/>
        </w:rPr>
      </w:pPr>
    </w:p>
    <w:p w14:paraId="1BAF7EEB" w14:textId="7D6C17CA" w:rsidR="006F0216" w:rsidRPr="0090457C" w:rsidRDefault="006F0216" w:rsidP="004A2E57">
      <w:pPr>
        <w:pStyle w:val="Default"/>
        <w:numPr>
          <w:ilvl w:val="0"/>
          <w:numId w:val="17"/>
        </w:numPr>
        <w:rPr>
          <w:rFonts w:ascii="Arial" w:eastAsia="Arial" w:hAnsi="Arial" w:cs="Arial"/>
          <w:b/>
          <w:bCs/>
          <w:u w:val="single"/>
        </w:rPr>
      </w:pPr>
      <w:r w:rsidRPr="7FBA53CB">
        <w:rPr>
          <w:rFonts w:ascii="Arial" w:eastAsia="Arial" w:hAnsi="Arial" w:cs="Arial"/>
          <w:b/>
          <w:bCs/>
          <w:u w:val="single"/>
        </w:rPr>
        <w:t>Commercial Utility Building Efficiency</w:t>
      </w:r>
      <w:r w:rsidR="005A1E6A">
        <w:rPr>
          <w:rFonts w:ascii="Arial" w:eastAsia="Arial" w:hAnsi="Arial" w:cs="Arial"/>
          <w:b/>
          <w:bCs/>
          <w:u w:val="single"/>
        </w:rPr>
        <w:t xml:space="preserve"> (SCE-13-TP-014)</w:t>
      </w:r>
    </w:p>
    <w:p w14:paraId="36A4BA97" w14:textId="77777777" w:rsidR="006F0216" w:rsidRPr="007F3ECC" w:rsidRDefault="006F0216" w:rsidP="006F0216">
      <w:pPr>
        <w:rPr>
          <w:rFonts w:ascii="Arial" w:hAnsi="Arial" w:cs="Arial"/>
          <w:b/>
        </w:rPr>
      </w:pPr>
    </w:p>
    <w:p w14:paraId="6896F5B0" w14:textId="77777777" w:rsidR="006F0216" w:rsidRDefault="006F0216" w:rsidP="004A2E57">
      <w:pPr>
        <w:ind w:left="360"/>
        <w:rPr>
          <w:rFonts w:ascii="Arial" w:eastAsia="Arial" w:hAnsi="Arial" w:cs="Arial"/>
        </w:rPr>
      </w:pPr>
      <w:r>
        <w:rPr>
          <w:rFonts w:ascii="Arial" w:eastAsia="Arial" w:hAnsi="Arial" w:cs="Arial"/>
        </w:rPr>
        <w:t>Commercial Utility Building Efficiency (</w:t>
      </w:r>
      <w:r w:rsidRPr="7FBA53CB">
        <w:rPr>
          <w:rFonts w:ascii="Arial" w:eastAsia="Arial" w:hAnsi="Arial" w:cs="Arial"/>
        </w:rPr>
        <w:t>CUBE</w:t>
      </w:r>
      <w:r>
        <w:rPr>
          <w:rFonts w:ascii="Arial" w:eastAsia="Arial" w:hAnsi="Arial" w:cs="Arial"/>
        </w:rPr>
        <w:t>)</w:t>
      </w:r>
      <w:r w:rsidRPr="7FBA53CB">
        <w:rPr>
          <w:rFonts w:ascii="Arial" w:eastAsia="Arial" w:hAnsi="Arial" w:cs="Arial"/>
        </w:rPr>
        <w:t xml:space="preserve"> provides audits, technical assistance, and incentives to support installation of recommended EE equipment at privately owned commercial office buildings. </w:t>
      </w:r>
      <w:r>
        <w:rPr>
          <w:rFonts w:ascii="Arial" w:eastAsia="Arial" w:hAnsi="Arial" w:cs="Arial"/>
        </w:rPr>
        <w:t>C</w:t>
      </w:r>
      <w:r w:rsidRPr="7FBA53CB">
        <w:rPr>
          <w:rFonts w:ascii="Arial" w:eastAsia="Arial" w:hAnsi="Arial" w:cs="Arial"/>
        </w:rPr>
        <w:t>hanges in claimable energy savings due to Title 24 updates and changes in Industry Standard Practice (ISP) assumptions</w:t>
      </w:r>
      <w:r>
        <w:rPr>
          <w:rFonts w:ascii="Arial" w:eastAsia="Arial" w:hAnsi="Arial" w:cs="Arial"/>
        </w:rPr>
        <w:t xml:space="preserve"> have drastically reduced</w:t>
      </w:r>
      <w:r w:rsidRPr="7FBA53CB">
        <w:rPr>
          <w:rFonts w:ascii="Arial" w:eastAsia="Arial" w:hAnsi="Arial" w:cs="Arial"/>
        </w:rPr>
        <w:t xml:space="preserve"> the number of eligible measures for CUBE. In order to simplify and improve the cost-effectiveness of the overall portfolio, SCE </w:t>
      </w:r>
      <w:r>
        <w:rPr>
          <w:rFonts w:ascii="Arial" w:eastAsia="Arial" w:hAnsi="Arial" w:cs="Arial"/>
        </w:rPr>
        <w:t>proposes to discontinue the</w:t>
      </w:r>
      <w:r w:rsidRPr="7FBA53CB">
        <w:rPr>
          <w:rFonts w:ascii="Arial" w:eastAsia="Arial" w:hAnsi="Arial" w:cs="Arial"/>
        </w:rPr>
        <w:t xml:space="preserve"> program. </w:t>
      </w:r>
      <w:r>
        <w:rPr>
          <w:rFonts w:ascii="Arial" w:eastAsia="Arial" w:hAnsi="Arial" w:cs="Arial"/>
        </w:rPr>
        <w:t>Please see the table below for the CUBE Program historical TRC ratio.</w:t>
      </w:r>
    </w:p>
    <w:p w14:paraId="025C620B" w14:textId="77777777" w:rsidR="006F0216" w:rsidRDefault="006F0216" w:rsidP="004A2E57">
      <w:pPr>
        <w:ind w:left="1800"/>
        <w:rPr>
          <w:rFonts w:ascii="Arial" w:eastAsia="Arial" w:hAnsi="Arial" w:cs="Arial"/>
        </w:rPr>
      </w:pPr>
    </w:p>
    <w:p w14:paraId="2D29F233" w14:textId="77777777" w:rsidR="006F0216" w:rsidRDefault="006F0216" w:rsidP="004A2E57">
      <w:pPr>
        <w:ind w:left="360"/>
        <w:rPr>
          <w:rFonts w:ascii="Arial" w:eastAsia="Arial" w:hAnsi="Arial" w:cs="Arial"/>
        </w:rPr>
      </w:pPr>
      <w:r>
        <w:rPr>
          <w:rFonts w:ascii="Arial" w:eastAsia="Arial" w:hAnsi="Arial" w:cs="Arial"/>
        </w:rPr>
        <w:t>T</w:t>
      </w:r>
      <w:r w:rsidRPr="7FBA53CB">
        <w:rPr>
          <w:rFonts w:ascii="Arial" w:eastAsia="Arial" w:hAnsi="Arial" w:cs="Arial"/>
        </w:rPr>
        <w:t xml:space="preserve">he existing commercial building customer base </w:t>
      </w:r>
      <w:r>
        <w:rPr>
          <w:rFonts w:ascii="Arial" w:eastAsia="Arial" w:hAnsi="Arial" w:cs="Arial"/>
        </w:rPr>
        <w:t>can</w:t>
      </w:r>
      <w:r w:rsidRPr="7FBA53CB">
        <w:rPr>
          <w:rFonts w:ascii="Arial" w:eastAsia="Arial" w:hAnsi="Arial" w:cs="Arial"/>
        </w:rPr>
        <w:t xml:space="preserve"> be served by other programs in SCE’s portfolio</w:t>
      </w:r>
      <w:r>
        <w:rPr>
          <w:rFonts w:ascii="Arial" w:eastAsia="Arial" w:hAnsi="Arial" w:cs="Arial"/>
        </w:rPr>
        <w:t>.</w:t>
      </w:r>
      <w:r w:rsidRPr="7FBA53CB">
        <w:rPr>
          <w:rFonts w:ascii="Arial" w:eastAsia="Arial" w:hAnsi="Arial" w:cs="Arial"/>
        </w:rPr>
        <w:t xml:space="preserve"> </w:t>
      </w:r>
    </w:p>
    <w:p w14:paraId="3D3D5CD5" w14:textId="77777777" w:rsidR="006F0216" w:rsidRDefault="006F0216" w:rsidP="004A2E57">
      <w:pPr>
        <w:ind w:left="360"/>
      </w:pPr>
    </w:p>
    <w:p w14:paraId="761F1ABD" w14:textId="77777777" w:rsidR="006F0216" w:rsidRPr="007F3ECC" w:rsidRDefault="00B37DF5" w:rsidP="004A2E57">
      <w:pPr>
        <w:ind w:left="360"/>
      </w:pPr>
      <w:r>
        <w:pict w14:anchorId="68A6D637">
          <v:shape id="_x0000_i1030" type="#_x0000_t75" style="width:467.7pt;height:50pt">
            <v:imagedata r:id="rId19" o:title=""/>
          </v:shape>
        </w:pict>
      </w:r>
    </w:p>
    <w:tbl>
      <w:tblPr>
        <w:tblW w:w="9221" w:type="dxa"/>
        <w:tblInd w:w="390" w:type="dxa"/>
        <w:tblLook w:val="04A0" w:firstRow="1" w:lastRow="0" w:firstColumn="1" w:lastColumn="0" w:noHBand="0" w:noVBand="1"/>
      </w:tblPr>
      <w:tblGrid>
        <w:gridCol w:w="9221"/>
      </w:tblGrid>
      <w:tr w:rsidR="006F0216" w:rsidRPr="00E65459" w14:paraId="31EC72CB" w14:textId="77777777" w:rsidTr="008D4F1B">
        <w:trPr>
          <w:trHeight w:val="300"/>
        </w:trPr>
        <w:tc>
          <w:tcPr>
            <w:tcW w:w="9221" w:type="dxa"/>
            <w:tcBorders>
              <w:top w:val="nil"/>
              <w:left w:val="nil"/>
              <w:bottom w:val="nil"/>
              <w:right w:val="nil"/>
            </w:tcBorders>
            <w:shd w:val="clear" w:color="auto" w:fill="auto"/>
            <w:noWrap/>
            <w:vAlign w:val="bottom"/>
            <w:hideMark/>
          </w:tcPr>
          <w:p w14:paraId="2251A9D1" w14:textId="77777777" w:rsidR="006F0216" w:rsidRPr="004F59AE" w:rsidRDefault="006F0216" w:rsidP="000C5C28">
            <w:pPr>
              <w:overflowPunct/>
              <w:autoSpaceDE/>
              <w:autoSpaceDN/>
              <w:adjustRightInd/>
              <w:textAlignment w:val="auto"/>
              <w:rPr>
                <w:rFonts w:ascii="Calibri" w:eastAsia="Calibri" w:hAnsi="Calibri" w:cs="Calibri"/>
                <w:color w:val="000000"/>
                <w:sz w:val="20"/>
              </w:rPr>
            </w:pPr>
            <w:r w:rsidRPr="641C5C5C">
              <w:rPr>
                <w:rFonts w:ascii="Calibri" w:eastAsia="Calibri" w:hAnsi="Calibri" w:cs="Calibri"/>
                <w:color w:val="000000"/>
                <w:sz w:val="20"/>
              </w:rPr>
              <w:t>[1] TRC calculation for 2015-2017 includes 5% Market Effects and was run using the 2013 set of avoided costs.</w:t>
            </w:r>
          </w:p>
        </w:tc>
      </w:tr>
      <w:tr w:rsidR="006F0216" w:rsidRPr="00E65459" w14:paraId="37A97680" w14:textId="77777777" w:rsidTr="008D4F1B">
        <w:trPr>
          <w:trHeight w:val="300"/>
        </w:trPr>
        <w:tc>
          <w:tcPr>
            <w:tcW w:w="9221" w:type="dxa"/>
            <w:tcBorders>
              <w:top w:val="nil"/>
              <w:left w:val="nil"/>
              <w:bottom w:val="nil"/>
              <w:right w:val="nil"/>
            </w:tcBorders>
            <w:shd w:val="clear" w:color="auto" w:fill="auto"/>
            <w:noWrap/>
            <w:vAlign w:val="bottom"/>
            <w:hideMark/>
          </w:tcPr>
          <w:p w14:paraId="56FCB49B" w14:textId="77777777" w:rsidR="006F0216" w:rsidRPr="009D19E7" w:rsidRDefault="006F0216" w:rsidP="000C5C28">
            <w:pPr>
              <w:overflowPunct/>
              <w:autoSpaceDE/>
              <w:autoSpaceDN/>
              <w:adjustRightInd/>
              <w:textAlignment w:val="auto"/>
              <w:rPr>
                <w:rFonts w:ascii="Calibri" w:eastAsia="Calibri" w:hAnsi="Calibri" w:cs="Calibri"/>
                <w:color w:val="000000"/>
                <w:sz w:val="20"/>
              </w:rPr>
            </w:pPr>
            <w:r w:rsidRPr="641C5C5C">
              <w:rPr>
                <w:rFonts w:ascii="Calibri" w:eastAsia="Calibri" w:hAnsi="Calibri" w:cs="Calibri"/>
                <w:color w:val="000000"/>
                <w:sz w:val="20"/>
              </w:rPr>
              <w:t>[2] TRC calculation for 2018 uses 2017 actuals, rerun using 2018 avoided costs, with 5% market effects.</w:t>
            </w:r>
          </w:p>
        </w:tc>
      </w:tr>
    </w:tbl>
    <w:p w14:paraId="156F4D3F" w14:textId="0D64C254" w:rsidR="006F0216" w:rsidRDefault="006F0216" w:rsidP="008D4F1B">
      <w:pPr>
        <w:pStyle w:val="Default"/>
        <w:rPr>
          <w:rFonts w:ascii="Arial" w:eastAsia="Arial" w:hAnsi="Arial" w:cs="Arial"/>
          <w:b/>
          <w:bCs/>
          <w:u w:val="single"/>
        </w:rPr>
      </w:pPr>
    </w:p>
    <w:p w14:paraId="3F237CCC" w14:textId="77777777" w:rsidR="00221107" w:rsidRDefault="00221107" w:rsidP="00221107">
      <w:pPr>
        <w:pStyle w:val="Default"/>
        <w:ind w:left="1440"/>
        <w:rPr>
          <w:rFonts w:ascii="Arial" w:eastAsia="Arial" w:hAnsi="Arial" w:cs="Arial"/>
          <w:b/>
          <w:u w:val="single"/>
        </w:rPr>
      </w:pPr>
    </w:p>
    <w:p w14:paraId="41605D96" w14:textId="501907B6" w:rsidR="005A1E6A" w:rsidRPr="004A2E57" w:rsidRDefault="005A1E6A" w:rsidP="004A2E57">
      <w:pPr>
        <w:pStyle w:val="Default"/>
        <w:numPr>
          <w:ilvl w:val="0"/>
          <w:numId w:val="17"/>
        </w:numPr>
        <w:rPr>
          <w:rFonts w:ascii="Arial" w:eastAsia="Arial" w:hAnsi="Arial" w:cs="Arial"/>
          <w:b/>
          <w:bCs/>
          <w:u w:val="single"/>
        </w:rPr>
      </w:pPr>
      <w:r w:rsidRPr="008D4F1B">
        <w:rPr>
          <w:rFonts w:ascii="Arial" w:eastAsia="Arial" w:hAnsi="Arial" w:cs="Arial"/>
          <w:b/>
          <w:bCs/>
          <w:color w:val="auto"/>
          <w:u w:val="single"/>
        </w:rPr>
        <w:t>Energy Leader Partnership Program (SCE-12-L-002Rollup)</w:t>
      </w:r>
    </w:p>
    <w:p w14:paraId="1CBFCD98" w14:textId="77777777" w:rsidR="005A1E6A" w:rsidRDefault="005A1E6A" w:rsidP="004A2E57">
      <w:pPr>
        <w:pStyle w:val="Default"/>
        <w:ind w:left="720"/>
        <w:rPr>
          <w:rFonts w:ascii="Arial" w:eastAsia="Arial" w:hAnsi="Arial" w:cs="Arial"/>
          <w:b/>
          <w:bCs/>
          <w:color w:val="auto"/>
        </w:rPr>
      </w:pPr>
    </w:p>
    <w:p w14:paraId="053F0AED" w14:textId="58698623" w:rsidR="005A1E6A" w:rsidRPr="003953E0" w:rsidRDefault="63B0948E" w:rsidP="004A2E57">
      <w:pPr>
        <w:pStyle w:val="Default"/>
        <w:ind w:left="360"/>
        <w:rPr>
          <w:rFonts w:ascii="Arial" w:eastAsia="Arial" w:hAnsi="Arial" w:cs="Arial"/>
          <w:color w:val="auto"/>
        </w:rPr>
      </w:pPr>
      <w:r w:rsidRPr="69434D37">
        <w:rPr>
          <w:rFonts w:ascii="Arial" w:eastAsia="Arial" w:hAnsi="Arial" w:cs="Arial"/>
          <w:color w:val="auto"/>
        </w:rPr>
        <w:t xml:space="preserve">Energy Leader </w:t>
      </w:r>
      <w:r w:rsidR="1116F85E" w:rsidRPr="69434D37">
        <w:rPr>
          <w:rFonts w:ascii="Arial" w:eastAsia="Arial" w:hAnsi="Arial" w:cs="Arial"/>
          <w:color w:val="auto"/>
        </w:rPr>
        <w:t>Partnership Program</w:t>
      </w:r>
      <w:r w:rsidRPr="69434D37">
        <w:rPr>
          <w:rFonts w:ascii="Arial" w:eastAsia="Arial" w:hAnsi="Arial" w:cs="Arial"/>
          <w:color w:val="auto"/>
        </w:rPr>
        <w:t xml:space="preserve"> was or</w:t>
      </w:r>
      <w:r w:rsidR="227710E1" w:rsidRPr="69434D37">
        <w:rPr>
          <w:rFonts w:ascii="Arial" w:eastAsia="Arial" w:hAnsi="Arial" w:cs="Arial"/>
          <w:color w:val="auto"/>
        </w:rPr>
        <w:t>iginal</w:t>
      </w:r>
      <w:r w:rsidRPr="69434D37">
        <w:rPr>
          <w:rFonts w:ascii="Arial" w:eastAsia="Arial" w:hAnsi="Arial" w:cs="Arial"/>
          <w:color w:val="auto"/>
        </w:rPr>
        <w:t xml:space="preserve">ly created as a </w:t>
      </w:r>
      <w:r w:rsidR="227710E1" w:rsidRPr="69434D37">
        <w:rPr>
          <w:rFonts w:ascii="Arial" w:eastAsia="Arial" w:hAnsi="Arial" w:cs="Arial"/>
          <w:color w:val="auto"/>
        </w:rPr>
        <w:t>program where funds would reside for the creation of new Local Government P</w:t>
      </w:r>
      <w:r w:rsidR="2445D311" w:rsidRPr="69434D37">
        <w:rPr>
          <w:rFonts w:ascii="Arial" w:eastAsia="Arial" w:hAnsi="Arial" w:cs="Arial"/>
          <w:color w:val="auto"/>
        </w:rPr>
        <w:t xml:space="preserve">artnership programs.  </w:t>
      </w:r>
      <w:r w:rsidR="35D3B35F" w:rsidRPr="69434D37">
        <w:rPr>
          <w:rFonts w:ascii="Arial" w:eastAsia="Arial" w:hAnsi="Arial" w:cs="Arial"/>
          <w:color w:val="auto"/>
        </w:rPr>
        <w:t>If new funds are needed in the future for new L</w:t>
      </w:r>
      <w:r w:rsidR="1BF1CF29" w:rsidRPr="008D4F1B">
        <w:rPr>
          <w:rFonts w:ascii="Arial" w:eastAsia="Arial" w:hAnsi="Arial" w:cs="Arial"/>
          <w:color w:val="auto"/>
        </w:rPr>
        <w:t>GP’s</w:t>
      </w:r>
      <w:r w:rsidR="727766CA" w:rsidRPr="69434D37">
        <w:rPr>
          <w:rFonts w:ascii="Arial" w:eastAsia="Arial" w:hAnsi="Arial" w:cs="Arial"/>
          <w:color w:val="auto"/>
        </w:rPr>
        <w:t xml:space="preserve"> the </w:t>
      </w:r>
      <w:r w:rsidR="1BF1CF29" w:rsidRPr="69434D37">
        <w:rPr>
          <w:rFonts w:ascii="Arial" w:eastAsia="Arial" w:hAnsi="Arial" w:cs="Arial"/>
          <w:color w:val="auto"/>
        </w:rPr>
        <w:t>current</w:t>
      </w:r>
      <w:r w:rsidR="727766CA" w:rsidRPr="69434D37">
        <w:rPr>
          <w:rFonts w:ascii="Arial" w:eastAsia="Arial" w:hAnsi="Arial" w:cs="Arial"/>
          <w:color w:val="auto"/>
        </w:rPr>
        <w:t xml:space="preserve"> Advice Letter process </w:t>
      </w:r>
      <w:r w:rsidR="1C9E3D4D" w:rsidRPr="69434D37">
        <w:rPr>
          <w:rFonts w:ascii="Arial" w:eastAsia="Arial" w:hAnsi="Arial" w:cs="Arial"/>
          <w:color w:val="auto"/>
        </w:rPr>
        <w:t xml:space="preserve">requesting the creation of a new program will be used.  </w:t>
      </w:r>
      <w:r w:rsidR="39C5D5EE" w:rsidRPr="008D4F1B">
        <w:rPr>
          <w:rFonts w:ascii="Arial" w:eastAsia="Arial" w:hAnsi="Arial" w:cs="Arial"/>
          <w:color w:val="auto"/>
        </w:rPr>
        <w:t>SCE no longer has a need for this funding program</w:t>
      </w:r>
      <w:r w:rsidR="05FD79FB" w:rsidRPr="008D4F1B">
        <w:rPr>
          <w:rFonts w:ascii="Arial" w:eastAsia="Arial" w:hAnsi="Arial" w:cs="Arial"/>
          <w:color w:val="auto"/>
        </w:rPr>
        <w:t>,</w:t>
      </w:r>
      <w:r w:rsidR="39C5D5EE" w:rsidRPr="008D4F1B">
        <w:rPr>
          <w:rFonts w:ascii="Arial" w:eastAsia="Arial" w:hAnsi="Arial" w:cs="Arial"/>
          <w:color w:val="auto"/>
        </w:rPr>
        <w:t xml:space="preserve"> so i</w:t>
      </w:r>
      <w:r w:rsidR="05FD79FB" w:rsidRPr="008D4F1B">
        <w:rPr>
          <w:rFonts w:ascii="Arial" w:eastAsia="Arial" w:hAnsi="Arial" w:cs="Arial"/>
          <w:color w:val="auto"/>
        </w:rPr>
        <w:t>t</w:t>
      </w:r>
      <w:r w:rsidR="39C5D5EE" w:rsidRPr="008D4F1B">
        <w:rPr>
          <w:rFonts w:ascii="Arial" w:eastAsia="Arial" w:hAnsi="Arial" w:cs="Arial"/>
          <w:color w:val="auto"/>
        </w:rPr>
        <w:t xml:space="preserve"> is requesting the clos</w:t>
      </w:r>
      <w:r w:rsidR="306C09F3" w:rsidRPr="008D4F1B">
        <w:rPr>
          <w:rFonts w:ascii="Arial" w:eastAsia="Arial" w:hAnsi="Arial" w:cs="Arial"/>
          <w:color w:val="auto"/>
        </w:rPr>
        <w:t>ure of Energy Leader Partnership Program for 2019.</w:t>
      </w:r>
    </w:p>
    <w:p w14:paraId="5E92DD3E" w14:textId="77777777" w:rsidR="005A1E6A" w:rsidRPr="004A2E57" w:rsidRDefault="005A1E6A" w:rsidP="004A2E57">
      <w:pPr>
        <w:pStyle w:val="Default"/>
        <w:ind w:left="720"/>
        <w:rPr>
          <w:rFonts w:ascii="Arial" w:eastAsia="Arial" w:hAnsi="Arial" w:cs="Arial"/>
          <w:b/>
          <w:bCs/>
          <w:u w:val="single"/>
        </w:rPr>
      </w:pPr>
    </w:p>
    <w:p w14:paraId="445EFD54" w14:textId="746B4DCA" w:rsidR="006F0216" w:rsidRPr="00C93F55" w:rsidRDefault="006F0216" w:rsidP="004A2E57">
      <w:pPr>
        <w:pStyle w:val="Default"/>
        <w:numPr>
          <w:ilvl w:val="0"/>
          <w:numId w:val="17"/>
        </w:numPr>
        <w:rPr>
          <w:rFonts w:ascii="Arial" w:eastAsia="Arial" w:hAnsi="Arial" w:cs="Arial"/>
          <w:b/>
          <w:bCs/>
          <w:u w:val="single"/>
        </w:rPr>
      </w:pPr>
      <w:r w:rsidRPr="00A60A31">
        <w:rPr>
          <w:rFonts w:ascii="Arial" w:eastAsia="Arial" w:hAnsi="Arial" w:cs="Arial"/>
          <w:b/>
          <w:bCs/>
          <w:u w:val="single"/>
        </w:rPr>
        <w:t>Lighting Market Transformation</w:t>
      </w:r>
      <w:r>
        <w:rPr>
          <w:rFonts w:ascii="Arial" w:eastAsia="Arial" w:hAnsi="Arial" w:cs="Arial"/>
          <w:b/>
          <w:bCs/>
          <w:u w:val="single"/>
        </w:rPr>
        <w:t xml:space="preserve"> Program</w:t>
      </w:r>
      <w:r w:rsidR="005A1E6A">
        <w:rPr>
          <w:rFonts w:ascii="Arial" w:eastAsia="Arial" w:hAnsi="Arial" w:cs="Arial"/>
          <w:b/>
          <w:bCs/>
          <w:u w:val="single"/>
        </w:rPr>
        <w:t xml:space="preserve"> (SCE-13-SW-005A)</w:t>
      </w:r>
    </w:p>
    <w:p w14:paraId="0B2957B6" w14:textId="77777777" w:rsidR="006F0216" w:rsidRDefault="006F0216" w:rsidP="006F0216">
      <w:pPr>
        <w:pStyle w:val="Default"/>
        <w:rPr>
          <w:rFonts w:ascii="Arial" w:hAnsi="Arial" w:cs="Arial"/>
        </w:rPr>
      </w:pPr>
      <w:r>
        <w:rPr>
          <w:rFonts w:ascii="Arial" w:hAnsi="Arial" w:cs="Arial"/>
        </w:rPr>
        <w:tab/>
      </w:r>
    </w:p>
    <w:p w14:paraId="4C168C93" w14:textId="77777777" w:rsidR="006F0216" w:rsidRDefault="006F0216" w:rsidP="004A2E57">
      <w:pPr>
        <w:pStyle w:val="Default"/>
        <w:ind w:left="360"/>
        <w:rPr>
          <w:rFonts w:ascii="Arial" w:eastAsia="Arial" w:hAnsi="Arial" w:cs="Arial"/>
        </w:rPr>
      </w:pPr>
      <w:r w:rsidRPr="00D7591F">
        <w:rPr>
          <w:rFonts w:ascii="Arial" w:eastAsia="Arial" w:hAnsi="Arial" w:cs="Arial"/>
        </w:rPr>
        <w:t>Lighting Market Transformation (LMT)</w:t>
      </w:r>
      <w:r w:rsidRPr="00D7591F" w:rsidDel="00334EC7">
        <w:rPr>
          <w:rFonts w:ascii="Arial" w:eastAsia="Arial" w:hAnsi="Arial" w:cs="Arial"/>
        </w:rPr>
        <w:t xml:space="preserve"> </w:t>
      </w:r>
      <w:r>
        <w:rPr>
          <w:rFonts w:ascii="Arial" w:eastAsia="Arial" w:hAnsi="Arial" w:cs="Arial"/>
        </w:rPr>
        <w:t xml:space="preserve">is a non-resource program </w:t>
      </w:r>
      <w:r w:rsidRPr="00D7591F">
        <w:rPr>
          <w:rFonts w:ascii="Arial" w:eastAsia="Arial" w:hAnsi="Arial" w:cs="Arial"/>
        </w:rPr>
        <w:t>that promote</w:t>
      </w:r>
      <w:r>
        <w:rPr>
          <w:rFonts w:ascii="Arial" w:eastAsia="Arial" w:hAnsi="Arial" w:cs="Arial"/>
        </w:rPr>
        <w:t>s</w:t>
      </w:r>
      <w:r w:rsidRPr="00D7591F">
        <w:rPr>
          <w:rFonts w:ascii="Arial" w:eastAsia="Arial" w:hAnsi="Arial" w:cs="Arial"/>
        </w:rPr>
        <w:t xml:space="preserve"> efficient lighting technologies and best practices in California.  This </w:t>
      </w:r>
      <w:r>
        <w:rPr>
          <w:rFonts w:ascii="Arial" w:eastAsia="Arial" w:hAnsi="Arial" w:cs="Arial"/>
        </w:rPr>
        <w:t>includes</w:t>
      </w:r>
      <w:r w:rsidRPr="00D7591F">
        <w:rPr>
          <w:rFonts w:ascii="Arial" w:eastAsia="Arial" w:hAnsi="Arial" w:cs="Arial"/>
        </w:rPr>
        <w:t xml:space="preserve"> </w:t>
      </w:r>
      <w:r>
        <w:rPr>
          <w:rFonts w:ascii="Arial" w:eastAsia="Arial" w:hAnsi="Arial" w:cs="Arial"/>
        </w:rPr>
        <w:t>developing</w:t>
      </w:r>
      <w:r w:rsidRPr="00D7591F">
        <w:rPr>
          <w:rFonts w:ascii="Arial" w:eastAsia="Arial" w:hAnsi="Arial" w:cs="Arial"/>
        </w:rPr>
        <w:t xml:space="preserve"> innovative data-driven program strategies to </w:t>
      </w:r>
      <w:r>
        <w:rPr>
          <w:rFonts w:ascii="Arial" w:eastAsia="Arial" w:hAnsi="Arial" w:cs="Arial"/>
        </w:rPr>
        <w:t xml:space="preserve">use in utility lighting programs. However, due to the adoption of </w:t>
      </w:r>
      <w:r w:rsidRPr="00D7591F">
        <w:rPr>
          <w:rFonts w:ascii="Arial" w:eastAsia="Arial" w:hAnsi="Arial" w:cs="Arial"/>
        </w:rPr>
        <w:t xml:space="preserve">LED technology </w:t>
      </w:r>
      <w:r>
        <w:rPr>
          <w:rFonts w:ascii="Arial" w:eastAsia="Arial" w:hAnsi="Arial" w:cs="Arial"/>
        </w:rPr>
        <w:t>in</w:t>
      </w:r>
      <w:r w:rsidRPr="00D7591F">
        <w:rPr>
          <w:rFonts w:ascii="Arial" w:eastAsia="Arial" w:hAnsi="Arial" w:cs="Arial"/>
        </w:rPr>
        <w:t xml:space="preserve"> the market</w:t>
      </w:r>
      <w:r>
        <w:rPr>
          <w:rFonts w:ascii="Arial" w:eastAsia="Arial" w:hAnsi="Arial" w:cs="Arial"/>
        </w:rPr>
        <w:t xml:space="preserve">, </w:t>
      </w:r>
      <w:r w:rsidRPr="00D7591F">
        <w:rPr>
          <w:rFonts w:ascii="Arial" w:eastAsia="Arial" w:hAnsi="Arial" w:cs="Arial"/>
        </w:rPr>
        <w:t>LMT's success in</w:t>
      </w:r>
      <w:r>
        <w:rPr>
          <w:rFonts w:ascii="Arial" w:eastAsia="Arial" w:hAnsi="Arial" w:cs="Arial"/>
        </w:rPr>
        <w:t xml:space="preserve"> supporting</w:t>
      </w:r>
      <w:r w:rsidRPr="00D7591F">
        <w:rPr>
          <w:rFonts w:ascii="Arial" w:eastAsia="Arial" w:hAnsi="Arial" w:cs="Arial"/>
        </w:rPr>
        <w:t xml:space="preserve"> efficient progression of lighting solutions</w:t>
      </w:r>
      <w:r>
        <w:rPr>
          <w:rFonts w:ascii="Arial" w:eastAsia="Arial" w:hAnsi="Arial" w:cs="Arial"/>
        </w:rPr>
        <w:t xml:space="preserve"> into customer EE programs, and the adoption of code requirements for efficient lighting technologies, LMT is no longer needed as a program. </w:t>
      </w:r>
    </w:p>
    <w:p w14:paraId="6244B358" w14:textId="146CAFAD" w:rsidR="00221107" w:rsidRDefault="00221107" w:rsidP="00C30475">
      <w:pPr>
        <w:pStyle w:val="Default"/>
        <w:rPr>
          <w:rFonts w:ascii="Arial" w:eastAsia="Arial" w:hAnsi="Arial" w:cs="Arial"/>
        </w:rPr>
      </w:pPr>
    </w:p>
    <w:p w14:paraId="6CDAF69B" w14:textId="33AEC595" w:rsidR="006F0216" w:rsidRPr="00C93F55" w:rsidRDefault="006F0216" w:rsidP="004A2E57">
      <w:pPr>
        <w:pStyle w:val="Default"/>
        <w:numPr>
          <w:ilvl w:val="0"/>
          <w:numId w:val="17"/>
        </w:numPr>
        <w:rPr>
          <w:rFonts w:ascii="Arial" w:eastAsia="Arial" w:hAnsi="Arial" w:cs="Arial"/>
          <w:b/>
          <w:bCs/>
          <w:u w:val="single"/>
        </w:rPr>
      </w:pPr>
      <w:r w:rsidRPr="00A60A31">
        <w:rPr>
          <w:rFonts w:ascii="Arial" w:eastAsia="Arial" w:hAnsi="Arial" w:cs="Arial"/>
          <w:b/>
          <w:bCs/>
          <w:u w:val="single"/>
        </w:rPr>
        <w:t>Lighting Innovation</w:t>
      </w:r>
      <w:r w:rsidR="005A1E6A">
        <w:rPr>
          <w:rFonts w:ascii="Arial" w:eastAsia="Arial" w:hAnsi="Arial" w:cs="Arial"/>
          <w:b/>
          <w:bCs/>
          <w:u w:val="single"/>
        </w:rPr>
        <w:t xml:space="preserve"> (SCE-13-SW-005B)</w:t>
      </w:r>
    </w:p>
    <w:p w14:paraId="273399C9" w14:textId="77777777" w:rsidR="006F0216" w:rsidRDefault="006F0216" w:rsidP="004A2E57">
      <w:pPr>
        <w:pStyle w:val="Default"/>
        <w:ind w:left="360"/>
        <w:rPr>
          <w:rFonts w:ascii="Arial" w:hAnsi="Arial" w:cs="Arial"/>
        </w:rPr>
      </w:pPr>
      <w:r>
        <w:rPr>
          <w:rFonts w:ascii="Arial" w:hAnsi="Arial" w:cs="Arial"/>
        </w:rPr>
        <w:tab/>
      </w:r>
    </w:p>
    <w:p w14:paraId="019F8911" w14:textId="77777777" w:rsidR="006F0216" w:rsidRDefault="006F0216" w:rsidP="004A2E57">
      <w:pPr>
        <w:pStyle w:val="Default"/>
        <w:ind w:left="360"/>
        <w:rPr>
          <w:rFonts w:ascii="Arial" w:eastAsia="Arial" w:hAnsi="Arial" w:cs="Arial"/>
        </w:rPr>
      </w:pPr>
      <w:r w:rsidRPr="000D77AE">
        <w:rPr>
          <w:rFonts w:ascii="Arial" w:eastAsia="Arial" w:hAnsi="Arial" w:cs="Arial"/>
        </w:rPr>
        <w:t>Lighting Innovation (LI)</w:t>
      </w:r>
      <w:r w:rsidRPr="000D77AE" w:rsidDel="00873975">
        <w:rPr>
          <w:rFonts w:ascii="Arial" w:eastAsia="Arial" w:hAnsi="Arial" w:cs="Arial"/>
        </w:rPr>
        <w:t xml:space="preserve"> </w:t>
      </w:r>
      <w:r>
        <w:rPr>
          <w:rFonts w:ascii="Arial" w:eastAsia="Arial" w:hAnsi="Arial" w:cs="Arial"/>
        </w:rPr>
        <w:t xml:space="preserve">is a non-resource </w:t>
      </w:r>
      <w:r w:rsidRPr="000D77AE">
        <w:rPr>
          <w:rFonts w:ascii="Arial" w:eastAsia="Arial" w:hAnsi="Arial" w:cs="Arial"/>
        </w:rPr>
        <w:t xml:space="preserve">subprogram </w:t>
      </w:r>
      <w:r>
        <w:rPr>
          <w:rFonts w:ascii="Arial" w:eastAsia="Arial" w:hAnsi="Arial" w:cs="Arial"/>
        </w:rPr>
        <w:t xml:space="preserve">that </w:t>
      </w:r>
      <w:r w:rsidRPr="000D77AE">
        <w:rPr>
          <w:rFonts w:ascii="Arial" w:eastAsia="Arial" w:hAnsi="Arial" w:cs="Arial"/>
        </w:rPr>
        <w:t xml:space="preserve">evaluates products or program approaches that are new to the market and </w:t>
      </w:r>
      <w:r>
        <w:rPr>
          <w:rFonts w:ascii="Arial" w:eastAsia="Arial" w:hAnsi="Arial" w:cs="Arial"/>
        </w:rPr>
        <w:t>could</w:t>
      </w:r>
      <w:r w:rsidRPr="000D77AE">
        <w:rPr>
          <w:rFonts w:ascii="Arial" w:eastAsia="Arial" w:hAnsi="Arial" w:cs="Arial"/>
        </w:rPr>
        <w:t xml:space="preserve"> potential</w:t>
      </w:r>
      <w:r>
        <w:rPr>
          <w:rFonts w:ascii="Arial" w:eastAsia="Arial" w:hAnsi="Arial" w:cs="Arial"/>
        </w:rPr>
        <w:t>ly</w:t>
      </w:r>
      <w:r w:rsidRPr="000D77AE">
        <w:rPr>
          <w:rFonts w:ascii="Arial" w:eastAsia="Arial" w:hAnsi="Arial" w:cs="Arial"/>
        </w:rPr>
        <w:t xml:space="preserve"> enter the Primary Lighting Program or the Commercial, Industrial, and Agricultural EE Programs. </w:t>
      </w:r>
      <w:r>
        <w:rPr>
          <w:rFonts w:ascii="Arial" w:eastAsia="Arial" w:hAnsi="Arial" w:cs="Arial"/>
        </w:rPr>
        <w:t>While the program provides valuable information on lighting challenges and barriers that exist, activities conducted in the LI subprogram can be administered in the Emerging Technologies Program.</w:t>
      </w:r>
    </w:p>
    <w:p w14:paraId="00A121BF" w14:textId="77777777" w:rsidR="00221107" w:rsidRDefault="00221107" w:rsidP="00D0274F">
      <w:pPr>
        <w:pStyle w:val="Default"/>
        <w:rPr>
          <w:rFonts w:ascii="Arial" w:eastAsia="Arial" w:hAnsi="Arial" w:cs="Arial"/>
        </w:rPr>
      </w:pPr>
    </w:p>
    <w:p w14:paraId="69CF599D" w14:textId="5D26344F" w:rsidR="006F0216" w:rsidRDefault="006F0216" w:rsidP="004A2E57">
      <w:pPr>
        <w:pStyle w:val="Default"/>
        <w:numPr>
          <w:ilvl w:val="0"/>
          <w:numId w:val="17"/>
        </w:numPr>
      </w:pPr>
      <w:r>
        <w:rPr>
          <w:rFonts w:ascii="Arial" w:eastAsia="Arial" w:hAnsi="Arial" w:cs="Arial"/>
          <w:b/>
          <w:bCs/>
          <w:u w:val="single"/>
        </w:rPr>
        <w:t>W</w:t>
      </w:r>
      <w:r w:rsidRPr="00A60A31">
        <w:rPr>
          <w:rFonts w:ascii="Arial" w:eastAsia="Arial" w:hAnsi="Arial" w:cs="Arial"/>
          <w:b/>
          <w:bCs/>
          <w:u w:val="single"/>
        </w:rPr>
        <w:t>E&amp;T Planning</w:t>
      </w:r>
      <w:r w:rsidR="005A1E6A">
        <w:rPr>
          <w:rFonts w:ascii="Arial" w:eastAsia="Arial" w:hAnsi="Arial" w:cs="Arial"/>
          <w:b/>
          <w:bCs/>
          <w:u w:val="single"/>
        </w:rPr>
        <w:t xml:space="preserve"> (SCE-13-SW-010C)</w:t>
      </w:r>
    </w:p>
    <w:p w14:paraId="52ADC310" w14:textId="1B003F43" w:rsidR="006F0216" w:rsidRDefault="006F0216" w:rsidP="006F0216">
      <w:pPr>
        <w:ind w:firstLine="720"/>
      </w:pPr>
    </w:p>
    <w:p w14:paraId="7A362800" w14:textId="4A0722B7" w:rsidR="004A2E57" w:rsidRDefault="004A2E57" w:rsidP="004A2E57">
      <w:pPr>
        <w:spacing w:after="240"/>
        <w:ind w:left="360"/>
        <w:rPr>
          <w:rFonts w:ascii="Arial" w:eastAsia="Arial" w:hAnsi="Arial" w:cs="Arial"/>
        </w:rPr>
      </w:pPr>
      <w:r>
        <w:rPr>
          <w:rFonts w:ascii="Arial" w:eastAsia="Arial" w:hAnsi="Arial" w:cs="Arial"/>
        </w:rPr>
        <w:t xml:space="preserve">Workforce Education and Training (WE&amp;T) involves management and execution of several strategic statewide planning tasks, including holding annual WE&amp;T public workshops and stakeholder engagement sessions, conducting needs assessments, and hiring industry subject matter experts and consultants to assist in the development of a comprehensive approach to WE&amp;T program design and implementation. </w:t>
      </w:r>
      <w:r w:rsidRPr="006C578B">
        <w:rPr>
          <w:rFonts w:ascii="Arial" w:eastAsia="Arial" w:hAnsi="Arial" w:cs="Arial"/>
        </w:rPr>
        <w:t xml:space="preserve">While the </w:t>
      </w:r>
      <w:r>
        <w:rPr>
          <w:rFonts w:ascii="Arial" w:eastAsia="Arial" w:hAnsi="Arial" w:cs="Arial"/>
        </w:rPr>
        <w:t>p</w:t>
      </w:r>
      <w:r w:rsidRPr="006C578B">
        <w:rPr>
          <w:rFonts w:ascii="Arial" w:eastAsia="Arial" w:hAnsi="Arial" w:cs="Arial"/>
        </w:rPr>
        <w:t xml:space="preserve">rogram does provide </w:t>
      </w:r>
      <w:r>
        <w:rPr>
          <w:rFonts w:ascii="Arial" w:eastAsia="Arial" w:hAnsi="Arial" w:cs="Arial"/>
        </w:rPr>
        <w:t xml:space="preserve">some </w:t>
      </w:r>
      <w:r w:rsidRPr="006C578B">
        <w:rPr>
          <w:rFonts w:ascii="Arial" w:eastAsia="Arial" w:hAnsi="Arial" w:cs="Arial"/>
        </w:rPr>
        <w:t xml:space="preserve">value to customers, the </w:t>
      </w:r>
      <w:r>
        <w:rPr>
          <w:rFonts w:ascii="Arial" w:eastAsia="Arial" w:hAnsi="Arial" w:cs="Arial"/>
        </w:rPr>
        <w:lastRenderedPageBreak/>
        <w:t>p</w:t>
      </w:r>
      <w:r w:rsidRPr="006C578B">
        <w:rPr>
          <w:rFonts w:ascii="Arial" w:eastAsia="Arial" w:hAnsi="Arial" w:cs="Arial"/>
        </w:rPr>
        <w:t>rogram is not cost-effective as it does not deliver energy savings.</w:t>
      </w:r>
      <w:r>
        <w:rPr>
          <w:rFonts w:ascii="Arial" w:eastAsia="Arial" w:hAnsi="Arial" w:cs="Arial"/>
        </w:rPr>
        <w:t xml:space="preserve"> Thus, WE&amp;T Planning will be discontinued.</w:t>
      </w:r>
      <w:r w:rsidRPr="006C578B">
        <w:rPr>
          <w:rFonts w:ascii="Arial" w:eastAsia="Arial" w:hAnsi="Arial" w:cs="Arial"/>
        </w:rPr>
        <w:t xml:space="preserve">  </w:t>
      </w:r>
      <w:r>
        <w:rPr>
          <w:rFonts w:ascii="Arial" w:eastAsia="Arial" w:hAnsi="Arial" w:cs="Arial"/>
        </w:rPr>
        <w:t xml:space="preserve"> </w:t>
      </w:r>
    </w:p>
    <w:p w14:paraId="62078681" w14:textId="77777777" w:rsidR="006F0216" w:rsidRPr="00C93F55" w:rsidRDefault="006F0216" w:rsidP="00D0274F">
      <w:pPr>
        <w:pStyle w:val="Default"/>
        <w:numPr>
          <w:ilvl w:val="0"/>
          <w:numId w:val="17"/>
        </w:numPr>
        <w:rPr>
          <w:rFonts w:ascii="Arial" w:eastAsia="Arial" w:hAnsi="Arial" w:cs="Arial"/>
          <w:b/>
          <w:bCs/>
          <w:u w:val="single"/>
        </w:rPr>
      </w:pPr>
      <w:r w:rsidRPr="00A60A31">
        <w:rPr>
          <w:rFonts w:ascii="Arial" w:eastAsia="Arial" w:hAnsi="Arial" w:cs="Arial"/>
          <w:b/>
          <w:bCs/>
          <w:u w:val="single"/>
        </w:rPr>
        <w:t>WE&amp;T – Mobile Energy Unit</w:t>
      </w:r>
    </w:p>
    <w:p w14:paraId="55BFECBC" w14:textId="77777777" w:rsidR="006F0216" w:rsidRDefault="006F0216" w:rsidP="006F0216">
      <w:pPr>
        <w:pStyle w:val="Default"/>
        <w:rPr>
          <w:rFonts w:ascii="Arial" w:hAnsi="Arial" w:cs="Arial"/>
        </w:rPr>
      </w:pPr>
      <w:r>
        <w:rPr>
          <w:rFonts w:ascii="Arial" w:hAnsi="Arial" w:cs="Arial"/>
        </w:rPr>
        <w:tab/>
      </w:r>
    </w:p>
    <w:p w14:paraId="3EE9DB63" w14:textId="77777777" w:rsidR="006F0216" w:rsidRDefault="006F0216" w:rsidP="00D0274F">
      <w:pPr>
        <w:pStyle w:val="Default"/>
        <w:ind w:left="360"/>
        <w:rPr>
          <w:rFonts w:ascii="Arial" w:eastAsia="Arial" w:hAnsi="Arial" w:cs="Arial"/>
        </w:rPr>
      </w:pPr>
      <w:r w:rsidRPr="006C578B">
        <w:rPr>
          <w:rFonts w:ascii="Arial" w:eastAsia="Arial" w:hAnsi="Arial" w:cs="Arial"/>
        </w:rPr>
        <w:t>The Mobile Education Unit (MEU) Program is a non-resource customer outreach program designed to increase awareness and participation in SCE</w:t>
      </w:r>
      <w:r>
        <w:rPr>
          <w:rFonts w:ascii="Arial" w:eastAsia="Arial" w:hAnsi="Arial" w:cs="Arial"/>
        </w:rPr>
        <w:t>’</w:t>
      </w:r>
      <w:r w:rsidRPr="006C578B">
        <w:rPr>
          <w:rFonts w:ascii="Arial" w:eastAsia="Arial" w:hAnsi="Arial" w:cs="Arial"/>
        </w:rPr>
        <w:t>s Energy Efficiency, Demand Response, Self-Generation, and Income Qualified programs.  MEU attends various community</w:t>
      </w:r>
      <w:r>
        <w:rPr>
          <w:rFonts w:ascii="Arial" w:eastAsia="Arial" w:hAnsi="Arial" w:cs="Arial"/>
        </w:rPr>
        <w:t>-</w:t>
      </w:r>
      <w:r w:rsidRPr="006C578B">
        <w:rPr>
          <w:rFonts w:ascii="Arial" w:eastAsia="Arial" w:hAnsi="Arial" w:cs="Arial"/>
        </w:rPr>
        <w:t>based events throughout SCE</w:t>
      </w:r>
      <w:r>
        <w:rPr>
          <w:rFonts w:ascii="Arial" w:eastAsia="Arial" w:hAnsi="Arial" w:cs="Arial"/>
        </w:rPr>
        <w:t>’</w:t>
      </w:r>
      <w:r w:rsidRPr="006C578B">
        <w:rPr>
          <w:rFonts w:ascii="Arial" w:eastAsia="Arial" w:hAnsi="Arial" w:cs="Arial"/>
        </w:rPr>
        <w:t xml:space="preserve">s service territory.  While the </w:t>
      </w:r>
      <w:r>
        <w:rPr>
          <w:rFonts w:ascii="Arial" w:eastAsia="Arial" w:hAnsi="Arial" w:cs="Arial"/>
        </w:rPr>
        <w:t>p</w:t>
      </w:r>
      <w:r w:rsidRPr="006C578B">
        <w:rPr>
          <w:rFonts w:ascii="Arial" w:eastAsia="Arial" w:hAnsi="Arial" w:cs="Arial"/>
        </w:rPr>
        <w:t xml:space="preserve">rogram does provide </w:t>
      </w:r>
      <w:r>
        <w:rPr>
          <w:rFonts w:ascii="Arial" w:eastAsia="Arial" w:hAnsi="Arial" w:cs="Arial"/>
        </w:rPr>
        <w:t xml:space="preserve">some </w:t>
      </w:r>
      <w:r w:rsidRPr="006C578B">
        <w:rPr>
          <w:rFonts w:ascii="Arial" w:eastAsia="Arial" w:hAnsi="Arial" w:cs="Arial"/>
        </w:rPr>
        <w:t xml:space="preserve">value to end user residential customers, the </w:t>
      </w:r>
      <w:r>
        <w:rPr>
          <w:rFonts w:ascii="Arial" w:eastAsia="Arial" w:hAnsi="Arial" w:cs="Arial"/>
        </w:rPr>
        <w:t>p</w:t>
      </w:r>
      <w:r w:rsidRPr="006C578B">
        <w:rPr>
          <w:rFonts w:ascii="Arial" w:eastAsia="Arial" w:hAnsi="Arial" w:cs="Arial"/>
        </w:rPr>
        <w:t>rogram is not cost-effective as it does not deliver energy savings.</w:t>
      </w:r>
      <w:r>
        <w:rPr>
          <w:rFonts w:ascii="Arial" w:eastAsia="Arial" w:hAnsi="Arial" w:cs="Arial"/>
        </w:rPr>
        <w:t xml:space="preserve"> Thus, MEU will be discontinued.</w:t>
      </w:r>
      <w:r w:rsidRPr="006C578B">
        <w:rPr>
          <w:rFonts w:ascii="Arial" w:eastAsia="Arial" w:hAnsi="Arial" w:cs="Arial"/>
        </w:rPr>
        <w:t xml:space="preserve">  Internal and external stakeholders, including the Customer Call Center, will be notified of the </w:t>
      </w:r>
      <w:r>
        <w:rPr>
          <w:rFonts w:ascii="Arial" w:eastAsia="Arial" w:hAnsi="Arial" w:cs="Arial"/>
        </w:rPr>
        <w:t>p</w:t>
      </w:r>
      <w:r w:rsidRPr="006C578B">
        <w:rPr>
          <w:rFonts w:ascii="Arial" w:eastAsia="Arial" w:hAnsi="Arial" w:cs="Arial"/>
        </w:rPr>
        <w:t>rogram</w:t>
      </w:r>
      <w:r>
        <w:rPr>
          <w:rFonts w:ascii="Arial" w:eastAsia="Arial" w:hAnsi="Arial" w:cs="Arial"/>
        </w:rPr>
        <w:t>’</w:t>
      </w:r>
      <w:r w:rsidRPr="006C578B">
        <w:rPr>
          <w:rFonts w:ascii="Arial" w:eastAsia="Arial" w:hAnsi="Arial" w:cs="Arial"/>
        </w:rPr>
        <w:t>s closure through website updates, email blasts, and formal communication.</w:t>
      </w:r>
      <w:r w:rsidRPr="006C578B" w:rsidDel="006C578B">
        <w:rPr>
          <w:rFonts w:ascii="Arial" w:eastAsia="Arial" w:hAnsi="Arial" w:cs="Arial"/>
        </w:rPr>
        <w:t xml:space="preserve"> </w:t>
      </w:r>
    </w:p>
    <w:p w14:paraId="2C923ECE" w14:textId="77777777" w:rsidR="006F0216" w:rsidRDefault="006F0216" w:rsidP="006F0216">
      <w:pPr>
        <w:pStyle w:val="Default"/>
        <w:rPr>
          <w:rFonts w:ascii="Arial" w:eastAsia="Arial" w:hAnsi="Arial" w:cs="Arial"/>
          <w:color w:val="auto"/>
        </w:rPr>
      </w:pPr>
    </w:p>
    <w:p w14:paraId="01803683" w14:textId="77777777" w:rsidR="006F0216" w:rsidRPr="00C93F55" w:rsidRDefault="006F0216" w:rsidP="00D0274F">
      <w:pPr>
        <w:pStyle w:val="Default"/>
        <w:numPr>
          <w:ilvl w:val="0"/>
          <w:numId w:val="17"/>
        </w:numPr>
        <w:rPr>
          <w:rFonts w:ascii="Arial" w:eastAsia="Arial" w:hAnsi="Arial" w:cs="Arial"/>
          <w:b/>
          <w:bCs/>
          <w:u w:val="single"/>
        </w:rPr>
      </w:pPr>
      <w:r w:rsidRPr="00A60A31">
        <w:rPr>
          <w:rFonts w:ascii="Arial" w:eastAsia="Arial" w:hAnsi="Arial" w:cs="Arial"/>
          <w:b/>
          <w:bCs/>
          <w:u w:val="single"/>
        </w:rPr>
        <w:t>WE&amp;T – Community Language Efficiency Outreach</w:t>
      </w:r>
    </w:p>
    <w:p w14:paraId="2EB7F29E" w14:textId="77777777" w:rsidR="006F0216" w:rsidRDefault="006F0216" w:rsidP="006F0216">
      <w:pPr>
        <w:pStyle w:val="Default"/>
        <w:rPr>
          <w:rFonts w:ascii="Arial" w:hAnsi="Arial" w:cs="Arial"/>
        </w:rPr>
      </w:pPr>
      <w:r>
        <w:rPr>
          <w:rFonts w:ascii="Arial" w:hAnsi="Arial" w:cs="Arial"/>
        </w:rPr>
        <w:tab/>
      </w:r>
    </w:p>
    <w:p w14:paraId="61E3659F" w14:textId="77777777" w:rsidR="006F0216" w:rsidRPr="00967750" w:rsidRDefault="006F0216" w:rsidP="00D0274F">
      <w:pPr>
        <w:spacing w:after="240"/>
        <w:ind w:left="360"/>
      </w:pPr>
      <w:r w:rsidRPr="006C578B">
        <w:rPr>
          <w:rFonts w:ascii="Arial" w:eastAsia="Arial" w:hAnsi="Arial" w:cs="Arial"/>
        </w:rPr>
        <w:t>The Community Language Efficiency Outreach (CLEO) Program is a non-resource, language-based customer outreach program designed to increase awareness and participation in SCE</w:t>
      </w:r>
      <w:r>
        <w:rPr>
          <w:rFonts w:ascii="Arial" w:eastAsia="Arial" w:hAnsi="Arial" w:cs="Arial"/>
        </w:rPr>
        <w:t>’</w:t>
      </w:r>
      <w:r w:rsidRPr="006C578B">
        <w:rPr>
          <w:rFonts w:ascii="Arial" w:eastAsia="Arial" w:hAnsi="Arial" w:cs="Arial"/>
        </w:rPr>
        <w:t>s Energy Efficiency, Demand Response, Self-Generation, and Income Qualified programs.  CLEO attends various community</w:t>
      </w:r>
      <w:r>
        <w:rPr>
          <w:rFonts w:ascii="Arial" w:eastAsia="Arial" w:hAnsi="Arial" w:cs="Arial"/>
        </w:rPr>
        <w:t>-</w:t>
      </w:r>
      <w:r w:rsidRPr="006C578B">
        <w:rPr>
          <w:rFonts w:ascii="Arial" w:eastAsia="Arial" w:hAnsi="Arial" w:cs="Arial"/>
        </w:rPr>
        <w:t>based events throughout SCE</w:t>
      </w:r>
      <w:r>
        <w:rPr>
          <w:rFonts w:ascii="Arial" w:eastAsia="Arial" w:hAnsi="Arial" w:cs="Arial"/>
        </w:rPr>
        <w:t>’</w:t>
      </w:r>
      <w:r w:rsidRPr="006C578B">
        <w:rPr>
          <w:rFonts w:ascii="Arial" w:eastAsia="Arial" w:hAnsi="Arial" w:cs="Arial"/>
        </w:rPr>
        <w:t xml:space="preserve">s service territory </w:t>
      </w:r>
      <w:r>
        <w:rPr>
          <w:rFonts w:ascii="Arial" w:eastAsia="Arial" w:hAnsi="Arial" w:cs="Arial"/>
        </w:rPr>
        <w:t>to</w:t>
      </w:r>
      <w:r w:rsidRPr="006C578B">
        <w:rPr>
          <w:rFonts w:ascii="Arial" w:eastAsia="Arial" w:hAnsi="Arial" w:cs="Arial"/>
        </w:rPr>
        <w:t xml:space="preserve"> educate customers on the programs and services available to them in their primary language.  While the </w:t>
      </w:r>
      <w:r>
        <w:rPr>
          <w:rFonts w:ascii="Arial" w:eastAsia="Arial" w:hAnsi="Arial" w:cs="Arial"/>
        </w:rPr>
        <w:t>p</w:t>
      </w:r>
      <w:r w:rsidRPr="006C578B">
        <w:rPr>
          <w:rFonts w:ascii="Arial" w:eastAsia="Arial" w:hAnsi="Arial" w:cs="Arial"/>
        </w:rPr>
        <w:t xml:space="preserve">rogram does provide </w:t>
      </w:r>
      <w:r>
        <w:rPr>
          <w:rFonts w:ascii="Arial" w:eastAsia="Arial" w:hAnsi="Arial" w:cs="Arial"/>
        </w:rPr>
        <w:t xml:space="preserve">some </w:t>
      </w:r>
      <w:r w:rsidRPr="006C578B">
        <w:rPr>
          <w:rFonts w:ascii="Arial" w:eastAsia="Arial" w:hAnsi="Arial" w:cs="Arial"/>
        </w:rPr>
        <w:t xml:space="preserve">value to end user residential customers, the </w:t>
      </w:r>
      <w:r>
        <w:rPr>
          <w:rFonts w:ascii="Arial" w:eastAsia="Arial" w:hAnsi="Arial" w:cs="Arial"/>
        </w:rPr>
        <w:t>p</w:t>
      </w:r>
      <w:r w:rsidRPr="006C578B">
        <w:rPr>
          <w:rFonts w:ascii="Arial" w:eastAsia="Arial" w:hAnsi="Arial" w:cs="Arial"/>
        </w:rPr>
        <w:t xml:space="preserve">rogram is not cost-effective as it does not deliver energy savings. </w:t>
      </w:r>
      <w:r>
        <w:rPr>
          <w:rFonts w:ascii="Arial" w:eastAsia="Arial" w:hAnsi="Arial" w:cs="Arial"/>
        </w:rPr>
        <w:t>Thus, CLEO will be discontinued.</w:t>
      </w:r>
      <w:r w:rsidRPr="006C578B">
        <w:rPr>
          <w:rFonts w:ascii="Arial" w:eastAsia="Arial" w:hAnsi="Arial" w:cs="Arial"/>
        </w:rPr>
        <w:t xml:space="preserve"> Internal and external stakeholders, including the Customer Call Center, will be notified of the Program</w:t>
      </w:r>
      <w:r>
        <w:rPr>
          <w:rFonts w:ascii="Arial" w:eastAsia="Arial" w:hAnsi="Arial" w:cs="Arial"/>
        </w:rPr>
        <w:t>’</w:t>
      </w:r>
      <w:r w:rsidRPr="006C578B">
        <w:rPr>
          <w:rFonts w:ascii="Arial" w:eastAsia="Arial" w:hAnsi="Arial" w:cs="Arial"/>
        </w:rPr>
        <w:t>s closure through website updates, email blasts, and formal communication.</w:t>
      </w:r>
      <w:r w:rsidRPr="006C578B" w:rsidDel="006C578B">
        <w:rPr>
          <w:rFonts w:ascii="Arial" w:eastAsia="Arial" w:hAnsi="Arial" w:cs="Arial"/>
        </w:rPr>
        <w:t xml:space="preserve"> </w:t>
      </w:r>
      <w:r>
        <w:rPr>
          <w:rFonts w:ascii="Arial" w:eastAsia="Arial" w:hAnsi="Arial" w:cs="Arial"/>
        </w:rPr>
        <w:t xml:space="preserve"> </w:t>
      </w:r>
    </w:p>
    <w:p w14:paraId="2955AC57" w14:textId="6CDAE87D" w:rsidR="007519E7" w:rsidRPr="0063733D" w:rsidRDefault="007519E7" w:rsidP="00D0274F">
      <w:pPr>
        <w:pStyle w:val="Default"/>
        <w:numPr>
          <w:ilvl w:val="0"/>
          <w:numId w:val="17"/>
        </w:numPr>
        <w:rPr>
          <w:rFonts w:ascii="Arial" w:eastAsia="Arial" w:hAnsi="Arial" w:cs="Arial"/>
          <w:b/>
          <w:bCs/>
          <w:u w:val="single"/>
        </w:rPr>
      </w:pPr>
      <w:r w:rsidRPr="00A60A31">
        <w:rPr>
          <w:rFonts w:ascii="Arial" w:eastAsia="Arial" w:hAnsi="Arial" w:cs="Arial"/>
          <w:b/>
          <w:bCs/>
          <w:u w:val="single"/>
        </w:rPr>
        <w:t>Sustainable Communities</w:t>
      </w:r>
      <w:r>
        <w:rPr>
          <w:rFonts w:ascii="Arial" w:eastAsia="Arial" w:hAnsi="Arial" w:cs="Arial"/>
          <w:b/>
          <w:bCs/>
          <w:u w:val="single"/>
        </w:rPr>
        <w:t xml:space="preserve"> Pilot Program</w:t>
      </w:r>
      <w:r w:rsidR="004A2E57">
        <w:rPr>
          <w:rFonts w:ascii="Arial" w:eastAsia="Arial" w:hAnsi="Arial" w:cs="Arial"/>
          <w:b/>
          <w:bCs/>
          <w:u w:val="single"/>
        </w:rPr>
        <w:t xml:space="preserve"> (SCE-13-TP-019)</w:t>
      </w:r>
    </w:p>
    <w:p w14:paraId="56C15999" w14:textId="77777777" w:rsidR="007519E7" w:rsidRDefault="007519E7" w:rsidP="007519E7">
      <w:pPr>
        <w:pStyle w:val="Default"/>
        <w:rPr>
          <w:rFonts w:ascii="Arial" w:eastAsia="Arial" w:hAnsi="Arial" w:cs="Arial"/>
          <w:b/>
          <w:u w:val="single"/>
        </w:rPr>
      </w:pPr>
    </w:p>
    <w:p w14:paraId="5297342C" w14:textId="77777777" w:rsidR="007519E7" w:rsidRDefault="007519E7" w:rsidP="00D0274F">
      <w:pPr>
        <w:pStyle w:val="Default"/>
        <w:ind w:left="360"/>
        <w:rPr>
          <w:rFonts w:ascii="Arial" w:eastAsia="Arial" w:hAnsi="Arial" w:cs="Arial"/>
          <w:color w:val="auto"/>
        </w:rPr>
      </w:pPr>
      <w:r>
        <w:rPr>
          <w:rFonts w:ascii="Arial" w:eastAsia="Arial" w:hAnsi="Arial" w:cs="Arial"/>
        </w:rPr>
        <w:t>SCE’s Sustainable Communities Program (SCP) is a non-resource program that provides design and technical assistance, training, and other professional resources to new construction projects. The purpose of SCP is to advance new construction projects beyond Title 24</w:t>
      </w:r>
      <w:r w:rsidDel="0078225D">
        <w:rPr>
          <w:rFonts w:ascii="Arial" w:eastAsia="Arial" w:hAnsi="Arial" w:cs="Arial"/>
        </w:rPr>
        <w:t xml:space="preserve"> </w:t>
      </w:r>
      <w:r>
        <w:rPr>
          <w:rFonts w:ascii="Arial" w:eastAsia="Arial" w:hAnsi="Arial" w:cs="Arial"/>
        </w:rPr>
        <w:t xml:space="preserve">requirements to achieve Zero Net Energy (ZNE). </w:t>
      </w:r>
      <w:r w:rsidRPr="007061DA">
        <w:rPr>
          <w:rFonts w:ascii="Arial" w:eastAsia="Arial" w:hAnsi="Arial" w:cs="Arial"/>
          <w:color w:val="auto"/>
        </w:rPr>
        <w:t xml:space="preserve"> </w:t>
      </w:r>
      <w:r>
        <w:rPr>
          <w:rFonts w:ascii="Arial" w:eastAsia="Arial" w:hAnsi="Arial" w:cs="Arial"/>
          <w:color w:val="auto"/>
        </w:rPr>
        <w:t xml:space="preserve">As part of </w:t>
      </w:r>
      <w:r w:rsidRPr="007061DA">
        <w:rPr>
          <w:rFonts w:ascii="Arial" w:eastAsia="Arial" w:hAnsi="Arial" w:cs="Arial"/>
          <w:color w:val="auto"/>
        </w:rPr>
        <w:t>the 2018 –2025 EE Business Plan, SCEs Codes and Standards program</w:t>
      </w:r>
      <w:r>
        <w:rPr>
          <w:rFonts w:ascii="Arial" w:eastAsia="Arial" w:hAnsi="Arial" w:cs="Arial"/>
          <w:color w:val="auto"/>
        </w:rPr>
        <w:t xml:space="preserve"> already</w:t>
      </w:r>
      <w:r w:rsidRPr="007061DA">
        <w:rPr>
          <w:rFonts w:ascii="Arial" w:eastAsia="Arial" w:hAnsi="Arial" w:cs="Arial"/>
          <w:color w:val="auto"/>
        </w:rPr>
        <w:t xml:space="preserve"> plans to enhance its Planning and Coordination sub-program to include ZNE-preparedness activities to support the building industry in reaching ZNE</w:t>
      </w:r>
      <w:r>
        <w:rPr>
          <w:rFonts w:ascii="Arial" w:eastAsia="Arial" w:hAnsi="Arial" w:cs="Arial"/>
          <w:color w:val="auto"/>
        </w:rPr>
        <w:t>.</w:t>
      </w:r>
      <w:r w:rsidRPr="007061DA">
        <w:rPr>
          <w:rFonts w:ascii="Arial" w:eastAsia="Arial" w:hAnsi="Arial" w:cs="Arial"/>
          <w:color w:val="auto"/>
        </w:rPr>
        <w:t xml:space="preserve"> </w:t>
      </w:r>
      <w:r>
        <w:rPr>
          <w:rFonts w:ascii="Arial" w:eastAsia="Arial" w:hAnsi="Arial" w:cs="Arial"/>
          <w:color w:val="auto"/>
        </w:rPr>
        <w:t>S</w:t>
      </w:r>
      <w:r w:rsidRPr="007061DA">
        <w:rPr>
          <w:rFonts w:ascii="Arial" w:eastAsia="Arial" w:hAnsi="Arial" w:cs="Arial"/>
          <w:color w:val="auto"/>
        </w:rPr>
        <w:t>pecific</w:t>
      </w:r>
      <w:r>
        <w:rPr>
          <w:rFonts w:ascii="Arial" w:eastAsia="Arial" w:hAnsi="Arial" w:cs="Arial"/>
          <w:color w:val="auto"/>
        </w:rPr>
        <w:t>ally, ZNE-preparedness activities</w:t>
      </w:r>
      <w:r w:rsidRPr="007061DA">
        <w:rPr>
          <w:rFonts w:ascii="Arial" w:eastAsia="Arial" w:hAnsi="Arial" w:cs="Arial"/>
          <w:color w:val="auto"/>
        </w:rPr>
        <w:t xml:space="preserve"> emphasis on residential new construction through design and technical assistance, pilots, and other industry-supporting activities. </w:t>
      </w:r>
      <w:r>
        <w:rPr>
          <w:rFonts w:ascii="Arial" w:eastAsia="Arial" w:hAnsi="Arial" w:cs="Arial"/>
          <w:color w:val="auto"/>
        </w:rPr>
        <w:t>Additionally</w:t>
      </w:r>
      <w:r w:rsidRPr="006751A7">
        <w:rPr>
          <w:rFonts w:ascii="Arial" w:eastAsia="Arial" w:hAnsi="Arial" w:cs="Arial"/>
          <w:color w:val="auto"/>
        </w:rPr>
        <w:t>, the</w:t>
      </w:r>
      <w:r w:rsidRPr="007061DA">
        <w:rPr>
          <w:rFonts w:ascii="Arial" w:eastAsia="Arial" w:hAnsi="Arial" w:cs="Arial"/>
          <w:color w:val="auto"/>
        </w:rPr>
        <w:t xml:space="preserve"> Codes and Standards and Emerging Technologies Programs will continue to coordinate activities to leverage the successes of the past SCP and ZNE projects.</w:t>
      </w:r>
      <w:r w:rsidRPr="008F013F">
        <w:rPr>
          <w:rFonts w:ascii="Arial" w:eastAsia="Arial" w:hAnsi="Arial" w:cs="Arial"/>
          <w:color w:val="auto"/>
        </w:rPr>
        <w:t xml:space="preserve"> </w:t>
      </w:r>
      <w:r w:rsidRPr="007061DA">
        <w:rPr>
          <w:rFonts w:ascii="Arial" w:eastAsia="Arial" w:hAnsi="Arial" w:cs="Arial"/>
          <w:color w:val="auto"/>
        </w:rPr>
        <w:t>SCE is eliminat</w:t>
      </w:r>
      <w:r>
        <w:rPr>
          <w:rFonts w:ascii="Arial" w:eastAsia="Arial" w:hAnsi="Arial" w:cs="Arial"/>
          <w:color w:val="auto"/>
        </w:rPr>
        <w:t>ing the SCP</w:t>
      </w:r>
      <w:r w:rsidRPr="007061DA">
        <w:rPr>
          <w:rFonts w:ascii="Arial" w:eastAsia="Arial" w:hAnsi="Arial" w:cs="Arial"/>
          <w:color w:val="auto"/>
        </w:rPr>
        <w:t xml:space="preserve"> to </w:t>
      </w:r>
      <w:r>
        <w:rPr>
          <w:rFonts w:ascii="Arial" w:eastAsia="Arial" w:hAnsi="Arial" w:cs="Arial"/>
          <w:color w:val="auto"/>
        </w:rPr>
        <w:t>avoid overlapping efforts</w:t>
      </w:r>
      <w:r w:rsidRPr="007061DA">
        <w:rPr>
          <w:rFonts w:ascii="Arial" w:eastAsia="Arial" w:hAnsi="Arial" w:cs="Arial"/>
          <w:color w:val="auto"/>
        </w:rPr>
        <w:t xml:space="preserve"> and</w:t>
      </w:r>
      <w:r>
        <w:rPr>
          <w:rFonts w:ascii="Arial" w:eastAsia="Arial" w:hAnsi="Arial" w:cs="Arial"/>
          <w:color w:val="auto"/>
        </w:rPr>
        <w:t>, thereby, optimizing the cost-effectiveness</w:t>
      </w:r>
      <w:r w:rsidRPr="007061DA">
        <w:rPr>
          <w:rFonts w:ascii="Arial" w:eastAsia="Arial" w:hAnsi="Arial" w:cs="Arial"/>
          <w:color w:val="auto"/>
        </w:rPr>
        <w:t xml:space="preserve"> of the EE portfolio.</w:t>
      </w:r>
    </w:p>
    <w:p w14:paraId="311A3D5C" w14:textId="77777777" w:rsidR="007519E7" w:rsidRDefault="007519E7" w:rsidP="007519E7">
      <w:pPr>
        <w:pStyle w:val="Default"/>
        <w:rPr>
          <w:rFonts w:ascii="Arial" w:eastAsia="Arial" w:hAnsi="Arial" w:cs="Arial"/>
          <w:color w:val="auto"/>
        </w:rPr>
      </w:pPr>
    </w:p>
    <w:p w14:paraId="56A1C322" w14:textId="664B7631" w:rsidR="007519E7" w:rsidRPr="00C93F55" w:rsidRDefault="007519E7" w:rsidP="00D0274F">
      <w:pPr>
        <w:pStyle w:val="Default"/>
        <w:numPr>
          <w:ilvl w:val="0"/>
          <w:numId w:val="17"/>
        </w:numPr>
        <w:rPr>
          <w:rFonts w:ascii="Arial" w:eastAsia="Arial" w:hAnsi="Arial" w:cs="Arial"/>
          <w:b/>
          <w:bCs/>
          <w:u w:val="single"/>
        </w:rPr>
      </w:pPr>
      <w:r w:rsidRPr="7FBA53CB">
        <w:rPr>
          <w:rFonts w:ascii="Arial" w:eastAsia="Arial" w:hAnsi="Arial" w:cs="Arial"/>
          <w:b/>
          <w:bCs/>
          <w:u w:val="single"/>
        </w:rPr>
        <w:t>ARRA- Originated Financing</w:t>
      </w:r>
      <w:r>
        <w:rPr>
          <w:rFonts w:ascii="Arial" w:eastAsia="Arial" w:hAnsi="Arial" w:cs="Arial"/>
          <w:b/>
          <w:bCs/>
          <w:u w:val="single"/>
        </w:rPr>
        <w:t xml:space="preserve"> </w:t>
      </w:r>
      <w:r w:rsidRPr="00A60A31">
        <w:rPr>
          <w:rFonts w:ascii="Arial" w:eastAsia="Arial" w:hAnsi="Arial" w:cs="Arial"/>
          <w:b/>
          <w:bCs/>
          <w:u w:val="single"/>
        </w:rPr>
        <w:t xml:space="preserve">- </w:t>
      </w:r>
      <w:r w:rsidRPr="4449B471">
        <w:rPr>
          <w:rFonts w:ascii="Arial" w:eastAsia="Arial" w:hAnsi="Arial" w:cs="Arial"/>
          <w:b/>
          <w:bCs/>
          <w:u w:val="single"/>
        </w:rPr>
        <w:t>EmPower</w:t>
      </w:r>
      <w:r w:rsidR="004A2E57">
        <w:rPr>
          <w:rFonts w:ascii="Arial" w:eastAsia="Arial" w:hAnsi="Arial" w:cs="Arial"/>
          <w:b/>
          <w:bCs/>
          <w:u w:val="single"/>
        </w:rPr>
        <w:t xml:space="preserve"> (SCE-13-SW-007B)</w:t>
      </w:r>
    </w:p>
    <w:p w14:paraId="16C7D1E3" w14:textId="77777777" w:rsidR="007519E7" w:rsidRDefault="007519E7" w:rsidP="007519E7">
      <w:pPr>
        <w:rPr>
          <w:rFonts w:ascii="Arial" w:hAnsi="Arial" w:cs="Arial"/>
        </w:rPr>
      </w:pPr>
    </w:p>
    <w:p w14:paraId="0ACB9F79" w14:textId="77777777" w:rsidR="007519E7" w:rsidRDefault="007519E7" w:rsidP="00D0274F">
      <w:pPr>
        <w:ind w:left="360"/>
        <w:rPr>
          <w:rFonts w:ascii="Arial" w:eastAsia="Arial" w:hAnsi="Arial" w:cs="Arial"/>
        </w:rPr>
      </w:pPr>
      <w:r w:rsidRPr="4449B471">
        <w:rPr>
          <w:rFonts w:ascii="Arial" w:eastAsia="Arial" w:hAnsi="Arial" w:cs="Arial"/>
        </w:rPr>
        <w:t xml:space="preserve">The EmPower Energy Efficiency Program is a continuation of financing programs originally supported by American Recovery and Reinvestment Act (ARRA) stimulus funding in 2011 and 2012 and implemented by local governments.  The Program was created to streamline the process of attaining low-cost unsecured loans, qualify </w:t>
      </w:r>
      <w:r>
        <w:rPr>
          <w:rFonts w:ascii="Arial" w:eastAsia="Arial" w:hAnsi="Arial" w:cs="Arial"/>
        </w:rPr>
        <w:t>t</w:t>
      </w:r>
      <w:r w:rsidRPr="4449B471">
        <w:rPr>
          <w:rFonts w:ascii="Arial" w:eastAsia="Arial" w:hAnsi="Arial" w:cs="Arial"/>
        </w:rPr>
        <w:t>hird-</w:t>
      </w:r>
      <w:r>
        <w:rPr>
          <w:rFonts w:ascii="Arial" w:eastAsia="Arial" w:hAnsi="Arial" w:cs="Arial"/>
        </w:rPr>
        <w:t>p</w:t>
      </w:r>
      <w:r w:rsidRPr="4449B471">
        <w:rPr>
          <w:rFonts w:ascii="Arial" w:eastAsia="Arial" w:hAnsi="Arial" w:cs="Arial"/>
        </w:rPr>
        <w:t xml:space="preserve">arty </w:t>
      </w:r>
      <w:r>
        <w:rPr>
          <w:rFonts w:ascii="Arial" w:eastAsia="Arial" w:hAnsi="Arial" w:cs="Arial"/>
        </w:rPr>
        <w:t>c</w:t>
      </w:r>
      <w:r w:rsidRPr="4449B471">
        <w:rPr>
          <w:rFonts w:ascii="Arial" w:eastAsia="Arial" w:hAnsi="Arial" w:cs="Arial"/>
        </w:rPr>
        <w:t>ontractors, and provid</w:t>
      </w:r>
      <w:r>
        <w:rPr>
          <w:rFonts w:ascii="Arial" w:eastAsia="Arial" w:hAnsi="Arial" w:cs="Arial"/>
        </w:rPr>
        <w:t>e</w:t>
      </w:r>
      <w:r w:rsidRPr="4449B471">
        <w:rPr>
          <w:rFonts w:ascii="Arial" w:eastAsia="Arial" w:hAnsi="Arial" w:cs="Arial"/>
        </w:rPr>
        <w:t xml:space="preserve"> utility rebates to help homeowners overcome the high upfront cost and confusion </w:t>
      </w:r>
      <w:r>
        <w:rPr>
          <w:rFonts w:ascii="Arial" w:eastAsia="Arial" w:hAnsi="Arial" w:cs="Arial"/>
        </w:rPr>
        <w:t>of</w:t>
      </w:r>
      <w:r w:rsidRPr="4449B471">
        <w:rPr>
          <w:rFonts w:ascii="Arial" w:eastAsia="Arial" w:hAnsi="Arial" w:cs="Arial"/>
        </w:rPr>
        <w:t xml:space="preserve"> making home energy upgrades.  </w:t>
      </w:r>
      <w:r>
        <w:rPr>
          <w:rFonts w:ascii="Arial" w:eastAsia="Arial" w:hAnsi="Arial" w:cs="Arial"/>
        </w:rPr>
        <w:t xml:space="preserve">Additionally, </w:t>
      </w:r>
      <w:r w:rsidRPr="4449B471">
        <w:rPr>
          <w:rFonts w:ascii="Arial" w:eastAsia="Arial" w:hAnsi="Arial" w:cs="Arial"/>
        </w:rPr>
        <w:t xml:space="preserve">EmPower </w:t>
      </w:r>
      <w:r>
        <w:rPr>
          <w:rFonts w:ascii="Arial" w:eastAsia="Arial" w:hAnsi="Arial" w:cs="Arial"/>
        </w:rPr>
        <w:t>aimed to increase customer participation in the u</w:t>
      </w:r>
      <w:r w:rsidRPr="4449B471">
        <w:rPr>
          <w:rFonts w:ascii="Arial" w:eastAsia="Arial" w:hAnsi="Arial" w:cs="Arial"/>
        </w:rPr>
        <w:t>tilities</w:t>
      </w:r>
      <w:r>
        <w:rPr>
          <w:rFonts w:ascii="Arial" w:eastAsia="Arial" w:hAnsi="Arial" w:cs="Arial"/>
        </w:rPr>
        <w:t>’</w:t>
      </w:r>
      <w:r w:rsidRPr="4449B471">
        <w:rPr>
          <w:rFonts w:ascii="Arial" w:eastAsia="Arial" w:hAnsi="Arial" w:cs="Arial"/>
        </w:rPr>
        <w:t xml:space="preserve"> Energy Upgrade California program (“EUC Program”) </w:t>
      </w:r>
      <w:r>
        <w:rPr>
          <w:rFonts w:ascii="Arial" w:eastAsia="Arial" w:hAnsi="Arial" w:cs="Arial"/>
        </w:rPr>
        <w:t xml:space="preserve">by </w:t>
      </w:r>
      <w:r w:rsidRPr="4449B471">
        <w:rPr>
          <w:rFonts w:ascii="Arial" w:eastAsia="Arial" w:hAnsi="Arial" w:cs="Arial"/>
        </w:rPr>
        <w:t>coordinat</w:t>
      </w:r>
      <w:r>
        <w:rPr>
          <w:rFonts w:ascii="Arial" w:eastAsia="Arial" w:hAnsi="Arial" w:cs="Arial"/>
        </w:rPr>
        <w:t>ing with customers</w:t>
      </w:r>
      <w:r w:rsidRPr="4449B471">
        <w:rPr>
          <w:rFonts w:ascii="Arial" w:eastAsia="Arial" w:hAnsi="Arial" w:cs="Arial"/>
        </w:rPr>
        <w:t xml:space="preserve">.  </w:t>
      </w:r>
    </w:p>
    <w:p w14:paraId="40B1ACAA" w14:textId="77777777" w:rsidR="007519E7" w:rsidRDefault="007519E7" w:rsidP="00D0274F">
      <w:pPr>
        <w:ind w:left="360"/>
        <w:rPr>
          <w:rFonts w:ascii="Arial" w:eastAsia="Arial" w:hAnsi="Arial" w:cs="Arial"/>
        </w:rPr>
      </w:pPr>
    </w:p>
    <w:p w14:paraId="36AC3E4D" w14:textId="6CBC8AE0" w:rsidR="00221107" w:rsidRPr="008D4F1B" w:rsidRDefault="007519E7" w:rsidP="00D0274F">
      <w:pPr>
        <w:ind w:left="360"/>
        <w:rPr>
          <w:rFonts w:ascii="Arial" w:eastAsia="Arial" w:hAnsi="Arial" w:cs="Arial"/>
        </w:rPr>
      </w:pPr>
      <w:r>
        <w:rPr>
          <w:rFonts w:ascii="Arial" w:eastAsia="Arial" w:hAnsi="Arial" w:cs="Arial"/>
        </w:rPr>
        <w:t>Despite efforts</w:t>
      </w:r>
      <w:r w:rsidRPr="4449B471">
        <w:rPr>
          <w:rFonts w:ascii="Arial" w:eastAsia="Arial" w:hAnsi="Arial" w:cs="Arial"/>
        </w:rPr>
        <w:t xml:space="preserve">, the EmPower program has a very low conversion rate </w:t>
      </w:r>
      <w:r>
        <w:rPr>
          <w:rFonts w:ascii="Arial" w:eastAsia="Arial" w:hAnsi="Arial" w:cs="Arial"/>
        </w:rPr>
        <w:t>of</w:t>
      </w:r>
      <w:r w:rsidRPr="4449B471">
        <w:rPr>
          <w:rFonts w:ascii="Arial" w:eastAsia="Arial" w:hAnsi="Arial" w:cs="Arial"/>
        </w:rPr>
        <w:t xml:space="preserve"> turning interested customers into actual EUC projects with </w:t>
      </w:r>
      <w:r>
        <w:rPr>
          <w:rFonts w:ascii="Arial" w:eastAsia="Arial" w:hAnsi="Arial" w:cs="Arial"/>
        </w:rPr>
        <w:t>few</w:t>
      </w:r>
      <w:r w:rsidRPr="4449B471">
        <w:rPr>
          <w:rFonts w:ascii="Arial" w:eastAsia="Arial" w:hAnsi="Arial" w:cs="Arial"/>
        </w:rPr>
        <w:t xml:space="preserve"> to no closed loans</w:t>
      </w:r>
      <w:r>
        <w:rPr>
          <w:rFonts w:ascii="Arial" w:eastAsia="Arial" w:hAnsi="Arial" w:cs="Arial"/>
        </w:rPr>
        <w:t>. Furthermore,</w:t>
      </w:r>
      <w:r w:rsidRPr="4449B471">
        <w:rPr>
          <w:rFonts w:ascii="Arial" w:eastAsia="Arial" w:hAnsi="Arial" w:cs="Arial"/>
        </w:rPr>
        <w:t xml:space="preserve"> </w:t>
      </w:r>
      <w:r>
        <w:rPr>
          <w:rFonts w:ascii="Arial" w:eastAsia="Arial" w:hAnsi="Arial" w:cs="Arial"/>
        </w:rPr>
        <w:t xml:space="preserve">there is </w:t>
      </w:r>
      <w:r w:rsidRPr="4449B471">
        <w:rPr>
          <w:rFonts w:ascii="Arial" w:eastAsia="Arial" w:hAnsi="Arial" w:cs="Arial"/>
        </w:rPr>
        <w:t xml:space="preserve">very limited evidence of direct correlation between </w:t>
      </w:r>
      <w:r>
        <w:rPr>
          <w:rFonts w:ascii="Arial" w:eastAsia="Arial" w:hAnsi="Arial" w:cs="Arial"/>
        </w:rPr>
        <w:t>EmPower</w:t>
      </w:r>
      <w:r w:rsidRPr="4449B471">
        <w:rPr>
          <w:rFonts w:ascii="Arial" w:eastAsia="Arial" w:hAnsi="Arial" w:cs="Arial"/>
        </w:rPr>
        <w:t xml:space="preserve"> activities and EUC or other program participation.  </w:t>
      </w:r>
    </w:p>
    <w:p w14:paraId="3EEE2E40" w14:textId="77777777" w:rsidR="00E15663" w:rsidRDefault="00E15663" w:rsidP="00221107">
      <w:pPr>
        <w:pStyle w:val="Default"/>
        <w:ind w:left="1440"/>
        <w:rPr>
          <w:rFonts w:ascii="Arial" w:eastAsia="Arial" w:hAnsi="Arial" w:cs="Arial"/>
          <w:b/>
          <w:bCs/>
          <w:u w:val="single"/>
        </w:rPr>
      </w:pPr>
    </w:p>
    <w:p w14:paraId="23C3D2F9" w14:textId="77777777" w:rsidR="0040600E" w:rsidRDefault="0040600E" w:rsidP="00D0274F">
      <w:pPr>
        <w:pStyle w:val="Default"/>
        <w:numPr>
          <w:ilvl w:val="0"/>
          <w:numId w:val="17"/>
        </w:numPr>
        <w:rPr>
          <w:rFonts w:ascii="Arial" w:eastAsia="Arial" w:hAnsi="Arial" w:cs="Arial"/>
          <w:b/>
          <w:bCs/>
          <w:u w:val="single"/>
        </w:rPr>
      </w:pPr>
      <w:r>
        <w:rPr>
          <w:rFonts w:ascii="Arial" w:eastAsia="Arial" w:hAnsi="Arial" w:cs="Arial"/>
          <w:b/>
          <w:bCs/>
          <w:u w:val="single"/>
        </w:rPr>
        <w:t>Commercial Continuous Energy Improvement</w:t>
      </w:r>
    </w:p>
    <w:p w14:paraId="7136D711" w14:textId="77777777" w:rsidR="00B757C8" w:rsidRDefault="00B757C8" w:rsidP="00D0274F">
      <w:pPr>
        <w:pStyle w:val="Default"/>
        <w:rPr>
          <w:rFonts w:ascii="Arial" w:eastAsia="Arial" w:hAnsi="Arial" w:cs="Arial"/>
          <w:bCs/>
          <w:u w:val="single"/>
        </w:rPr>
      </w:pPr>
    </w:p>
    <w:p w14:paraId="26F7F92B" w14:textId="2C6B6EB3" w:rsidR="006A4713" w:rsidRPr="00D0274F" w:rsidRDefault="006A4713" w:rsidP="00D0274F">
      <w:pPr>
        <w:pStyle w:val="Default"/>
        <w:ind w:left="360"/>
        <w:rPr>
          <w:rFonts w:ascii="Arial" w:eastAsia="Arial" w:hAnsi="Arial" w:cs="Arial"/>
        </w:rPr>
      </w:pPr>
      <w:r w:rsidRPr="00D0274F">
        <w:rPr>
          <w:rFonts w:ascii="Arial" w:eastAsia="Arial" w:hAnsi="Arial" w:cs="Arial"/>
        </w:rPr>
        <w:t>Commercial Continuous Energy Improvement (CEI) is a non-resource program designed to make energy an organizational priority for customers by employing change management and process improvement strategies for energy management. Energy Advisors provide strategic energy management consulting and training.</w:t>
      </w:r>
      <w:r w:rsidR="000A6CF5">
        <w:rPr>
          <w:rFonts w:ascii="Arial" w:eastAsia="Arial" w:hAnsi="Arial" w:cs="Arial"/>
        </w:rPr>
        <w:t xml:space="preserve">  </w:t>
      </w:r>
      <w:r w:rsidR="000A6CF5" w:rsidRPr="18065B3B">
        <w:rPr>
          <w:rFonts w:ascii="Arial" w:eastAsia="Arial" w:hAnsi="Arial" w:cs="Arial"/>
        </w:rPr>
        <w:t>SCE will consolidate the Agriculture Continuous Energy Improvement Program, Commercial Continuous Energy Improvement Program, and the Industrial Continuous Energy Improvement Program into a single program named the Strategic Energy Management</w:t>
      </w:r>
      <w:r w:rsidR="000A6CF5">
        <w:rPr>
          <w:rFonts w:ascii="Arial" w:eastAsia="Arial" w:hAnsi="Arial" w:cs="Arial"/>
        </w:rPr>
        <w:t xml:space="preserve"> (SEM)</w:t>
      </w:r>
      <w:r w:rsidR="000A6CF5" w:rsidRPr="18065B3B">
        <w:rPr>
          <w:rFonts w:ascii="Arial" w:eastAsia="Arial" w:hAnsi="Arial" w:cs="Arial"/>
        </w:rPr>
        <w:t xml:space="preserve"> program.</w:t>
      </w:r>
      <w:r w:rsidR="000A6CF5">
        <w:rPr>
          <w:rFonts w:ascii="Arial" w:eastAsia="Arial" w:hAnsi="Arial" w:cs="Arial"/>
        </w:rPr>
        <w:t xml:space="preserve">  Please see SEM program description in the New Programs and Subprograms below.</w:t>
      </w:r>
    </w:p>
    <w:p w14:paraId="499172F0" w14:textId="77777777" w:rsidR="006A4713" w:rsidRDefault="006A4713" w:rsidP="00D0274F">
      <w:pPr>
        <w:pStyle w:val="Default"/>
        <w:ind w:left="360"/>
        <w:rPr>
          <w:rFonts w:ascii="Arial" w:eastAsia="Arial" w:hAnsi="Arial" w:cs="Arial"/>
          <w:u w:val="single"/>
        </w:rPr>
      </w:pPr>
    </w:p>
    <w:p w14:paraId="4B0B50E5" w14:textId="77777777" w:rsidR="00B757C8" w:rsidRDefault="00B757C8" w:rsidP="00D0274F">
      <w:pPr>
        <w:pStyle w:val="Default"/>
        <w:rPr>
          <w:rFonts w:ascii="Arial" w:eastAsia="Arial" w:hAnsi="Arial" w:cs="Arial"/>
          <w:b/>
          <w:bCs/>
          <w:u w:val="single"/>
        </w:rPr>
      </w:pPr>
    </w:p>
    <w:p w14:paraId="17905811" w14:textId="77777777" w:rsidR="0040600E" w:rsidRDefault="0040600E" w:rsidP="00D0274F">
      <w:pPr>
        <w:pStyle w:val="Default"/>
        <w:numPr>
          <w:ilvl w:val="0"/>
          <w:numId w:val="17"/>
        </w:numPr>
        <w:rPr>
          <w:rFonts w:ascii="Arial" w:eastAsia="Arial" w:hAnsi="Arial" w:cs="Arial"/>
          <w:b/>
          <w:bCs/>
          <w:u w:val="single"/>
        </w:rPr>
      </w:pPr>
      <w:r>
        <w:rPr>
          <w:rFonts w:ascii="Arial" w:eastAsia="Arial" w:hAnsi="Arial" w:cs="Arial"/>
          <w:b/>
          <w:bCs/>
          <w:u w:val="single"/>
        </w:rPr>
        <w:t>Agricultural Continuous Energy Improvement</w:t>
      </w:r>
    </w:p>
    <w:p w14:paraId="5FE5A31B" w14:textId="77777777" w:rsidR="00B757C8" w:rsidRDefault="00B757C8" w:rsidP="00D0274F">
      <w:pPr>
        <w:pStyle w:val="Default"/>
        <w:rPr>
          <w:rFonts w:ascii="Arial" w:eastAsia="Arial" w:hAnsi="Arial" w:cs="Arial"/>
          <w:bCs/>
          <w:u w:val="single"/>
        </w:rPr>
      </w:pPr>
    </w:p>
    <w:p w14:paraId="6E2941D5" w14:textId="30828126" w:rsidR="006A4713" w:rsidRPr="00D0274F" w:rsidRDefault="006A4713" w:rsidP="00D0274F">
      <w:pPr>
        <w:pStyle w:val="Default"/>
        <w:ind w:left="360"/>
        <w:rPr>
          <w:rFonts w:ascii="Arial" w:eastAsia="Arial" w:hAnsi="Arial" w:cs="Arial"/>
        </w:rPr>
      </w:pPr>
      <w:r w:rsidRPr="00D0274F">
        <w:rPr>
          <w:rFonts w:ascii="Arial" w:eastAsia="Arial" w:hAnsi="Arial" w:cs="Arial"/>
        </w:rPr>
        <w:t xml:space="preserve">The Agricultural Continuous Energy Improvement is a non-resource program </w:t>
      </w:r>
      <w:r w:rsidR="00244060" w:rsidRPr="00D0274F">
        <w:rPr>
          <w:rFonts w:ascii="Arial" w:eastAsia="Arial" w:hAnsi="Arial" w:cs="Arial"/>
        </w:rPr>
        <w:t>designed to help agricultural customers engage in long-term strategic energy planning.</w:t>
      </w:r>
      <w:r w:rsidR="000A6CF5">
        <w:rPr>
          <w:rFonts w:ascii="Arial" w:eastAsia="Arial" w:hAnsi="Arial" w:cs="Arial"/>
        </w:rPr>
        <w:t xml:space="preserve">  </w:t>
      </w:r>
      <w:r w:rsidR="000A6CF5" w:rsidRPr="18065B3B">
        <w:rPr>
          <w:rFonts w:ascii="Arial" w:eastAsia="Arial" w:hAnsi="Arial" w:cs="Arial"/>
        </w:rPr>
        <w:t>SCE will consolidate the Agriculture Continuous Energy Improvement Program, Commercial Continuous Energy Improvement Program, and the Industrial Continuous Energy Improvement Program into a single program named the Strategic Energy Management</w:t>
      </w:r>
      <w:r w:rsidR="000A6CF5">
        <w:rPr>
          <w:rFonts w:ascii="Arial" w:eastAsia="Arial" w:hAnsi="Arial" w:cs="Arial"/>
        </w:rPr>
        <w:t xml:space="preserve"> (SEM)</w:t>
      </w:r>
      <w:r w:rsidR="000A6CF5" w:rsidRPr="18065B3B">
        <w:rPr>
          <w:rFonts w:ascii="Arial" w:eastAsia="Arial" w:hAnsi="Arial" w:cs="Arial"/>
        </w:rPr>
        <w:t xml:space="preserve"> program.</w:t>
      </w:r>
      <w:r w:rsidR="000A6CF5">
        <w:rPr>
          <w:rFonts w:ascii="Arial" w:eastAsia="Arial" w:hAnsi="Arial" w:cs="Arial"/>
        </w:rPr>
        <w:t xml:space="preserve">  Please see SEM program description in the New Programs and Subprograms below.</w:t>
      </w:r>
    </w:p>
    <w:p w14:paraId="3FCF76E6" w14:textId="77777777" w:rsidR="006A4713" w:rsidRDefault="006A4713" w:rsidP="00D0274F">
      <w:pPr>
        <w:pStyle w:val="Default"/>
        <w:ind w:left="360"/>
        <w:rPr>
          <w:rFonts w:ascii="Arial" w:eastAsia="Arial" w:hAnsi="Arial" w:cs="Arial"/>
          <w:u w:val="single"/>
        </w:rPr>
      </w:pPr>
    </w:p>
    <w:p w14:paraId="11486A9B" w14:textId="77777777" w:rsidR="0040600E" w:rsidRDefault="0040600E" w:rsidP="00221107">
      <w:pPr>
        <w:pStyle w:val="Default"/>
        <w:ind w:left="1440"/>
        <w:rPr>
          <w:rFonts w:ascii="Arial" w:eastAsia="Arial" w:hAnsi="Arial" w:cs="Arial"/>
          <w:b/>
          <w:bCs/>
          <w:u w:val="single"/>
        </w:rPr>
      </w:pPr>
    </w:p>
    <w:p w14:paraId="388F1FF2" w14:textId="0F24BEE2" w:rsidR="00E32C71" w:rsidRDefault="00E32C71" w:rsidP="00E32C71">
      <w:pPr>
        <w:pStyle w:val="Default"/>
        <w:numPr>
          <w:ilvl w:val="0"/>
          <w:numId w:val="17"/>
        </w:numPr>
        <w:rPr>
          <w:rFonts w:ascii="Arial" w:eastAsia="Arial" w:hAnsi="Arial" w:cs="Arial"/>
          <w:b/>
          <w:bCs/>
          <w:u w:val="single"/>
        </w:rPr>
      </w:pPr>
      <w:r>
        <w:rPr>
          <w:rFonts w:ascii="Arial" w:eastAsia="Arial" w:hAnsi="Arial" w:cs="Arial"/>
          <w:b/>
          <w:bCs/>
          <w:u w:val="single"/>
        </w:rPr>
        <w:t>Industrial Continuous Energy Improvement</w:t>
      </w:r>
    </w:p>
    <w:p w14:paraId="65C94F4B" w14:textId="77777777" w:rsidR="00E32C71" w:rsidRDefault="00E32C71" w:rsidP="00E32C71">
      <w:pPr>
        <w:pStyle w:val="Default"/>
        <w:rPr>
          <w:rFonts w:ascii="Arial" w:eastAsia="Arial" w:hAnsi="Arial" w:cs="Arial"/>
          <w:bCs/>
          <w:u w:val="single"/>
        </w:rPr>
      </w:pPr>
    </w:p>
    <w:p w14:paraId="0448A0E3" w14:textId="0DAB66F5" w:rsidR="00E32C71" w:rsidRDefault="000A6CF5" w:rsidP="00E32C71">
      <w:pPr>
        <w:pStyle w:val="Default"/>
        <w:ind w:left="360"/>
        <w:rPr>
          <w:rFonts w:ascii="Arial" w:eastAsia="Arial" w:hAnsi="Arial" w:cs="Arial"/>
        </w:rPr>
      </w:pPr>
      <w:r w:rsidRPr="00F01C7B">
        <w:rPr>
          <w:rFonts w:ascii="Arial" w:eastAsia="Arial" w:hAnsi="Arial" w:cs="Arial"/>
        </w:rPr>
        <w:t>The Industrial Continuous Energy Improvement is a non</w:t>
      </w:r>
      <w:r w:rsidR="00F01C7B">
        <w:rPr>
          <w:rFonts w:ascii="Arial" w:eastAsia="Arial" w:hAnsi="Arial" w:cs="Arial"/>
        </w:rPr>
        <w:t>-</w:t>
      </w:r>
      <w:r w:rsidRPr="00F01C7B">
        <w:rPr>
          <w:rFonts w:ascii="Arial" w:eastAsia="Arial" w:hAnsi="Arial" w:cs="Arial"/>
        </w:rPr>
        <w:t>resource program that is designed to provide consultative service aimed at helping industrial customers engaged in a long-term strategic energy planning.</w:t>
      </w:r>
      <w:r w:rsidR="00F01C7B">
        <w:rPr>
          <w:rFonts w:ascii="Arial" w:eastAsia="Arial" w:hAnsi="Arial" w:cs="Arial"/>
        </w:rPr>
        <w:t xml:space="preserve">  </w:t>
      </w:r>
      <w:r w:rsidRPr="18065B3B">
        <w:rPr>
          <w:rFonts w:ascii="Arial" w:eastAsia="Arial" w:hAnsi="Arial" w:cs="Arial"/>
        </w:rPr>
        <w:t xml:space="preserve">SCE will consolidate the Agriculture Continuous Energy Improvement Program, Commercial Continuous Energy Improvement Program, and the Industrial Continuous Energy Improvement </w:t>
      </w:r>
      <w:r w:rsidRPr="18065B3B">
        <w:rPr>
          <w:rFonts w:ascii="Arial" w:eastAsia="Arial" w:hAnsi="Arial" w:cs="Arial"/>
        </w:rPr>
        <w:lastRenderedPageBreak/>
        <w:t>Program into a single program named the Strategic Energy Management</w:t>
      </w:r>
      <w:r>
        <w:rPr>
          <w:rFonts w:ascii="Arial" w:eastAsia="Arial" w:hAnsi="Arial" w:cs="Arial"/>
        </w:rPr>
        <w:t xml:space="preserve"> (SEM)</w:t>
      </w:r>
      <w:r w:rsidRPr="18065B3B">
        <w:rPr>
          <w:rFonts w:ascii="Arial" w:eastAsia="Arial" w:hAnsi="Arial" w:cs="Arial"/>
        </w:rPr>
        <w:t xml:space="preserve"> program.</w:t>
      </w:r>
      <w:r>
        <w:rPr>
          <w:rFonts w:ascii="Arial" w:eastAsia="Arial" w:hAnsi="Arial" w:cs="Arial"/>
        </w:rPr>
        <w:t xml:space="preserve">  Please see SEM program description in the New Programs and Subprograms below.</w:t>
      </w:r>
    </w:p>
    <w:p w14:paraId="32B372AC" w14:textId="77777777" w:rsidR="00E32C71" w:rsidRDefault="00E32C71" w:rsidP="008D4F1B">
      <w:pPr>
        <w:pStyle w:val="Default"/>
        <w:rPr>
          <w:rFonts w:ascii="Arial" w:eastAsia="Arial" w:hAnsi="Arial" w:cs="Arial"/>
          <w:b/>
          <w:bCs/>
          <w:u w:val="single"/>
        </w:rPr>
      </w:pPr>
    </w:p>
    <w:p w14:paraId="4154CCD3" w14:textId="79168E2B" w:rsidR="00221107" w:rsidRPr="00C30475" w:rsidRDefault="00221107" w:rsidP="00C30475">
      <w:pPr>
        <w:pStyle w:val="Default"/>
        <w:rPr>
          <w:rFonts w:ascii="Arial" w:eastAsia="Arial" w:hAnsi="Arial" w:cs="Arial"/>
        </w:rPr>
      </w:pPr>
    </w:p>
    <w:p w14:paraId="6D5B9581" w14:textId="73ABB510" w:rsidR="00221107" w:rsidRDefault="00221107" w:rsidP="005F1A23">
      <w:pPr>
        <w:spacing w:after="480"/>
        <w:rPr>
          <w:rFonts w:ascii="Arial" w:eastAsia="Arial" w:hAnsi="Arial" w:cs="Arial"/>
        </w:rPr>
      </w:pPr>
      <w:r>
        <w:rPr>
          <w:rFonts w:ascii="Arial" w:eastAsia="Arial" w:hAnsi="Arial" w:cs="Arial"/>
          <w:b/>
          <w:bCs/>
          <w:u w:val="single"/>
        </w:rPr>
        <w:t>New Programs and Subprograms</w:t>
      </w:r>
    </w:p>
    <w:p w14:paraId="4E61AA07" w14:textId="653F5357" w:rsidR="00D0274F" w:rsidRDefault="00221107" w:rsidP="000A6CF5">
      <w:pPr>
        <w:numPr>
          <w:ilvl w:val="0"/>
          <w:numId w:val="18"/>
        </w:numPr>
        <w:rPr>
          <w:rFonts w:ascii="Arial" w:eastAsia="Arial" w:hAnsi="Arial" w:cs="Arial"/>
          <w:b/>
          <w:bCs/>
          <w:u w:val="single"/>
        </w:rPr>
      </w:pPr>
      <w:r w:rsidRPr="008F7E83">
        <w:rPr>
          <w:rFonts w:ascii="Arial" w:eastAsia="Arial" w:hAnsi="Arial" w:cs="Arial"/>
          <w:b/>
          <w:bCs/>
          <w:u w:val="single"/>
        </w:rPr>
        <w:t>Midstream Point of Purchase</w:t>
      </w:r>
      <w:r w:rsidR="00D0274F">
        <w:rPr>
          <w:rFonts w:ascii="Arial" w:eastAsia="Arial" w:hAnsi="Arial" w:cs="Arial"/>
          <w:b/>
          <w:bCs/>
          <w:u w:val="single"/>
        </w:rPr>
        <w:t xml:space="preserve"> (SCE-13-SW-002H)</w:t>
      </w:r>
    </w:p>
    <w:p w14:paraId="5205962F" w14:textId="77777777" w:rsidR="00D0274F" w:rsidRDefault="00D0274F" w:rsidP="000A6CF5">
      <w:pPr>
        <w:ind w:left="720"/>
        <w:rPr>
          <w:rFonts w:ascii="Arial" w:eastAsia="Arial" w:hAnsi="Arial" w:cs="Arial"/>
          <w:b/>
          <w:bCs/>
          <w:u w:val="single"/>
        </w:rPr>
      </w:pPr>
    </w:p>
    <w:p w14:paraId="7F210BFC" w14:textId="442F10C3" w:rsidR="000A6CF5" w:rsidRDefault="00044384" w:rsidP="000A6CF5">
      <w:pPr>
        <w:ind w:left="360"/>
        <w:rPr>
          <w:rFonts w:ascii="Arial" w:eastAsia="Arial" w:hAnsi="Arial" w:cs="Arial"/>
        </w:rPr>
      </w:pPr>
      <w:r w:rsidRPr="000A6CF5">
        <w:rPr>
          <w:rFonts w:ascii="Arial" w:eastAsia="Arial" w:hAnsi="Arial" w:cs="Arial"/>
        </w:rPr>
        <w:t xml:space="preserve">The Midstream Point of Purchase (MPOP) program provides incentives at the point of purchase through participating distributors </w:t>
      </w:r>
      <w:r w:rsidR="004F3439" w:rsidRPr="000A6CF5">
        <w:rPr>
          <w:rFonts w:ascii="Arial" w:eastAsia="Arial" w:hAnsi="Arial" w:cs="Arial"/>
        </w:rPr>
        <w:t>of</w:t>
      </w:r>
      <w:r w:rsidRPr="000A6CF5">
        <w:rPr>
          <w:rFonts w:ascii="Arial" w:eastAsia="Arial" w:hAnsi="Arial" w:cs="Arial"/>
        </w:rPr>
        <w:t xml:space="preserve"> certain pre-approved energy-e</w:t>
      </w:r>
      <w:r w:rsidR="004F3439" w:rsidRPr="000A6CF5">
        <w:rPr>
          <w:rFonts w:ascii="Arial" w:eastAsia="Arial" w:hAnsi="Arial" w:cs="Arial"/>
        </w:rPr>
        <w:t>fficient products</w:t>
      </w:r>
      <w:r w:rsidR="00D0274F">
        <w:rPr>
          <w:rFonts w:ascii="Arial" w:eastAsia="Arial" w:hAnsi="Arial" w:cs="Arial"/>
        </w:rPr>
        <w:t>.</w:t>
      </w:r>
      <w:r w:rsidRPr="000A6CF5">
        <w:rPr>
          <w:rFonts w:ascii="Arial" w:eastAsia="Arial" w:hAnsi="Arial" w:cs="Arial" w:hint="eastAsia"/>
        </w:rPr>
        <w:t> </w:t>
      </w:r>
      <w:r w:rsidRPr="000A6CF5">
        <w:rPr>
          <w:rFonts w:ascii="Arial" w:eastAsia="Arial" w:hAnsi="Arial" w:cs="Arial"/>
        </w:rPr>
        <w:t xml:space="preserve"> The MPOP program encourages distributors to purchase and stock higher quantities of high-efficiency equipment.</w:t>
      </w:r>
      <w:r w:rsidRPr="000A6CF5">
        <w:rPr>
          <w:rFonts w:ascii="Arial" w:eastAsia="Arial" w:hAnsi="Arial" w:cs="Arial" w:hint="eastAsia"/>
        </w:rPr>
        <w:t> </w:t>
      </w:r>
      <w:r w:rsidRPr="000A6CF5">
        <w:rPr>
          <w:rFonts w:ascii="Arial" w:eastAsia="Arial" w:hAnsi="Arial" w:cs="Arial"/>
        </w:rPr>
        <w:t xml:space="preserve"> MPOP</w:t>
      </w:r>
      <w:r w:rsidR="0040600E" w:rsidRPr="000A6CF5">
        <w:rPr>
          <w:rFonts w:ascii="Arial" w:eastAsia="Arial" w:hAnsi="Arial" w:cs="Arial"/>
        </w:rPr>
        <w:t>’</w:t>
      </w:r>
      <w:r w:rsidRPr="000A6CF5">
        <w:rPr>
          <w:rFonts w:ascii="Arial" w:eastAsia="Arial" w:hAnsi="Arial" w:cs="Arial"/>
        </w:rPr>
        <w:t>s instant rebate at the point of purchase facilitates customer decisions to purchase high-efficiency equipment by reducing both the equipment cost premium and the effort required to submit an application.</w:t>
      </w:r>
      <w:r w:rsidRPr="000A6CF5">
        <w:rPr>
          <w:rFonts w:ascii="Arial" w:eastAsia="Arial" w:hAnsi="Arial" w:cs="Arial" w:hint="eastAsia"/>
        </w:rPr>
        <w:t> </w:t>
      </w:r>
      <w:r w:rsidRPr="000A6CF5">
        <w:rPr>
          <w:rFonts w:ascii="Arial" w:eastAsia="Arial" w:hAnsi="Arial" w:cs="Arial"/>
        </w:rPr>
        <w:t xml:space="preserve"> SCE reimburses the participating distributor a pre-authorized incentive amount for each qualifying product sold to an eligible business customer. </w:t>
      </w:r>
      <w:r w:rsidRPr="000A6CF5">
        <w:rPr>
          <w:rFonts w:ascii="Arial" w:eastAsia="Arial" w:hAnsi="Arial" w:cs="Arial" w:hint="eastAsia"/>
        </w:rPr>
        <w:t> </w:t>
      </w:r>
      <w:r w:rsidRPr="000A6CF5">
        <w:rPr>
          <w:rFonts w:ascii="Arial" w:eastAsia="Arial" w:hAnsi="Arial" w:cs="Arial"/>
        </w:rPr>
        <w:t>The distributor collects the customer information at the point of purchase and provides product data to SCE through an online tool for invoice processing.</w:t>
      </w:r>
      <w:r w:rsidRPr="000A6CF5">
        <w:rPr>
          <w:rFonts w:ascii="Arial" w:eastAsia="Arial" w:hAnsi="Arial" w:cs="Arial" w:hint="eastAsia"/>
        </w:rPr>
        <w:t> </w:t>
      </w:r>
      <w:r w:rsidRPr="000A6CF5">
        <w:rPr>
          <w:rFonts w:ascii="Arial" w:eastAsia="Arial" w:hAnsi="Arial" w:cs="Arial"/>
        </w:rPr>
        <w:t xml:space="preserve"> SCE validates the customer and product data and issues payment to the distributor.</w:t>
      </w:r>
    </w:p>
    <w:p w14:paraId="4F0531DA" w14:textId="77777777" w:rsidR="000A6CF5" w:rsidRPr="008D4F1B" w:rsidRDefault="000A6CF5" w:rsidP="000A6CF5">
      <w:pPr>
        <w:ind w:left="360"/>
        <w:rPr>
          <w:rFonts w:ascii="Arial" w:eastAsia="Arial" w:hAnsi="Arial" w:cs="Arial"/>
          <w:sz w:val="22"/>
          <w:szCs w:val="22"/>
        </w:rPr>
      </w:pPr>
    </w:p>
    <w:p w14:paraId="0FCEBBB4" w14:textId="7DE09CE7" w:rsidR="00221107" w:rsidRPr="008F7E83" w:rsidRDefault="00221107" w:rsidP="000A6CF5">
      <w:pPr>
        <w:numPr>
          <w:ilvl w:val="0"/>
          <w:numId w:val="18"/>
        </w:numPr>
        <w:rPr>
          <w:rFonts w:ascii="Arial" w:eastAsia="Arial" w:hAnsi="Arial" w:cs="Arial"/>
          <w:b/>
          <w:bCs/>
          <w:u w:val="single"/>
        </w:rPr>
      </w:pPr>
      <w:r w:rsidRPr="008F7E83">
        <w:rPr>
          <w:rFonts w:ascii="Arial" w:eastAsia="Arial" w:hAnsi="Arial" w:cs="Arial"/>
          <w:b/>
          <w:bCs/>
          <w:u w:val="single"/>
        </w:rPr>
        <w:t>Strategic Energy Management</w:t>
      </w:r>
      <w:r w:rsidR="000A6CF5">
        <w:rPr>
          <w:rFonts w:ascii="Arial" w:eastAsia="Arial" w:hAnsi="Arial" w:cs="Arial"/>
          <w:b/>
          <w:bCs/>
          <w:u w:val="single"/>
        </w:rPr>
        <w:t xml:space="preserve"> (SCE-13-SW-003D)</w:t>
      </w:r>
    </w:p>
    <w:p w14:paraId="284E98F0" w14:textId="77777777" w:rsidR="000A6CF5" w:rsidRDefault="000A6CF5" w:rsidP="000A6CF5">
      <w:pPr>
        <w:ind w:left="360"/>
        <w:rPr>
          <w:rFonts w:ascii="Arial" w:eastAsia="Arial" w:hAnsi="Arial" w:cs="Arial"/>
        </w:rPr>
      </w:pPr>
    </w:p>
    <w:p w14:paraId="0903968D" w14:textId="77777777" w:rsidR="00221107" w:rsidRDefault="00221107" w:rsidP="000A6CF5">
      <w:pPr>
        <w:ind w:left="360"/>
        <w:rPr>
          <w:rFonts w:ascii="Arial" w:eastAsia="Arial" w:hAnsi="Arial" w:cs="Arial"/>
        </w:rPr>
      </w:pPr>
      <w:r w:rsidRPr="18065B3B">
        <w:rPr>
          <w:rFonts w:ascii="Arial" w:eastAsia="Arial" w:hAnsi="Arial" w:cs="Arial"/>
        </w:rPr>
        <w:t xml:space="preserve">SCE will consolidate the Agriculture Continuous Energy Improvement Program, Commercial Continuous Energy Improvement Program, and the Industrial Continuous Energy Improvement Program into a single program named the Strategic Energy Management program. The Strategic Energy Management (SEM) program is a resource program that provides a concierge approach in identifying, assisting, and implementing EE projects with a whole facility </w:t>
      </w:r>
      <w:r>
        <w:rPr>
          <w:rFonts w:ascii="Arial" w:eastAsia="Arial" w:hAnsi="Arial" w:cs="Arial"/>
        </w:rPr>
        <w:t>focus</w:t>
      </w:r>
      <w:r w:rsidRPr="18065B3B">
        <w:rPr>
          <w:rFonts w:ascii="Arial" w:eastAsia="Arial" w:hAnsi="Arial" w:cs="Arial"/>
        </w:rPr>
        <w:t xml:space="preserve">. SEM is a milestone-based program with eight workshops that span 26 months. The purpose of the workshops is to educate </w:t>
      </w:r>
      <w:r>
        <w:rPr>
          <w:rFonts w:ascii="Arial" w:eastAsia="Arial" w:hAnsi="Arial" w:cs="Arial"/>
        </w:rPr>
        <w:t>and deliver savings to</w:t>
      </w:r>
      <w:r w:rsidRPr="18065B3B">
        <w:rPr>
          <w:rFonts w:ascii="Arial" w:eastAsia="Arial" w:hAnsi="Arial" w:cs="Arial"/>
        </w:rPr>
        <w:t xml:space="preserve"> the customer. The concierge service </w:t>
      </w:r>
      <w:r>
        <w:rPr>
          <w:rFonts w:ascii="Arial" w:eastAsia="Arial" w:hAnsi="Arial" w:cs="Arial"/>
        </w:rPr>
        <w:t>will</w:t>
      </w:r>
      <w:r w:rsidRPr="18065B3B">
        <w:rPr>
          <w:rFonts w:ascii="Arial" w:eastAsia="Arial" w:hAnsi="Arial" w:cs="Arial"/>
        </w:rPr>
        <w:t xml:space="preserve"> have one implementer and o</w:t>
      </w:r>
      <w:r w:rsidRPr="00862E47">
        <w:rPr>
          <w:rFonts w:ascii="Arial" w:eastAsia="Arial" w:hAnsi="Arial" w:cs="Arial"/>
        </w:rPr>
        <w:t>ne point of contact to assist the contractor through the sunrise and sunset of EE projects with a whole building approach.</w:t>
      </w:r>
    </w:p>
    <w:p w14:paraId="69B34E80" w14:textId="77777777" w:rsidR="00221107" w:rsidRPr="008D5049" w:rsidRDefault="00221107" w:rsidP="00221107">
      <w:pPr>
        <w:ind w:left="720"/>
        <w:rPr>
          <w:rFonts w:ascii="Arial" w:eastAsia="Arial" w:hAnsi="Arial" w:cs="Arial"/>
          <w:b/>
          <w:bCs/>
          <w:u w:val="single"/>
        </w:rPr>
      </w:pPr>
      <w:r>
        <w:rPr>
          <w:rFonts w:ascii="Arial" w:eastAsia="Arial" w:hAnsi="Arial" w:cs="Arial"/>
          <w:bCs/>
        </w:rPr>
        <w:tab/>
      </w:r>
    </w:p>
    <w:p w14:paraId="1ED775F2" w14:textId="7AB34C82" w:rsidR="00221107" w:rsidRPr="00105BDE" w:rsidRDefault="00221107" w:rsidP="00F01C7B">
      <w:pPr>
        <w:numPr>
          <w:ilvl w:val="0"/>
          <w:numId w:val="18"/>
        </w:numPr>
        <w:rPr>
          <w:rFonts w:ascii="Arial" w:eastAsia="Arial" w:hAnsi="Arial" w:cs="Arial"/>
          <w:b/>
          <w:bCs/>
          <w:u w:val="single"/>
        </w:rPr>
      </w:pPr>
      <w:r w:rsidRPr="7FBA53CB">
        <w:rPr>
          <w:rFonts w:ascii="Arial" w:eastAsia="Arial" w:hAnsi="Arial" w:cs="Arial"/>
          <w:b/>
          <w:bCs/>
          <w:u w:val="single"/>
        </w:rPr>
        <w:t>Medium Size Industrial Customer Energy Efficiency Program</w:t>
      </w:r>
      <w:r w:rsidR="00F01C7B">
        <w:rPr>
          <w:rFonts w:ascii="Arial" w:eastAsia="Arial" w:hAnsi="Arial" w:cs="Arial"/>
          <w:b/>
          <w:bCs/>
          <w:u w:val="single"/>
        </w:rPr>
        <w:t xml:space="preserve"> (SCE-12-TP-023)</w:t>
      </w:r>
      <w:r w:rsidRPr="7FBA53CB">
        <w:rPr>
          <w:rFonts w:ascii="Arial" w:eastAsia="Arial" w:hAnsi="Arial" w:cs="Arial"/>
          <w:b/>
          <w:bCs/>
          <w:u w:val="single"/>
        </w:rPr>
        <w:t xml:space="preserve">  </w:t>
      </w:r>
    </w:p>
    <w:p w14:paraId="4AD4788A" w14:textId="77777777" w:rsidR="00221107" w:rsidRPr="007F3ECC" w:rsidRDefault="00221107" w:rsidP="00221107">
      <w:pPr>
        <w:ind w:left="720"/>
        <w:rPr>
          <w:rFonts w:ascii="Arial" w:hAnsi="Arial" w:cs="Arial"/>
          <w:b/>
        </w:rPr>
      </w:pPr>
    </w:p>
    <w:p w14:paraId="542125BE" w14:textId="77777777" w:rsidR="00221107" w:rsidRPr="00D331AB" w:rsidRDefault="00221107" w:rsidP="00F01C7B">
      <w:pPr>
        <w:ind w:left="360"/>
        <w:rPr>
          <w:rFonts w:ascii="Arial" w:eastAsia="Arial" w:hAnsi="Arial" w:cs="Arial"/>
        </w:rPr>
      </w:pPr>
      <w:r w:rsidRPr="7FBA53CB">
        <w:rPr>
          <w:rFonts w:ascii="Arial" w:eastAsia="Arial" w:hAnsi="Arial" w:cs="Arial"/>
        </w:rPr>
        <w:t>The Medium Size Industrial Energy Efficiency Program</w:t>
      </w:r>
      <w:r>
        <w:rPr>
          <w:rFonts w:ascii="Arial" w:eastAsia="Arial" w:hAnsi="Arial" w:cs="Arial"/>
        </w:rPr>
        <w:t xml:space="preserve"> (MICE)</w:t>
      </w:r>
      <w:r w:rsidRPr="7FBA53CB">
        <w:rPr>
          <w:rFonts w:ascii="Arial" w:eastAsia="Arial" w:hAnsi="Arial" w:cs="Arial"/>
        </w:rPr>
        <w:t xml:space="preserve"> is the result of a successful IDEEA365 offering from 2014. Many customers, due to their smaller size, are not adequately served by the Energy Services Company market and lack the time and expertise to identify potential measures and projects. If and when projects and measures are identified by the customer, the customer must then develop a plan that would convince the customer’s management to allocate the necessary capital expenditures. This is often a challenge due to uncertainty or low confidence in the estimated costs and savings. MICE will close this gap in the mid-market </w:t>
      </w:r>
      <w:r w:rsidRPr="7FBA53CB">
        <w:rPr>
          <w:rFonts w:ascii="Arial" w:eastAsia="Arial" w:hAnsi="Arial" w:cs="Arial"/>
        </w:rPr>
        <w:lastRenderedPageBreak/>
        <w:t>segment of SCE’s Industrial portfolio by providing customers with detailed</w:t>
      </w:r>
      <w:r>
        <w:rPr>
          <w:rFonts w:ascii="Arial" w:eastAsia="Arial" w:hAnsi="Arial" w:cs="Arial"/>
        </w:rPr>
        <w:t>,</w:t>
      </w:r>
      <w:r w:rsidRPr="7FBA53CB">
        <w:rPr>
          <w:rFonts w:ascii="Arial" w:eastAsia="Arial" w:hAnsi="Arial" w:cs="Arial"/>
        </w:rPr>
        <w:t xml:space="preserve"> in-depth energy assessments which identify energy efficiency opportunities, accurately estimate potential savings and costs, and provide a roadmap to implementation. </w:t>
      </w:r>
    </w:p>
    <w:p w14:paraId="16B1BB2C" w14:textId="77777777" w:rsidR="00221107" w:rsidRPr="007F3ECC" w:rsidRDefault="00221107" w:rsidP="008D4F1B">
      <w:pPr>
        <w:ind w:left="360"/>
        <w:rPr>
          <w:rFonts w:ascii="Arial" w:hAnsi="Arial" w:cs="Arial"/>
        </w:rPr>
      </w:pPr>
    </w:p>
    <w:p w14:paraId="5FFC8313" w14:textId="77777777" w:rsidR="00221107" w:rsidRDefault="00221107" w:rsidP="00221107">
      <w:pPr>
        <w:ind w:left="720"/>
        <w:rPr>
          <w:rFonts w:ascii="Arial" w:eastAsia="Arial" w:hAnsi="Arial" w:cs="Arial"/>
          <w:b/>
          <w:bCs/>
        </w:rPr>
      </w:pPr>
    </w:p>
    <w:p w14:paraId="753D5F65" w14:textId="5FE9AAF1" w:rsidR="00221107" w:rsidRPr="00105BDE" w:rsidRDefault="00221107" w:rsidP="00F01C7B">
      <w:pPr>
        <w:numPr>
          <w:ilvl w:val="0"/>
          <w:numId w:val="18"/>
        </w:numPr>
        <w:rPr>
          <w:rFonts w:ascii="Arial" w:eastAsia="Arial" w:hAnsi="Arial" w:cs="Arial"/>
          <w:b/>
          <w:bCs/>
          <w:u w:val="single"/>
        </w:rPr>
      </w:pPr>
      <w:r w:rsidRPr="7FBA53CB">
        <w:rPr>
          <w:rFonts w:ascii="Arial" w:eastAsia="Arial" w:hAnsi="Arial" w:cs="Arial"/>
          <w:b/>
          <w:bCs/>
          <w:u w:val="single"/>
        </w:rPr>
        <w:t xml:space="preserve">Water Infrastructure and System Efficiency Program </w:t>
      </w:r>
      <w:r w:rsidR="00F01C7B">
        <w:rPr>
          <w:rFonts w:ascii="Arial" w:eastAsia="Arial" w:hAnsi="Arial" w:cs="Arial"/>
          <w:b/>
          <w:bCs/>
          <w:u w:val="single"/>
        </w:rPr>
        <w:t>(SCE-13-TP-002)</w:t>
      </w:r>
    </w:p>
    <w:p w14:paraId="4E818A52" w14:textId="77777777" w:rsidR="00221107" w:rsidRPr="007F3ECC" w:rsidRDefault="00221107" w:rsidP="00221107">
      <w:pPr>
        <w:ind w:left="720"/>
        <w:rPr>
          <w:rFonts w:ascii="Arial" w:hAnsi="Arial" w:cs="Arial"/>
          <w:b/>
        </w:rPr>
      </w:pPr>
    </w:p>
    <w:p w14:paraId="5AA44387" w14:textId="77777777" w:rsidR="00221107" w:rsidRPr="00D331AB" w:rsidRDefault="00221107" w:rsidP="00F01C7B">
      <w:pPr>
        <w:ind w:left="360"/>
        <w:rPr>
          <w:rFonts w:ascii="Arial" w:eastAsia="Arial" w:hAnsi="Arial" w:cs="Arial"/>
        </w:rPr>
      </w:pPr>
      <w:r w:rsidRPr="7FBA53CB">
        <w:rPr>
          <w:rFonts w:ascii="Arial" w:eastAsia="Arial" w:hAnsi="Arial" w:cs="Arial"/>
        </w:rPr>
        <w:t xml:space="preserve">The </w:t>
      </w:r>
      <w:r>
        <w:rPr>
          <w:rFonts w:ascii="Arial" w:eastAsia="Arial" w:hAnsi="Arial" w:cs="Arial"/>
        </w:rPr>
        <w:t>Water Infrastructure and System Efficiency Program (</w:t>
      </w:r>
      <w:r w:rsidRPr="7FBA53CB">
        <w:rPr>
          <w:rFonts w:ascii="Arial" w:eastAsia="Arial" w:hAnsi="Arial" w:cs="Arial"/>
        </w:rPr>
        <w:t>WISE</w:t>
      </w:r>
      <w:r>
        <w:rPr>
          <w:rFonts w:ascii="Arial" w:eastAsia="Arial" w:hAnsi="Arial" w:cs="Arial"/>
        </w:rPr>
        <w:t>)</w:t>
      </w:r>
      <w:r w:rsidRPr="7FBA53CB">
        <w:rPr>
          <w:rFonts w:ascii="Arial" w:eastAsia="Arial" w:hAnsi="Arial" w:cs="Arial"/>
        </w:rPr>
        <w:t xml:space="preserve"> program is the result of a successful IDEEA365 offering from 2014. The WISE program will leverage data from the Pump Efficiency Services Program (a successful SCE water-energy program that produces significant water and energy savings) as a baseline for the new pump measures. WISE will target water-energy solutions at all major areas of water in SCE’s service territory (e.g., source water pumping, water treatment, water distribution, and waste water treatment). WISE will also look at benchmarking opportunities and audit functions as well as installations with an emphasis on measures such as pump efficiency and pump repair for customers</w:t>
      </w:r>
      <w:r>
        <w:rPr>
          <w:rFonts w:ascii="Arial" w:eastAsia="Arial" w:hAnsi="Arial" w:cs="Arial"/>
        </w:rPr>
        <w:t xml:space="preserve">, including those from </w:t>
      </w:r>
      <w:r w:rsidRPr="7FBA53CB">
        <w:rPr>
          <w:rFonts w:ascii="Arial" w:eastAsia="Arial" w:hAnsi="Arial" w:cs="Arial"/>
        </w:rPr>
        <w:t>SCE’s Government and Institutional Partnership program</w:t>
      </w:r>
      <w:r>
        <w:rPr>
          <w:rFonts w:ascii="Arial" w:eastAsia="Arial" w:hAnsi="Arial" w:cs="Arial"/>
        </w:rPr>
        <w:t>s.</w:t>
      </w:r>
    </w:p>
    <w:p w14:paraId="6ABF86C7" w14:textId="77777777" w:rsidR="00221107" w:rsidRPr="007F3ECC" w:rsidRDefault="00221107" w:rsidP="00F01C7B">
      <w:pPr>
        <w:ind w:left="360"/>
        <w:rPr>
          <w:rFonts w:ascii="Arial" w:hAnsi="Arial" w:cs="Arial"/>
        </w:rPr>
      </w:pPr>
    </w:p>
    <w:p w14:paraId="0AA2C7E4" w14:textId="37D975FB" w:rsidR="4E97A750" w:rsidRPr="00F01C7B" w:rsidRDefault="4E97A750" w:rsidP="00F01C7B">
      <w:pPr>
        <w:ind w:left="1440"/>
        <w:rPr>
          <w:rFonts w:ascii="Arial" w:eastAsia="Arial" w:hAnsi="Arial" w:cs="Arial"/>
        </w:rPr>
      </w:pPr>
    </w:p>
    <w:p w14:paraId="464711E2" w14:textId="5FAB575E" w:rsidR="5D754409" w:rsidRPr="00F01C7B" w:rsidRDefault="5D754409" w:rsidP="00F01C7B">
      <w:pPr>
        <w:numPr>
          <w:ilvl w:val="0"/>
          <w:numId w:val="18"/>
        </w:numPr>
        <w:rPr>
          <w:rFonts w:ascii="Arial" w:eastAsia="Arial" w:hAnsi="Arial" w:cs="Arial"/>
          <w:b/>
          <w:bCs/>
          <w:u w:val="single"/>
        </w:rPr>
      </w:pPr>
      <w:r w:rsidRPr="00F01C7B">
        <w:rPr>
          <w:rFonts w:ascii="Arial" w:eastAsia="Arial" w:hAnsi="Arial" w:cs="Arial"/>
          <w:b/>
          <w:bCs/>
          <w:u w:val="single"/>
        </w:rPr>
        <w:t xml:space="preserve">AB793 Pay for Performance </w:t>
      </w:r>
      <w:r w:rsidR="266E89B9" w:rsidRPr="00F01C7B">
        <w:rPr>
          <w:rFonts w:ascii="Arial" w:eastAsia="Arial" w:hAnsi="Arial" w:cs="Arial"/>
          <w:b/>
          <w:bCs/>
          <w:u w:val="single"/>
        </w:rPr>
        <w:t>P</w:t>
      </w:r>
      <w:r w:rsidRPr="00F01C7B">
        <w:rPr>
          <w:rFonts w:ascii="Arial" w:eastAsia="Arial" w:hAnsi="Arial" w:cs="Arial"/>
          <w:b/>
          <w:bCs/>
          <w:u w:val="single"/>
        </w:rPr>
        <w:t>rogram</w:t>
      </w:r>
      <w:r w:rsidR="00F01C7B">
        <w:rPr>
          <w:rFonts w:ascii="Arial" w:eastAsia="Arial" w:hAnsi="Arial" w:cs="Arial"/>
          <w:b/>
          <w:bCs/>
          <w:u w:val="single"/>
        </w:rPr>
        <w:t xml:space="preserve"> (SCE-13-TP-024)</w:t>
      </w:r>
    </w:p>
    <w:p w14:paraId="3DD6D17D" w14:textId="659DDF01" w:rsidR="266E89B9" w:rsidRPr="00F01C7B" w:rsidRDefault="266E89B9" w:rsidP="00F01C7B">
      <w:pPr>
        <w:spacing w:line="259" w:lineRule="auto"/>
        <w:ind w:left="1440"/>
        <w:rPr>
          <w:rFonts w:ascii="Arial" w:eastAsia="Arial" w:hAnsi="Arial" w:cs="Arial"/>
        </w:rPr>
      </w:pPr>
    </w:p>
    <w:p w14:paraId="3957B488" w14:textId="14EED978" w:rsidR="5D754409" w:rsidRPr="00F01C7B" w:rsidRDefault="5997C0E8" w:rsidP="00F01C7B">
      <w:pPr>
        <w:spacing w:line="259" w:lineRule="auto"/>
        <w:ind w:left="360"/>
        <w:rPr>
          <w:rFonts w:ascii="Arial" w:eastAsia="Arial" w:hAnsi="Arial" w:cs="Arial"/>
        </w:rPr>
      </w:pPr>
      <w:r w:rsidRPr="00F01C7B">
        <w:rPr>
          <w:rFonts w:ascii="Arial" w:eastAsia="Arial" w:hAnsi="Arial" w:cs="Arial"/>
        </w:rPr>
        <w:t xml:space="preserve">In 2017, the California Public Utilities Commission (CPUC) issued Resolution E-4820, in the proceeding addressing Assembly Bill 793 (AB 793) which, among other things, directs SCE to implement new P4P programs targeting both Residential and Small Medium Business (SMB) customers.  In 2017, SCE issued a Request </w:t>
      </w:r>
      <w:r w:rsidR="5D6EEB15" w:rsidRPr="00F01C7B">
        <w:rPr>
          <w:rFonts w:ascii="Arial" w:eastAsia="Arial" w:hAnsi="Arial" w:cs="Arial"/>
        </w:rPr>
        <w:t>f</w:t>
      </w:r>
      <w:r w:rsidRPr="00F01C7B">
        <w:rPr>
          <w:rFonts w:ascii="Arial" w:eastAsia="Arial" w:hAnsi="Arial" w:cs="Arial"/>
        </w:rPr>
        <w:t xml:space="preserve">or Offer (RFO) resulting in contract negotiations and </w:t>
      </w:r>
      <w:r w:rsidR="00106F82">
        <w:rPr>
          <w:rFonts w:ascii="Arial" w:eastAsia="Arial" w:hAnsi="Arial" w:cs="Arial"/>
        </w:rPr>
        <w:t xml:space="preserve">an </w:t>
      </w:r>
      <w:r w:rsidRPr="00F01C7B">
        <w:rPr>
          <w:rFonts w:ascii="Arial" w:eastAsia="Arial" w:hAnsi="Arial" w:cs="Arial"/>
        </w:rPr>
        <w:t>award to HEA for the design, implementation and administration of the Home</w:t>
      </w:r>
      <w:r w:rsidR="5D6EEB15" w:rsidRPr="00F01C7B">
        <w:rPr>
          <w:rFonts w:ascii="Arial" w:eastAsia="Arial" w:hAnsi="Arial" w:cs="Arial"/>
        </w:rPr>
        <w:t xml:space="preserve"> </w:t>
      </w:r>
      <w:r w:rsidRPr="00F01C7B">
        <w:rPr>
          <w:rFonts w:ascii="Arial" w:eastAsia="Arial" w:hAnsi="Arial" w:cs="Arial"/>
        </w:rPr>
        <w:t>Intel Program.  Th</w:t>
      </w:r>
      <w:r w:rsidR="00B9665A">
        <w:rPr>
          <w:rFonts w:ascii="Arial" w:eastAsia="Arial" w:hAnsi="Arial" w:cs="Arial"/>
        </w:rPr>
        <w:t>is</w:t>
      </w:r>
      <w:r w:rsidRPr="00F01C7B">
        <w:rPr>
          <w:rFonts w:ascii="Arial" w:eastAsia="Arial" w:hAnsi="Arial" w:cs="Arial"/>
        </w:rPr>
        <w:t xml:space="preserve"> Program will assist residential customers to quickly and accurately understand their home</w:t>
      </w:r>
      <w:r w:rsidR="00106F82">
        <w:rPr>
          <w:rFonts w:ascii="Arial" w:eastAsia="Arial" w:hAnsi="Arial" w:cs="Arial"/>
        </w:rPr>
        <w:t>’</w:t>
      </w:r>
      <w:r w:rsidRPr="00F01C7B">
        <w:rPr>
          <w:rFonts w:ascii="Arial" w:eastAsia="Arial" w:hAnsi="Arial" w:cs="Arial"/>
        </w:rPr>
        <w:t xml:space="preserve">s energy usage and implement a cost-effective path to savings. </w:t>
      </w:r>
    </w:p>
    <w:p w14:paraId="7A633382" w14:textId="14FD88E5" w:rsidR="5D754409" w:rsidRPr="00F01C7B" w:rsidRDefault="5997C0E8" w:rsidP="00F01C7B">
      <w:pPr>
        <w:spacing w:line="259" w:lineRule="auto"/>
        <w:ind w:left="360"/>
        <w:rPr>
          <w:rFonts w:ascii="Arial" w:eastAsia="Arial" w:hAnsi="Arial" w:cs="Arial"/>
        </w:rPr>
      </w:pPr>
      <w:r w:rsidRPr="00F01C7B">
        <w:rPr>
          <w:rFonts w:ascii="Arial" w:eastAsia="Arial" w:hAnsi="Arial" w:cs="Arial"/>
        </w:rPr>
        <w:t xml:space="preserve"> </w:t>
      </w:r>
    </w:p>
    <w:p w14:paraId="7288F302" w14:textId="1568A974" w:rsidR="5D754409" w:rsidRPr="00F01C7B" w:rsidRDefault="5997C0E8" w:rsidP="00F01C7B">
      <w:pPr>
        <w:spacing w:line="259" w:lineRule="auto"/>
        <w:ind w:left="360"/>
        <w:rPr>
          <w:rFonts w:ascii="Arial" w:eastAsia="Arial" w:hAnsi="Arial" w:cs="Arial"/>
        </w:rPr>
      </w:pPr>
      <w:r w:rsidRPr="00F01C7B">
        <w:rPr>
          <w:rFonts w:ascii="Arial" w:eastAsia="Arial" w:hAnsi="Arial" w:cs="Arial"/>
        </w:rPr>
        <w:t>The goals of the Program are:</w:t>
      </w:r>
    </w:p>
    <w:p w14:paraId="52FD917D" w14:textId="6DB6C29C" w:rsidR="5D754409" w:rsidRPr="00F01C7B" w:rsidRDefault="5997C0E8" w:rsidP="00F01C7B">
      <w:pPr>
        <w:numPr>
          <w:ilvl w:val="0"/>
          <w:numId w:val="16"/>
        </w:numPr>
        <w:spacing w:line="259" w:lineRule="auto"/>
        <w:ind w:left="720"/>
        <w:rPr>
          <w:rFonts w:ascii="Arial" w:eastAsia="Arial" w:hAnsi="Arial" w:cs="Arial"/>
        </w:rPr>
      </w:pPr>
      <w:r w:rsidRPr="00F01C7B">
        <w:rPr>
          <w:rFonts w:ascii="Arial" w:eastAsia="Arial" w:hAnsi="Arial" w:cs="Arial"/>
        </w:rPr>
        <w:t>Establish a scalable P4P Program model for residential EE to dramatically increase customer participation and measurable energy savings; and</w:t>
      </w:r>
    </w:p>
    <w:p w14:paraId="7DE02221" w14:textId="77777777" w:rsidR="00F01C7B" w:rsidRDefault="5997C0E8" w:rsidP="00F01C7B">
      <w:pPr>
        <w:numPr>
          <w:ilvl w:val="0"/>
          <w:numId w:val="16"/>
        </w:numPr>
        <w:spacing w:line="259" w:lineRule="auto"/>
        <w:ind w:left="720"/>
        <w:rPr>
          <w:rFonts w:ascii="Arial" w:eastAsia="Arial" w:hAnsi="Arial" w:cs="Arial"/>
        </w:rPr>
      </w:pPr>
      <w:r w:rsidRPr="00F01C7B">
        <w:rPr>
          <w:rFonts w:ascii="Arial" w:eastAsia="Arial" w:hAnsi="Arial" w:cs="Arial"/>
        </w:rPr>
        <w:t>Effectively leverage a set of meter-based energy savings calculation methods to measure NMEC savings across a pool of participating customers.</w:t>
      </w:r>
    </w:p>
    <w:p w14:paraId="2C6C5456" w14:textId="1A8A4BD2" w:rsidR="5D754409" w:rsidRPr="00F01C7B" w:rsidRDefault="5997C0E8" w:rsidP="00F01C7B">
      <w:pPr>
        <w:spacing w:line="259" w:lineRule="auto"/>
        <w:ind w:left="360"/>
        <w:rPr>
          <w:rFonts w:ascii="Arial" w:eastAsia="Arial" w:hAnsi="Arial" w:cs="Arial"/>
        </w:rPr>
      </w:pPr>
      <w:r w:rsidRPr="00F01C7B">
        <w:rPr>
          <w:rFonts w:ascii="Arial" w:eastAsia="Arial" w:hAnsi="Arial" w:cs="Arial"/>
        </w:rPr>
        <w:t xml:space="preserve"> </w:t>
      </w:r>
    </w:p>
    <w:p w14:paraId="0DFD7120" w14:textId="4B4394E1" w:rsidR="005A4489" w:rsidRPr="00F01C7B" w:rsidRDefault="005A4489" w:rsidP="00F01C7B">
      <w:pPr>
        <w:numPr>
          <w:ilvl w:val="0"/>
          <w:numId w:val="18"/>
        </w:numPr>
        <w:rPr>
          <w:rFonts w:ascii="Arial" w:eastAsia="Arial" w:hAnsi="Arial" w:cs="Arial"/>
          <w:b/>
          <w:bCs/>
          <w:u w:val="single"/>
        </w:rPr>
      </w:pPr>
      <w:r w:rsidRPr="008F7E83">
        <w:rPr>
          <w:rFonts w:ascii="Arial" w:eastAsia="Arial" w:hAnsi="Arial" w:cs="Arial"/>
          <w:b/>
          <w:bCs/>
          <w:u w:val="single"/>
        </w:rPr>
        <w:t>Facilities Assessment</w:t>
      </w:r>
      <w:r w:rsidR="00F01C7B">
        <w:rPr>
          <w:rFonts w:ascii="Arial" w:eastAsia="Arial" w:hAnsi="Arial" w:cs="Arial"/>
          <w:b/>
          <w:bCs/>
          <w:u w:val="single"/>
        </w:rPr>
        <w:t xml:space="preserve"> (SCE-13-TP-025)</w:t>
      </w:r>
    </w:p>
    <w:p w14:paraId="002844D0" w14:textId="77777777" w:rsidR="000A6CF5" w:rsidRDefault="000A6CF5">
      <w:pPr>
        <w:ind w:left="1080"/>
        <w:rPr>
          <w:rFonts w:ascii="Arial" w:eastAsia="Arial" w:hAnsi="Arial" w:cs="Arial"/>
          <w:color w:val="1F497D"/>
        </w:rPr>
      </w:pPr>
    </w:p>
    <w:p w14:paraId="67C21293" w14:textId="2CDAA765" w:rsidR="005A4489" w:rsidRPr="00F01C7B" w:rsidRDefault="005A4489" w:rsidP="00F01C7B">
      <w:pPr>
        <w:ind w:left="360"/>
        <w:rPr>
          <w:rFonts w:ascii="Arial" w:eastAsia="Arial" w:hAnsi="Arial" w:cs="Arial"/>
          <w:sz w:val="22"/>
          <w:szCs w:val="22"/>
        </w:rPr>
      </w:pPr>
      <w:r w:rsidRPr="00F01C7B">
        <w:rPr>
          <w:rFonts w:ascii="Arial" w:eastAsia="Arial" w:hAnsi="Arial" w:cs="Arial"/>
        </w:rPr>
        <w:t xml:space="preserve">Pursuant to AB 793 described above, </w:t>
      </w:r>
      <w:r w:rsidR="006470F8" w:rsidRPr="00F01C7B">
        <w:rPr>
          <w:rFonts w:ascii="Arial" w:eastAsia="Arial" w:hAnsi="Arial" w:cs="Arial"/>
        </w:rPr>
        <w:t>SCE created the</w:t>
      </w:r>
      <w:r w:rsidRPr="00F01C7B">
        <w:rPr>
          <w:rFonts w:ascii="Arial" w:eastAsia="Arial" w:hAnsi="Arial" w:cs="Arial"/>
        </w:rPr>
        <w:t xml:space="preserve"> Faci</w:t>
      </w:r>
      <w:r w:rsidR="006470F8" w:rsidRPr="00F01C7B">
        <w:rPr>
          <w:rFonts w:ascii="Arial" w:eastAsia="Arial" w:hAnsi="Arial" w:cs="Arial"/>
        </w:rPr>
        <w:t>lities Assessment Program, a third party-implemented p</w:t>
      </w:r>
      <w:r w:rsidRPr="00F01C7B">
        <w:rPr>
          <w:rFonts w:ascii="Arial" w:eastAsia="Arial" w:hAnsi="Arial" w:cs="Arial"/>
        </w:rPr>
        <w:t>rogram</w:t>
      </w:r>
      <w:r w:rsidR="006470F8" w:rsidRPr="00F01C7B">
        <w:rPr>
          <w:rFonts w:ascii="Arial" w:eastAsia="Arial" w:hAnsi="Arial" w:cs="Arial"/>
        </w:rPr>
        <w:t xml:space="preserve"> created to </w:t>
      </w:r>
      <w:r w:rsidR="006470F8" w:rsidRPr="008D4F1B">
        <w:rPr>
          <w:rFonts w:ascii="Arial" w:eastAsia="Arial" w:hAnsi="Arial" w:cs="Arial"/>
        </w:rPr>
        <w:t>advance control</w:t>
      </w:r>
      <w:r w:rsidR="006470F8" w:rsidRPr="00F01C7B">
        <w:rPr>
          <w:rFonts w:ascii="Arial" w:eastAsia="Arial" w:hAnsi="Arial" w:cs="Arial"/>
        </w:rPr>
        <w:t>.  This p</w:t>
      </w:r>
      <w:r w:rsidRPr="00F01C7B">
        <w:rPr>
          <w:rFonts w:ascii="Arial" w:eastAsia="Arial" w:hAnsi="Arial" w:cs="Arial"/>
        </w:rPr>
        <w:t>rogram will provide</w:t>
      </w:r>
      <w:r w:rsidR="006470F8" w:rsidRPr="00F01C7B">
        <w:rPr>
          <w:rFonts w:ascii="Arial" w:eastAsia="Arial" w:hAnsi="Arial" w:cs="Arial"/>
        </w:rPr>
        <w:t xml:space="preserve"> services to SCE customers that will</w:t>
      </w:r>
      <w:r w:rsidRPr="00F01C7B">
        <w:rPr>
          <w:rFonts w:ascii="Arial" w:eastAsia="Arial" w:hAnsi="Arial" w:cs="Arial"/>
        </w:rPr>
        <w:t xml:space="preserve"> allow them to better manage their energy usage, identify Behavioral, Retro-</w:t>
      </w:r>
      <w:r w:rsidR="008E5BCD" w:rsidRPr="00F01C7B">
        <w:rPr>
          <w:rFonts w:ascii="Arial" w:eastAsia="Arial" w:hAnsi="Arial" w:cs="Arial"/>
        </w:rPr>
        <w:t>commissioning</w:t>
      </w:r>
      <w:r w:rsidRPr="00F01C7B">
        <w:rPr>
          <w:rFonts w:ascii="Arial" w:eastAsia="Arial" w:hAnsi="Arial" w:cs="Arial"/>
        </w:rPr>
        <w:t>, and Operational-Based energy saving opportunities, and achieve energy savings by utilizing Energy Manage</w:t>
      </w:r>
      <w:r w:rsidR="006470F8" w:rsidRPr="00F01C7B">
        <w:rPr>
          <w:rFonts w:ascii="Arial" w:eastAsia="Arial" w:hAnsi="Arial" w:cs="Arial"/>
        </w:rPr>
        <w:t>ment Technology/Software.  The p</w:t>
      </w:r>
      <w:r w:rsidRPr="00F01C7B">
        <w:rPr>
          <w:rFonts w:ascii="Arial" w:eastAsia="Arial" w:hAnsi="Arial" w:cs="Arial"/>
        </w:rPr>
        <w:t xml:space="preserve">rogram is designed to </w:t>
      </w:r>
      <w:r w:rsidRPr="00F01C7B">
        <w:rPr>
          <w:rFonts w:ascii="Arial" w:eastAsia="Arial" w:hAnsi="Arial" w:cs="Arial"/>
        </w:rPr>
        <w:lastRenderedPageBreak/>
        <w:t>leverage the investment SCE has made in Advanced Meter Infrastructure (AMI) deployment through data analytics,</w:t>
      </w:r>
      <w:r w:rsidR="0069484F" w:rsidRPr="00F01C7B">
        <w:rPr>
          <w:rFonts w:ascii="Arial" w:eastAsia="Arial" w:hAnsi="Arial" w:cs="Arial"/>
        </w:rPr>
        <w:t xml:space="preserve"> and customer engagement.  S</w:t>
      </w:r>
      <w:r w:rsidRPr="00F01C7B">
        <w:rPr>
          <w:rFonts w:ascii="Arial" w:eastAsia="Arial" w:hAnsi="Arial" w:cs="Arial"/>
        </w:rPr>
        <w:t>avings</w:t>
      </w:r>
      <w:r w:rsidR="0069484F" w:rsidRPr="00F01C7B">
        <w:rPr>
          <w:rFonts w:ascii="Arial" w:eastAsia="Arial" w:hAnsi="Arial" w:cs="Arial"/>
        </w:rPr>
        <w:t xml:space="preserve"> resulting from the Facilities Assessment Program</w:t>
      </w:r>
      <w:r w:rsidRPr="00F01C7B">
        <w:rPr>
          <w:rFonts w:ascii="Arial" w:eastAsia="Arial" w:hAnsi="Arial" w:cs="Arial"/>
        </w:rPr>
        <w:t xml:space="preserve"> will be calculated using the Normalized Metered Energy Consumption (NMEC) approach.</w:t>
      </w:r>
    </w:p>
    <w:p w14:paraId="0F5BCBD2" w14:textId="026F5F72" w:rsidR="0618F4A5" w:rsidRPr="00253E33" w:rsidRDefault="0618F4A5" w:rsidP="00253E33">
      <w:pPr>
        <w:ind w:left="360"/>
        <w:rPr>
          <w:rFonts w:ascii="Arial" w:eastAsia="Arial" w:hAnsi="Arial" w:cs="Arial"/>
        </w:rPr>
      </w:pPr>
    </w:p>
    <w:p w14:paraId="4520F26F" w14:textId="7099EF29" w:rsidR="0618F4A5" w:rsidRPr="003279D2" w:rsidRDefault="0618F4A5" w:rsidP="00F85F4D">
      <w:pPr>
        <w:pStyle w:val="ListParagraph"/>
        <w:numPr>
          <w:ilvl w:val="0"/>
          <w:numId w:val="18"/>
        </w:numPr>
        <w:rPr>
          <w:rFonts w:ascii="Arial" w:eastAsia="Arial" w:hAnsi="Arial" w:cs="Arial"/>
        </w:rPr>
      </w:pPr>
      <w:r w:rsidRPr="009D19E7">
        <w:rPr>
          <w:rFonts w:ascii="Arial" w:eastAsia="Arial" w:hAnsi="Arial" w:cs="Arial"/>
          <w:b/>
          <w:sz w:val="24"/>
          <w:szCs w:val="24"/>
          <w:u w:val="single"/>
        </w:rPr>
        <w:t>National and International Standard</w:t>
      </w:r>
      <w:r w:rsidR="7D46212F" w:rsidRPr="009D19E7">
        <w:rPr>
          <w:rFonts w:ascii="Arial" w:eastAsia="Arial" w:hAnsi="Arial" w:cs="Arial"/>
          <w:b/>
          <w:sz w:val="24"/>
          <w:szCs w:val="24"/>
          <w:u w:val="single"/>
        </w:rPr>
        <w:t>s (Sub-Program of Codes &amp; Standards Program)</w:t>
      </w:r>
    </w:p>
    <w:p w14:paraId="361EAEB3" w14:textId="2F8E64D5" w:rsidR="4EA79AF6" w:rsidRDefault="4EA79AF6" w:rsidP="008E5BCD">
      <w:pPr>
        <w:ind w:left="720"/>
      </w:pPr>
      <w:r w:rsidRPr="003279D2">
        <w:rPr>
          <w:rFonts w:ascii="Arial" w:eastAsia="Arial" w:hAnsi="Arial" w:cs="Arial"/>
        </w:rPr>
        <w:t>National and International Standards is a new category of activities that focuses on both federal regulations as well as voluntary codes that are developed at a national level that directly impact IOU customers. California codes and standards need to align with and reflect international as well as national standards.</w:t>
      </w:r>
      <w:r w:rsidRPr="4EA79AF6">
        <w:rPr>
          <w:rFonts w:ascii="Arial" w:eastAsia="Arial" w:hAnsi="Arial" w:cs="Arial"/>
          <w:sz w:val="18"/>
          <w:szCs w:val="18"/>
        </w:rPr>
        <w:t xml:space="preserve"> </w:t>
      </w:r>
      <w:r w:rsidRPr="009D19E7">
        <w:rPr>
          <w:rFonts w:ascii="Arial" w:eastAsia="Arial" w:hAnsi="Arial" w:cs="Arial"/>
        </w:rPr>
        <w:t>The purpose of this new category is to work on that alignment</w:t>
      </w:r>
      <w:r w:rsidRPr="003279D2">
        <w:rPr>
          <w:rFonts w:ascii="Arial" w:eastAsia="Arial" w:hAnsi="Arial" w:cs="Arial"/>
        </w:rPr>
        <w:t xml:space="preserve"> by recognizing and participating in the different processes that are required to interact with national code development bodies such as the US DOE, ASHRAE, and the International Cod</w:t>
      </w:r>
      <w:r w:rsidRPr="004F59AE">
        <w:rPr>
          <w:rFonts w:ascii="Arial" w:eastAsia="Arial" w:hAnsi="Arial" w:cs="Arial"/>
        </w:rPr>
        <w:t>e Council (ICC), national organizations that oversee national voluntary standards such as the US EPA, US Green Building Council, and the Collaborative for High Performance Schools (CHPS), and other national organizations such as the Federal Trade Commission (FTC) and the US Legislature.</w:t>
      </w:r>
    </w:p>
    <w:p w14:paraId="52DB8844" w14:textId="284A7D08" w:rsidR="4EA79AF6" w:rsidRPr="004D670A" w:rsidRDefault="4EA79AF6" w:rsidP="00253E33">
      <w:pPr>
        <w:ind w:left="360"/>
        <w:rPr>
          <w:rFonts w:ascii="Arial" w:eastAsia="Arial" w:hAnsi="Arial" w:cs="Arial"/>
          <w:b/>
          <w:szCs w:val="24"/>
          <w:u w:val="single"/>
        </w:rPr>
      </w:pPr>
    </w:p>
    <w:p w14:paraId="78CF1DFB" w14:textId="77777777" w:rsidR="005A4489" w:rsidRPr="005A4489" w:rsidRDefault="005A4489" w:rsidP="005A4489">
      <w:pPr>
        <w:ind w:left="1080"/>
        <w:rPr>
          <w:rFonts w:ascii="Arial" w:eastAsia="Arial" w:hAnsi="Arial" w:cs="Arial"/>
          <w:bCs/>
        </w:rPr>
      </w:pPr>
    </w:p>
    <w:p w14:paraId="73E0EE63" w14:textId="6676B64C" w:rsidR="005A4489" w:rsidRPr="00FB5EFC" w:rsidRDefault="005A4489" w:rsidP="00F01C7B">
      <w:pPr>
        <w:rPr>
          <w:rFonts w:ascii="Arial" w:eastAsia="Arial" w:hAnsi="Arial" w:cs="Arial"/>
        </w:rPr>
      </w:pPr>
    </w:p>
    <w:p w14:paraId="065F5274" w14:textId="77777777" w:rsidR="5997C0E8" w:rsidRPr="00F01C7B" w:rsidRDefault="5997C0E8" w:rsidP="00F01C7B">
      <w:pPr>
        <w:ind w:left="720" w:firstLine="720"/>
        <w:rPr>
          <w:rFonts w:ascii="Arial" w:eastAsia="Arial" w:hAnsi="Arial" w:cs="Arial"/>
          <w:b/>
          <w:bCs/>
          <w:szCs w:val="24"/>
          <w:u w:val="single"/>
        </w:rPr>
      </w:pPr>
    </w:p>
    <w:p w14:paraId="20BDF904" w14:textId="77777777" w:rsidR="00221107" w:rsidRDefault="00221107" w:rsidP="00221107">
      <w:pPr>
        <w:spacing w:after="480"/>
        <w:jc w:val="center"/>
        <w:rPr>
          <w:rFonts w:ascii="Arial" w:hAnsi="Arial" w:cs="Arial"/>
          <w:b/>
          <w:noProof/>
          <w:szCs w:val="24"/>
          <w:highlight w:val="yellow"/>
        </w:rPr>
      </w:pPr>
    </w:p>
    <w:p w14:paraId="109243FC" w14:textId="6085398D" w:rsidR="00B800A1" w:rsidRPr="00FD492A" w:rsidRDefault="00221107">
      <w:pPr>
        <w:spacing w:after="480"/>
        <w:rPr>
          <w:rFonts w:ascii="Arial" w:hAnsi="Arial" w:cs="Arial"/>
          <w:noProof/>
          <w:szCs w:val="24"/>
        </w:rPr>
      </w:pPr>
      <w:r>
        <w:rPr>
          <w:rFonts w:ascii="Arial" w:hAnsi="Arial" w:cs="Arial"/>
          <w:b/>
          <w:noProof/>
          <w:szCs w:val="24"/>
          <w:highlight w:val="yellow"/>
        </w:rPr>
        <w:br w:type="page"/>
      </w:r>
      <w:r w:rsidR="00B800A1" w:rsidRPr="008C1D91">
        <w:rPr>
          <w:rFonts w:ascii="Arial" w:hAnsi="Arial" w:cs="Arial"/>
          <w:noProof/>
          <w:szCs w:val="24"/>
          <w:highlight w:val="yellow"/>
        </w:rPr>
        <w:lastRenderedPageBreak/>
        <w:t>losures</w:t>
      </w:r>
    </w:p>
    <w:sectPr w:rsidR="00B800A1" w:rsidRPr="00FD492A" w:rsidSect="007C665B">
      <w:headerReference w:type="default" r:id="rId20"/>
      <w:footerReference w:type="first" r:id="rId21"/>
      <w:pgSz w:w="12240" w:h="15840"/>
      <w:pgMar w:top="994" w:right="1440" w:bottom="1440" w:left="1440" w:header="720" w:footer="432" w:gutter="0"/>
      <w:paperSrc w:first="7" w:other="7"/>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BB3EA" w14:textId="77777777" w:rsidR="008763B9" w:rsidRDefault="008763B9">
      <w:r>
        <w:separator/>
      </w:r>
    </w:p>
  </w:endnote>
  <w:endnote w:type="continuationSeparator" w:id="0">
    <w:p w14:paraId="087F0395" w14:textId="77777777" w:rsidR="008763B9" w:rsidRDefault="008763B9">
      <w:r>
        <w:continuationSeparator/>
      </w:r>
    </w:p>
  </w:endnote>
  <w:endnote w:type="continuationNotice" w:id="1">
    <w:p w14:paraId="55B5CA8D" w14:textId="77777777" w:rsidR="008763B9" w:rsidRDefault="00876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Times New Roman">
    <w:altName w:val="Times New Roman"/>
    <w:panose1 w:val="00000000000000000000"/>
    <w:charset w:val="00"/>
    <w:family w:val="roman"/>
    <w:notTrueType/>
    <w:pitch w:val="default"/>
  </w:font>
  <w:font w:name="Arial,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12" w:space="0" w:color="auto"/>
      </w:tblBorders>
      <w:tblLayout w:type="fixed"/>
      <w:tblLook w:val="0000" w:firstRow="0" w:lastRow="0" w:firstColumn="0" w:lastColumn="0" w:noHBand="0" w:noVBand="0"/>
    </w:tblPr>
    <w:tblGrid>
      <w:gridCol w:w="11162"/>
    </w:tblGrid>
    <w:tr w:rsidR="00B37BA5" w:rsidRPr="00E1412F" w14:paraId="7D4EE068" w14:textId="77777777" w:rsidTr="1A945BD7">
      <w:trPr>
        <w:cantSplit/>
        <w:jc w:val="center"/>
      </w:trPr>
      <w:tc>
        <w:tcPr>
          <w:tcW w:w="11162" w:type="dxa"/>
        </w:tcPr>
        <w:p w14:paraId="6E097EB5" w14:textId="77777777" w:rsidR="00B37BA5" w:rsidRPr="00E1412F" w:rsidRDefault="00B37BA5" w:rsidP="00021006">
          <w:pPr>
            <w:tabs>
              <w:tab w:val="left" w:pos="1627"/>
              <w:tab w:val="left" w:pos="3493"/>
              <w:tab w:val="left" w:pos="6307"/>
              <w:tab w:val="left" w:pos="7907"/>
            </w:tabs>
            <w:spacing w:before="120"/>
            <w:ind w:right="-14"/>
            <w:jc w:val="center"/>
            <w:rPr>
              <w:rFonts w:ascii="Arial" w:eastAsia="Arial" w:hAnsi="Arial" w:cs="Arial"/>
            </w:rPr>
          </w:pPr>
          <w:r w:rsidRPr="00E1412F">
            <w:rPr>
              <w:rFonts w:ascii="Arial" w:hAnsi="Arial" w:cs="Arial"/>
            </w:rPr>
            <w:br w:type="column"/>
          </w:r>
          <w:r w:rsidRPr="1EF028A6">
            <w:rPr>
              <w:rFonts w:ascii="Arial" w:eastAsia="Arial" w:hAnsi="Arial" w:cs="Arial"/>
              <w:sz w:val="18"/>
              <w:szCs w:val="18"/>
            </w:rPr>
            <w:t xml:space="preserve">P.O. Box </w:t>
          </w:r>
          <w:bookmarkStart w:id="3" w:name="zFooterAuthorPOBox"/>
          <w:bookmarkEnd w:id="3"/>
          <w:r w:rsidRPr="1EF028A6">
            <w:rPr>
              <w:rFonts w:ascii="Arial" w:eastAsia="Arial" w:hAnsi="Arial" w:cs="Arial"/>
              <w:sz w:val="18"/>
              <w:szCs w:val="18"/>
            </w:rPr>
            <w:t>800</w:t>
          </w:r>
          <w:r w:rsidRPr="00E1412F">
            <w:rPr>
              <w:rFonts w:ascii="Arial" w:hAnsi="Arial" w:cs="Arial"/>
              <w:sz w:val="18"/>
            </w:rPr>
            <w:tab/>
          </w:r>
          <w:r w:rsidRPr="1EF028A6">
            <w:rPr>
              <w:rFonts w:ascii="Arial" w:eastAsia="Arial" w:hAnsi="Arial" w:cs="Arial"/>
              <w:sz w:val="18"/>
              <w:szCs w:val="18"/>
            </w:rPr>
            <w:t>8631 Rush Street</w:t>
          </w:r>
          <w:r w:rsidRPr="00E1412F">
            <w:rPr>
              <w:rFonts w:ascii="Arial" w:hAnsi="Arial" w:cs="Arial"/>
              <w:sz w:val="18"/>
            </w:rPr>
            <w:tab/>
          </w:r>
          <w:r w:rsidRPr="1EF028A6">
            <w:rPr>
              <w:rFonts w:ascii="Arial" w:eastAsia="Arial" w:hAnsi="Arial" w:cs="Arial"/>
              <w:sz w:val="18"/>
              <w:szCs w:val="18"/>
            </w:rPr>
            <w:t>Rosemead, California 91770</w:t>
          </w:r>
          <w:r w:rsidRPr="00E1412F">
            <w:rPr>
              <w:rFonts w:ascii="Arial" w:hAnsi="Arial" w:cs="Arial"/>
              <w:sz w:val="18"/>
            </w:rPr>
            <w:tab/>
          </w:r>
          <w:bookmarkStart w:id="4" w:name="zFooterAuthorPhoneNumber"/>
          <w:bookmarkEnd w:id="4"/>
          <w:r w:rsidRPr="1EF028A6">
            <w:rPr>
              <w:rFonts w:ascii="Arial" w:eastAsia="Arial" w:hAnsi="Arial" w:cs="Arial"/>
              <w:sz w:val="18"/>
              <w:szCs w:val="18"/>
            </w:rPr>
            <w:t>(626) 302-4177</w:t>
          </w:r>
          <w:r w:rsidRPr="00E1412F">
            <w:rPr>
              <w:rFonts w:ascii="Arial" w:hAnsi="Arial" w:cs="Arial"/>
              <w:sz w:val="18"/>
            </w:rPr>
            <w:tab/>
          </w:r>
          <w:r w:rsidRPr="1EF028A6">
            <w:rPr>
              <w:rFonts w:ascii="Arial" w:eastAsia="Arial" w:hAnsi="Arial" w:cs="Arial"/>
              <w:sz w:val="18"/>
              <w:szCs w:val="18"/>
            </w:rPr>
            <w:t xml:space="preserve">Fax </w:t>
          </w:r>
          <w:bookmarkStart w:id="5" w:name="zFooterAuthorFaxNumber"/>
          <w:bookmarkEnd w:id="5"/>
          <w:r w:rsidRPr="1EF028A6">
            <w:rPr>
              <w:rFonts w:ascii="Arial" w:eastAsia="Arial" w:hAnsi="Arial" w:cs="Arial"/>
              <w:sz w:val="18"/>
              <w:szCs w:val="18"/>
            </w:rPr>
            <w:t>(626) 302-6396</w:t>
          </w:r>
        </w:p>
      </w:tc>
    </w:tr>
  </w:tbl>
  <w:p w14:paraId="56040352" w14:textId="66990CD7" w:rsidR="00B37BA5" w:rsidRPr="005A1E6A" w:rsidRDefault="00B37BA5">
    <w:pPr>
      <w:pStyle w:val="Footer"/>
      <w:tabs>
        <w:tab w:val="left" w:pos="1627"/>
        <w:tab w:val="left" w:pos="3787"/>
        <w:tab w:val="left" w:pos="6307"/>
        <w:tab w:val="left" w:pos="7646"/>
      </w:tabs>
      <w:rPr>
        <w:b/>
        <w:bCs/>
        <w:color w:val="FF0000"/>
      </w:rPr>
    </w:pPr>
    <w:r w:rsidRPr="00E95B03">
      <w:rPr>
        <w:b/>
        <w:bCs/>
        <w:color w:val="FF0000"/>
      </w:rPr>
      <w:t>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F509A" w14:textId="77777777" w:rsidR="008763B9" w:rsidRDefault="008763B9">
      <w:r>
        <w:separator/>
      </w:r>
    </w:p>
  </w:footnote>
  <w:footnote w:type="continuationSeparator" w:id="0">
    <w:p w14:paraId="46C5DE09" w14:textId="77777777" w:rsidR="008763B9" w:rsidRDefault="008763B9">
      <w:r>
        <w:continuationSeparator/>
      </w:r>
    </w:p>
  </w:footnote>
  <w:footnote w:type="continuationNotice" w:id="1">
    <w:p w14:paraId="548847C6" w14:textId="77777777" w:rsidR="008763B9" w:rsidRDefault="008763B9"/>
  </w:footnote>
  <w:footnote w:id="2">
    <w:p w14:paraId="621609D1" w14:textId="5266815B" w:rsidR="00B37BA5" w:rsidRDefault="00B37BA5">
      <w:pPr>
        <w:pStyle w:val="FootnoteText"/>
      </w:pPr>
      <w:r>
        <w:rPr>
          <w:rStyle w:val="FootnoteReference"/>
        </w:rPr>
        <w:footnoteRef/>
      </w:r>
      <w:r>
        <w:t xml:space="preserve"> </w:t>
      </w:r>
      <w:r>
        <w:tab/>
      </w:r>
      <w:r w:rsidRPr="003279D2">
        <w:rPr>
          <w:i/>
        </w:rPr>
        <w:t>See</w:t>
      </w:r>
      <w:r>
        <w:t xml:space="preserve"> D.15-10-028, ordering paragraph 4. </w:t>
      </w:r>
    </w:p>
  </w:footnote>
  <w:footnote w:id="3">
    <w:p w14:paraId="66C3630F" w14:textId="77777777" w:rsidR="00B37BA5" w:rsidRDefault="00B37BA5" w:rsidP="004B22A2">
      <w:pPr>
        <w:pStyle w:val="FootnoteText"/>
      </w:pPr>
      <w:r>
        <w:rPr>
          <w:rStyle w:val="FootnoteReference"/>
        </w:rPr>
        <w:footnoteRef/>
      </w:r>
      <w:r>
        <w:t xml:space="preserve"> </w:t>
      </w:r>
      <w:r>
        <w:tab/>
        <w:t>See.D.18-05-041, p. 133</w:t>
      </w:r>
    </w:p>
  </w:footnote>
  <w:footnote w:id="4">
    <w:p w14:paraId="41240435" w14:textId="401D94A9" w:rsidR="00B37BA5" w:rsidRDefault="00B37BA5" w:rsidP="007207A2">
      <w:pPr>
        <w:pStyle w:val="FootnoteText"/>
      </w:pPr>
      <w:r>
        <w:t xml:space="preserve"> D.05-04-051, Attachment 3, Rules II.8 and IV.9.</w:t>
      </w:r>
    </w:p>
  </w:footnote>
  <w:footnote w:id="5">
    <w:p w14:paraId="1DC24CF5" w14:textId="49DCFFEB" w:rsidR="00B37BA5" w:rsidRDefault="00B37BA5" w:rsidP="007207A2">
      <w:pPr>
        <w:pStyle w:val="FootnoteText"/>
      </w:pPr>
      <w:r>
        <w:t xml:space="preserve"> D.05-04-051, Attachment 3, Rule IV.9. </w:t>
      </w:r>
    </w:p>
  </w:footnote>
  <w:footnote w:id="6">
    <w:p w14:paraId="15226D1B" w14:textId="1B5401EF" w:rsidR="00B37BA5" w:rsidRDefault="00B37BA5">
      <w:pPr>
        <w:pStyle w:val="FootnoteText"/>
      </w:pPr>
      <w:r>
        <w:rPr>
          <w:rStyle w:val="FootnoteReference"/>
        </w:rPr>
        <w:footnoteRef/>
      </w:r>
      <w:r>
        <w:t xml:space="preserve"> </w:t>
      </w:r>
      <w:r>
        <w:tab/>
        <w:t>D.18-05-041, Ordering Paragraph 30.</w:t>
      </w:r>
    </w:p>
  </w:footnote>
  <w:footnote w:id="7">
    <w:p w14:paraId="0D201373" w14:textId="363C220F" w:rsidR="00B37BA5" w:rsidRDefault="00B37BA5">
      <w:pPr>
        <w:pStyle w:val="FootnoteText"/>
      </w:pPr>
      <w:r>
        <w:rPr>
          <w:rStyle w:val="FootnoteReference"/>
        </w:rPr>
        <w:footnoteRef/>
      </w:r>
      <w:r>
        <w:t xml:space="preserve"> </w:t>
      </w:r>
      <w:r>
        <w:tab/>
        <w:t>IOU PAs are required to fund all statewide programs per D.18-05-041, p. 83</w:t>
      </w:r>
    </w:p>
  </w:footnote>
  <w:footnote w:id="8">
    <w:p w14:paraId="7C8D811D" w14:textId="77777777" w:rsidR="00B37BA5" w:rsidRDefault="00B37BA5" w:rsidP="001A3FC4">
      <w:pPr>
        <w:pStyle w:val="FootnoteText"/>
      </w:pPr>
      <w:r>
        <w:rPr>
          <w:rStyle w:val="FootnoteReference"/>
        </w:rPr>
        <w:footnoteRef/>
      </w:r>
      <w:r>
        <w:t xml:space="preserve"> </w:t>
      </w:r>
      <w:r>
        <w:tab/>
        <w:t>[Reference Disposition A and B]</w:t>
      </w:r>
    </w:p>
  </w:footnote>
  <w:footnote w:id="9">
    <w:p w14:paraId="1C5A8A70" w14:textId="77777777" w:rsidR="00B37BA5" w:rsidRDefault="00B37BA5" w:rsidP="001A3FC4">
      <w:pPr>
        <w:pStyle w:val="FootnoteText"/>
      </w:pPr>
      <w:r>
        <w:rPr>
          <w:rStyle w:val="FootnoteReference"/>
        </w:rPr>
        <w:footnoteRef/>
      </w:r>
      <w:r>
        <w:t xml:space="preserve"> </w:t>
      </w:r>
      <w:r>
        <w:tab/>
        <w:t xml:space="preserve">Key elements of the following dispositions and guidance memos are the drivers for SCE suspending high risk measures:  </w:t>
      </w:r>
    </w:p>
    <w:p w14:paraId="587DBA1C" w14:textId="77777777" w:rsidR="00B37BA5" w:rsidRDefault="00B37BA5" w:rsidP="001A3FC4">
      <w:pPr>
        <w:pStyle w:val="FootnoteText"/>
        <w:numPr>
          <w:ilvl w:val="0"/>
          <w:numId w:val="6"/>
        </w:numPr>
      </w:pPr>
      <w:r>
        <w:t xml:space="preserve">2017_Workpaper_Guidance_Memo_OUT </w:t>
      </w:r>
    </w:p>
    <w:p w14:paraId="6A59B2B0" w14:textId="77777777" w:rsidR="00B37BA5" w:rsidRDefault="00B37BA5" w:rsidP="001A3FC4">
      <w:pPr>
        <w:pStyle w:val="FootnoteText"/>
        <w:numPr>
          <w:ilvl w:val="0"/>
          <w:numId w:val="6"/>
        </w:numPr>
      </w:pPr>
      <w:r>
        <w:t xml:space="preserve">2017ExteriorLEDFixturesDisposition-Revised2June2017-FINAL </w:t>
      </w:r>
    </w:p>
    <w:p w14:paraId="0E290712" w14:textId="77777777" w:rsidR="00B37BA5" w:rsidRDefault="00B37BA5" w:rsidP="001A3FC4">
      <w:pPr>
        <w:pStyle w:val="FootnoteText"/>
        <w:numPr>
          <w:ilvl w:val="0"/>
          <w:numId w:val="6"/>
        </w:numPr>
      </w:pPr>
      <w:r>
        <w:t xml:space="preserve">PGECOLTG178r3_DetailedReview_29Sep2017-final1 </w:t>
      </w:r>
    </w:p>
    <w:p w14:paraId="5700FE0D" w14:textId="77777777" w:rsidR="00B37BA5" w:rsidRDefault="00B37BA5" w:rsidP="001A3FC4">
      <w:pPr>
        <w:pStyle w:val="FootnoteText"/>
        <w:numPr>
          <w:ilvl w:val="0"/>
          <w:numId w:val="6"/>
        </w:numPr>
      </w:pPr>
      <w:r>
        <w:t xml:space="preserve">SCE_FinalVersion_2016ESPI_2017-08-21 </w:t>
      </w:r>
    </w:p>
    <w:p w14:paraId="5C1F219F" w14:textId="77777777" w:rsidR="00B37BA5" w:rsidRDefault="00B37BA5" w:rsidP="001A3FC4">
      <w:pPr>
        <w:pStyle w:val="FootnoteText"/>
        <w:numPr>
          <w:ilvl w:val="0"/>
          <w:numId w:val="6"/>
        </w:numPr>
      </w:pPr>
      <w:r>
        <w:t xml:space="preserve">2017ExteriorLEDFixturesDisposition-BaselineClarifications-12Apr2017-Draft </w:t>
      </w:r>
    </w:p>
    <w:p w14:paraId="3159B5FE" w14:textId="77777777" w:rsidR="00B37BA5" w:rsidRDefault="00B37BA5" w:rsidP="001A3FC4">
      <w:pPr>
        <w:pStyle w:val="FootnoteText"/>
        <w:numPr>
          <w:ilvl w:val="0"/>
          <w:numId w:val="6"/>
        </w:numPr>
      </w:pPr>
      <w:r>
        <w:t xml:space="preserve">SCE-16-C-C-0073_0500804246_Ext. LED Lighting </w:t>
      </w:r>
    </w:p>
    <w:p w14:paraId="59A793F5" w14:textId="77777777" w:rsidR="00B37BA5" w:rsidRDefault="00B37BA5" w:rsidP="001A3FC4">
      <w:pPr>
        <w:pStyle w:val="FootnoteText"/>
        <w:numPr>
          <w:ilvl w:val="0"/>
          <w:numId w:val="6"/>
        </w:numPr>
      </w:pPr>
      <w:r>
        <w:t xml:space="preserve">2018 Screw-In LED Methods Disposition </w:t>
      </w:r>
    </w:p>
    <w:p w14:paraId="0CE4112C" w14:textId="77777777" w:rsidR="00B37BA5" w:rsidRDefault="00B37BA5" w:rsidP="001A3FC4">
      <w:pPr>
        <w:pStyle w:val="FootnoteText"/>
        <w:numPr>
          <w:ilvl w:val="0"/>
          <w:numId w:val="6"/>
        </w:numPr>
      </w:pPr>
      <w:r>
        <w:t>Commission Staff email clarification of the 2018 Screw-in LED Methods Disposition, January 31, 2018</w:t>
      </w:r>
    </w:p>
  </w:footnote>
  <w:footnote w:id="10">
    <w:p w14:paraId="08A8A278" w14:textId="15ACC5B3" w:rsidR="00B37BA5" w:rsidRDefault="00B37BA5">
      <w:pPr>
        <w:pStyle w:val="FootnoteText"/>
      </w:pPr>
      <w:r>
        <w:rPr>
          <w:rStyle w:val="FootnoteReference"/>
        </w:rPr>
        <w:footnoteRef/>
      </w:r>
      <w:r>
        <w:t xml:space="preserve"> </w:t>
      </w:r>
      <w:r>
        <w:tab/>
        <w:t>D.18-05-041, p</w:t>
      </w:r>
      <w:r w:rsidR="00910499">
        <w:t>. XX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9D23D" w14:textId="752B1B40" w:rsidR="00B37BA5" w:rsidRPr="004574F5" w:rsidRDefault="008763B9">
    <w:pPr>
      <w:pStyle w:val="Header"/>
      <w:rPr>
        <w:rFonts w:ascii="Arial" w:hAnsi="Arial" w:cs="Arial"/>
        <w:sz w:val="20"/>
      </w:rPr>
    </w:pPr>
    <w:r>
      <w:rPr>
        <w:rFonts w:ascii="Arial" w:hAnsi="Arial" w:cs="Arial"/>
        <w:noProof/>
        <w:sz w:val="20"/>
      </w:rPr>
      <w:pict w14:anchorId="799F9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37BA5" w:rsidRPr="004574F5">
      <w:rPr>
        <w:rFonts w:ascii="Arial" w:hAnsi="Arial" w:cs="Arial"/>
        <w:sz w:val="20"/>
      </w:rPr>
      <w:fldChar w:fldCharType="begin"/>
    </w:r>
    <w:r w:rsidR="00B37BA5" w:rsidRPr="004574F5">
      <w:rPr>
        <w:rFonts w:ascii="Arial" w:hAnsi="Arial" w:cs="Arial"/>
        <w:sz w:val="20"/>
      </w:rPr>
      <w:instrText>styleref Advice</w:instrText>
    </w:r>
    <w:r w:rsidR="00B37BA5" w:rsidRPr="004574F5">
      <w:rPr>
        <w:rFonts w:ascii="Arial" w:hAnsi="Arial" w:cs="Arial"/>
        <w:sz w:val="20"/>
      </w:rPr>
      <w:fldChar w:fldCharType="separate"/>
    </w:r>
    <w:r w:rsidR="00B37DF5">
      <w:rPr>
        <w:rFonts w:ascii="Arial" w:hAnsi="Arial" w:cs="Arial"/>
        <w:noProof/>
        <w:sz w:val="20"/>
      </w:rPr>
      <w:t>ADVICE _______-E</w:t>
    </w:r>
    <w:r w:rsidR="00B37BA5" w:rsidRPr="004574F5">
      <w:rPr>
        <w:rFonts w:ascii="Arial" w:hAnsi="Arial" w:cs="Arial"/>
        <w:sz w:val="20"/>
      </w:rPr>
      <w:fldChar w:fldCharType="end"/>
    </w:r>
  </w:p>
  <w:p w14:paraId="6133588E" w14:textId="77777777" w:rsidR="00B37BA5" w:rsidRPr="007C665B" w:rsidRDefault="00B37BA5" w:rsidP="007C665B">
    <w:pPr>
      <w:pStyle w:val="Header"/>
      <w:spacing w:after="480"/>
      <w:rPr>
        <w:rFonts w:ascii="Arial" w:eastAsia="Arial" w:hAnsi="Arial" w:cs="Arial"/>
        <w:sz w:val="20"/>
      </w:rPr>
    </w:pPr>
    <w:r w:rsidRPr="1EF028A6">
      <w:fldChar w:fldCharType="begin"/>
    </w:r>
    <w:r w:rsidRPr="004574F5">
      <w:rPr>
        <w:rFonts w:ascii="Arial" w:hAnsi="Arial" w:cs="Arial"/>
        <w:sz w:val="20"/>
      </w:rPr>
      <w:instrText>styleref U338</w:instrText>
    </w:r>
    <w:r w:rsidRPr="1EF028A6">
      <w:rPr>
        <w:rFonts w:ascii="Arial" w:hAnsi="Arial" w:cs="Arial"/>
        <w:sz w:val="20"/>
      </w:rPr>
      <w:fldChar w:fldCharType="separate"/>
    </w:r>
    <w:r w:rsidR="00B37DF5">
      <w:rPr>
        <w:rFonts w:ascii="Arial" w:hAnsi="Arial" w:cs="Arial"/>
        <w:noProof/>
        <w:sz w:val="20"/>
      </w:rPr>
      <w:t>(U 338-E)</w:t>
    </w:r>
    <w:r w:rsidRPr="1EF028A6">
      <w:fldChar w:fldCharType="end"/>
    </w:r>
    <w:r w:rsidRPr="004574F5">
      <w:rPr>
        <w:rFonts w:ascii="Arial" w:hAnsi="Arial" w:cs="Arial"/>
        <w:sz w:val="20"/>
      </w:rPr>
      <w:tab/>
    </w:r>
    <w:r w:rsidRPr="641C5C5C">
      <w:rPr>
        <w:rFonts w:ascii="Arial" w:eastAsia="Arial" w:hAnsi="Arial" w:cs="Arial"/>
        <w:sz w:val="20"/>
      </w:rPr>
      <w:t xml:space="preserve">- </w:t>
    </w:r>
    <w:r w:rsidRPr="004F59AE">
      <w:rPr>
        <w:rFonts w:ascii="Arial" w:eastAsia="Arial" w:hAnsi="Arial" w:cs="Arial"/>
        <w:noProof/>
        <w:sz w:val="20"/>
      </w:rPr>
      <w:fldChar w:fldCharType="begin"/>
    </w:r>
    <w:r w:rsidRPr="004574F5">
      <w:rPr>
        <w:rFonts w:ascii="Arial" w:hAnsi="Arial" w:cs="Arial"/>
        <w:sz w:val="20"/>
      </w:rPr>
      <w:instrText>PAGE</w:instrText>
    </w:r>
    <w:r w:rsidRPr="004F59AE">
      <w:rPr>
        <w:rFonts w:ascii="Arial" w:hAnsi="Arial" w:cs="Arial"/>
        <w:sz w:val="20"/>
      </w:rPr>
      <w:fldChar w:fldCharType="separate"/>
    </w:r>
    <w:r w:rsidR="00B37DF5">
      <w:rPr>
        <w:rFonts w:ascii="Arial" w:hAnsi="Arial" w:cs="Arial"/>
        <w:noProof/>
        <w:sz w:val="20"/>
      </w:rPr>
      <w:t>5</w:t>
    </w:r>
    <w:r w:rsidRPr="004F59AE">
      <w:rPr>
        <w:rFonts w:ascii="Arial" w:eastAsia="Arial" w:hAnsi="Arial" w:cs="Arial"/>
        <w:noProof/>
        <w:sz w:val="20"/>
      </w:rPr>
      <w:fldChar w:fldCharType="end"/>
    </w:r>
    <w:r w:rsidRPr="641C5C5C">
      <w:rPr>
        <w:rFonts w:ascii="Arial" w:eastAsia="Arial" w:hAnsi="Arial" w:cs="Arial"/>
        <w:sz w:val="20"/>
      </w:rPr>
      <w:t xml:space="preserve"> -</w:t>
    </w:r>
    <w:r w:rsidRPr="004574F5">
      <w:rPr>
        <w:rFonts w:ascii="Arial" w:hAnsi="Arial" w:cs="Arial"/>
        <w:sz w:val="20"/>
      </w:rPr>
      <w:tab/>
    </w:r>
    <w:r w:rsidRPr="1EF028A6">
      <w:fldChar w:fldCharType="begin"/>
    </w:r>
    <w:r w:rsidRPr="004574F5">
      <w:rPr>
        <w:rFonts w:ascii="Arial" w:hAnsi="Arial" w:cs="Arial"/>
        <w:sz w:val="20"/>
      </w:rPr>
      <w:instrText>styleref Date</w:instrText>
    </w:r>
    <w:r w:rsidRPr="1EF028A6">
      <w:rPr>
        <w:rFonts w:ascii="Arial" w:hAnsi="Arial" w:cs="Arial"/>
        <w:sz w:val="20"/>
      </w:rPr>
      <w:fldChar w:fldCharType="separate"/>
    </w:r>
    <w:r w:rsidR="00B37DF5">
      <w:rPr>
        <w:rFonts w:ascii="Arial" w:hAnsi="Arial" w:cs="Arial"/>
        <w:noProof/>
        <w:sz w:val="20"/>
      </w:rPr>
      <w:t>September 4, 2018</w:t>
    </w:r>
    <w:r w:rsidRPr="1EF028A6">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66074"/>
    <w:multiLevelType w:val="hybridMultilevel"/>
    <w:tmpl w:val="46522C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054D9F"/>
    <w:multiLevelType w:val="hybridMultilevel"/>
    <w:tmpl w:val="0DAA75DC"/>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2" w15:restartNumberingAfterBreak="0">
    <w:nsid w:val="0F322574"/>
    <w:multiLevelType w:val="hybridMultilevel"/>
    <w:tmpl w:val="06648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B58A9"/>
    <w:multiLevelType w:val="hybridMultilevel"/>
    <w:tmpl w:val="70A6F87C"/>
    <w:lvl w:ilvl="0" w:tplc="102CBCC6">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D4850"/>
    <w:multiLevelType w:val="hybridMultilevel"/>
    <w:tmpl w:val="B406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35674"/>
    <w:multiLevelType w:val="hybridMultilevel"/>
    <w:tmpl w:val="AFC252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08738C6"/>
    <w:multiLevelType w:val="hybridMultilevel"/>
    <w:tmpl w:val="722EF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1965696"/>
    <w:multiLevelType w:val="hybridMultilevel"/>
    <w:tmpl w:val="818C61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66B2F4D"/>
    <w:multiLevelType w:val="hybridMultilevel"/>
    <w:tmpl w:val="3B08F0C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653AFC"/>
    <w:multiLevelType w:val="hybridMultilevel"/>
    <w:tmpl w:val="11D0A32C"/>
    <w:lvl w:ilvl="0" w:tplc="71122B08">
      <w:start w:val="1"/>
      <w:numFmt w:val="bullet"/>
      <w:lvlText w:val=""/>
      <w:lvlJc w:val="left"/>
      <w:pPr>
        <w:ind w:left="720" w:hanging="360"/>
      </w:pPr>
      <w:rPr>
        <w:rFonts w:ascii="Symbol" w:hAnsi="Symbol" w:hint="default"/>
      </w:rPr>
    </w:lvl>
    <w:lvl w:ilvl="1" w:tplc="34762206">
      <w:start w:val="1"/>
      <w:numFmt w:val="bullet"/>
      <w:lvlText w:val="o"/>
      <w:lvlJc w:val="left"/>
      <w:pPr>
        <w:ind w:left="1440" w:hanging="360"/>
      </w:pPr>
      <w:rPr>
        <w:rFonts w:ascii="Courier New" w:hAnsi="Courier New" w:hint="default"/>
      </w:rPr>
    </w:lvl>
    <w:lvl w:ilvl="2" w:tplc="8EEA3840">
      <w:start w:val="1"/>
      <w:numFmt w:val="bullet"/>
      <w:lvlText w:val=""/>
      <w:lvlJc w:val="left"/>
      <w:pPr>
        <w:ind w:left="2160" w:hanging="360"/>
      </w:pPr>
      <w:rPr>
        <w:rFonts w:ascii="Wingdings" w:hAnsi="Wingdings" w:hint="default"/>
      </w:rPr>
    </w:lvl>
    <w:lvl w:ilvl="3" w:tplc="686C84FE">
      <w:start w:val="1"/>
      <w:numFmt w:val="bullet"/>
      <w:lvlText w:val=""/>
      <w:lvlJc w:val="left"/>
      <w:pPr>
        <w:ind w:left="2880" w:hanging="360"/>
      </w:pPr>
      <w:rPr>
        <w:rFonts w:ascii="Symbol" w:hAnsi="Symbol" w:hint="default"/>
      </w:rPr>
    </w:lvl>
    <w:lvl w:ilvl="4" w:tplc="8E76DEFC">
      <w:start w:val="1"/>
      <w:numFmt w:val="bullet"/>
      <w:lvlText w:val="o"/>
      <w:lvlJc w:val="left"/>
      <w:pPr>
        <w:ind w:left="3600" w:hanging="360"/>
      </w:pPr>
      <w:rPr>
        <w:rFonts w:ascii="Courier New" w:hAnsi="Courier New" w:hint="default"/>
      </w:rPr>
    </w:lvl>
    <w:lvl w:ilvl="5" w:tplc="073E1290">
      <w:start w:val="1"/>
      <w:numFmt w:val="bullet"/>
      <w:lvlText w:val=""/>
      <w:lvlJc w:val="left"/>
      <w:pPr>
        <w:ind w:left="4320" w:hanging="360"/>
      </w:pPr>
      <w:rPr>
        <w:rFonts w:ascii="Wingdings" w:hAnsi="Wingdings" w:hint="default"/>
      </w:rPr>
    </w:lvl>
    <w:lvl w:ilvl="6" w:tplc="71E8421C">
      <w:start w:val="1"/>
      <w:numFmt w:val="bullet"/>
      <w:lvlText w:val=""/>
      <w:lvlJc w:val="left"/>
      <w:pPr>
        <w:ind w:left="5040" w:hanging="360"/>
      </w:pPr>
      <w:rPr>
        <w:rFonts w:ascii="Symbol" w:hAnsi="Symbol" w:hint="default"/>
      </w:rPr>
    </w:lvl>
    <w:lvl w:ilvl="7" w:tplc="9E720DC2">
      <w:start w:val="1"/>
      <w:numFmt w:val="bullet"/>
      <w:lvlText w:val="o"/>
      <w:lvlJc w:val="left"/>
      <w:pPr>
        <w:ind w:left="5760" w:hanging="360"/>
      </w:pPr>
      <w:rPr>
        <w:rFonts w:ascii="Courier New" w:hAnsi="Courier New" w:hint="default"/>
      </w:rPr>
    </w:lvl>
    <w:lvl w:ilvl="8" w:tplc="3EB621BE">
      <w:start w:val="1"/>
      <w:numFmt w:val="bullet"/>
      <w:lvlText w:val=""/>
      <w:lvlJc w:val="left"/>
      <w:pPr>
        <w:ind w:left="6480" w:hanging="360"/>
      </w:pPr>
      <w:rPr>
        <w:rFonts w:ascii="Wingdings" w:hAnsi="Wingdings" w:hint="default"/>
      </w:rPr>
    </w:lvl>
  </w:abstractNum>
  <w:abstractNum w:abstractNumId="10" w15:restartNumberingAfterBreak="0">
    <w:nsid w:val="478F744D"/>
    <w:multiLevelType w:val="hybridMultilevel"/>
    <w:tmpl w:val="5F6ABB0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12060"/>
    <w:multiLevelType w:val="hybridMultilevel"/>
    <w:tmpl w:val="823499F8"/>
    <w:lvl w:ilvl="0" w:tplc="2FC4C4B4">
      <w:start w:val="1"/>
      <w:numFmt w:val="bullet"/>
      <w:lvlText w:val=""/>
      <w:lvlJc w:val="left"/>
      <w:pPr>
        <w:tabs>
          <w:tab w:val="num" w:pos="720"/>
        </w:tabs>
        <w:ind w:left="720" w:hanging="360"/>
      </w:pPr>
      <w:rPr>
        <w:rFonts w:ascii="Wingdings" w:hAnsi="Wingdings" w:hint="default"/>
      </w:rPr>
    </w:lvl>
    <w:lvl w:ilvl="1" w:tplc="A1CA42C6" w:tentative="1">
      <w:start w:val="1"/>
      <w:numFmt w:val="bullet"/>
      <w:lvlText w:val=""/>
      <w:lvlJc w:val="left"/>
      <w:pPr>
        <w:tabs>
          <w:tab w:val="num" w:pos="1440"/>
        </w:tabs>
        <w:ind w:left="1440" w:hanging="360"/>
      </w:pPr>
      <w:rPr>
        <w:rFonts w:ascii="Wingdings" w:hAnsi="Wingdings" w:hint="default"/>
      </w:rPr>
    </w:lvl>
    <w:lvl w:ilvl="2" w:tplc="3A646AD6" w:tentative="1">
      <w:start w:val="1"/>
      <w:numFmt w:val="bullet"/>
      <w:lvlText w:val=""/>
      <w:lvlJc w:val="left"/>
      <w:pPr>
        <w:tabs>
          <w:tab w:val="num" w:pos="2160"/>
        </w:tabs>
        <w:ind w:left="2160" w:hanging="360"/>
      </w:pPr>
      <w:rPr>
        <w:rFonts w:ascii="Wingdings" w:hAnsi="Wingdings" w:hint="default"/>
      </w:rPr>
    </w:lvl>
    <w:lvl w:ilvl="3" w:tplc="2DC2D14E" w:tentative="1">
      <w:start w:val="1"/>
      <w:numFmt w:val="bullet"/>
      <w:lvlText w:val=""/>
      <w:lvlJc w:val="left"/>
      <w:pPr>
        <w:tabs>
          <w:tab w:val="num" w:pos="2880"/>
        </w:tabs>
        <w:ind w:left="2880" w:hanging="360"/>
      </w:pPr>
      <w:rPr>
        <w:rFonts w:ascii="Wingdings" w:hAnsi="Wingdings" w:hint="default"/>
      </w:rPr>
    </w:lvl>
    <w:lvl w:ilvl="4" w:tplc="52CA76C8" w:tentative="1">
      <w:start w:val="1"/>
      <w:numFmt w:val="bullet"/>
      <w:lvlText w:val=""/>
      <w:lvlJc w:val="left"/>
      <w:pPr>
        <w:tabs>
          <w:tab w:val="num" w:pos="3600"/>
        </w:tabs>
        <w:ind w:left="3600" w:hanging="360"/>
      </w:pPr>
      <w:rPr>
        <w:rFonts w:ascii="Wingdings" w:hAnsi="Wingdings" w:hint="default"/>
      </w:rPr>
    </w:lvl>
    <w:lvl w:ilvl="5" w:tplc="40DCC708" w:tentative="1">
      <w:start w:val="1"/>
      <w:numFmt w:val="bullet"/>
      <w:lvlText w:val=""/>
      <w:lvlJc w:val="left"/>
      <w:pPr>
        <w:tabs>
          <w:tab w:val="num" w:pos="4320"/>
        </w:tabs>
        <w:ind w:left="4320" w:hanging="360"/>
      </w:pPr>
      <w:rPr>
        <w:rFonts w:ascii="Wingdings" w:hAnsi="Wingdings" w:hint="default"/>
      </w:rPr>
    </w:lvl>
    <w:lvl w:ilvl="6" w:tplc="197C0B86" w:tentative="1">
      <w:start w:val="1"/>
      <w:numFmt w:val="bullet"/>
      <w:lvlText w:val=""/>
      <w:lvlJc w:val="left"/>
      <w:pPr>
        <w:tabs>
          <w:tab w:val="num" w:pos="5040"/>
        </w:tabs>
        <w:ind w:left="5040" w:hanging="360"/>
      </w:pPr>
      <w:rPr>
        <w:rFonts w:ascii="Wingdings" w:hAnsi="Wingdings" w:hint="default"/>
      </w:rPr>
    </w:lvl>
    <w:lvl w:ilvl="7" w:tplc="87D68BAE" w:tentative="1">
      <w:start w:val="1"/>
      <w:numFmt w:val="bullet"/>
      <w:lvlText w:val=""/>
      <w:lvlJc w:val="left"/>
      <w:pPr>
        <w:tabs>
          <w:tab w:val="num" w:pos="5760"/>
        </w:tabs>
        <w:ind w:left="5760" w:hanging="360"/>
      </w:pPr>
      <w:rPr>
        <w:rFonts w:ascii="Wingdings" w:hAnsi="Wingdings" w:hint="default"/>
      </w:rPr>
    </w:lvl>
    <w:lvl w:ilvl="8" w:tplc="F884A8C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5C64E5"/>
    <w:multiLevelType w:val="hybridMultilevel"/>
    <w:tmpl w:val="DCB47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9019C2"/>
    <w:multiLevelType w:val="hybridMultilevel"/>
    <w:tmpl w:val="A4468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A77ADC"/>
    <w:multiLevelType w:val="hybridMultilevel"/>
    <w:tmpl w:val="5E3E007C"/>
    <w:lvl w:ilvl="0" w:tplc="102CBCC6">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0137B5"/>
    <w:multiLevelType w:val="hybridMultilevel"/>
    <w:tmpl w:val="CB40D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75E3C86"/>
    <w:multiLevelType w:val="hybridMultilevel"/>
    <w:tmpl w:val="23C2398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6F2B0513"/>
    <w:multiLevelType w:val="hybridMultilevel"/>
    <w:tmpl w:val="93E66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1B57EE"/>
    <w:multiLevelType w:val="hybridMultilevel"/>
    <w:tmpl w:val="BED0E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9367168"/>
    <w:multiLevelType w:val="hybridMultilevel"/>
    <w:tmpl w:val="03923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E7C1FB1"/>
    <w:multiLevelType w:val="hybridMultilevel"/>
    <w:tmpl w:val="1598D6BA"/>
    <w:lvl w:ilvl="0" w:tplc="14BA99F8">
      <w:start w:val="1"/>
      <w:numFmt w:val="bullet"/>
      <w:lvlText w:val="•"/>
      <w:lvlJc w:val="left"/>
      <w:pPr>
        <w:tabs>
          <w:tab w:val="num" w:pos="720"/>
        </w:tabs>
        <w:ind w:left="720" w:hanging="360"/>
      </w:pPr>
      <w:rPr>
        <w:rFonts w:ascii="Arial" w:hAnsi="Arial" w:hint="default"/>
      </w:rPr>
    </w:lvl>
    <w:lvl w:ilvl="1" w:tplc="5936C30C">
      <w:start w:val="1"/>
      <w:numFmt w:val="bullet"/>
      <w:lvlText w:val="•"/>
      <w:lvlJc w:val="left"/>
      <w:pPr>
        <w:tabs>
          <w:tab w:val="num" w:pos="1440"/>
        </w:tabs>
        <w:ind w:left="1440" w:hanging="360"/>
      </w:pPr>
      <w:rPr>
        <w:rFonts w:ascii="Arial" w:hAnsi="Arial" w:hint="default"/>
      </w:rPr>
    </w:lvl>
    <w:lvl w:ilvl="2" w:tplc="3E9C6342" w:tentative="1">
      <w:start w:val="1"/>
      <w:numFmt w:val="bullet"/>
      <w:lvlText w:val="•"/>
      <w:lvlJc w:val="left"/>
      <w:pPr>
        <w:tabs>
          <w:tab w:val="num" w:pos="2160"/>
        </w:tabs>
        <w:ind w:left="2160" w:hanging="360"/>
      </w:pPr>
      <w:rPr>
        <w:rFonts w:ascii="Arial" w:hAnsi="Arial" w:hint="default"/>
      </w:rPr>
    </w:lvl>
    <w:lvl w:ilvl="3" w:tplc="594299FC" w:tentative="1">
      <w:start w:val="1"/>
      <w:numFmt w:val="bullet"/>
      <w:lvlText w:val="•"/>
      <w:lvlJc w:val="left"/>
      <w:pPr>
        <w:tabs>
          <w:tab w:val="num" w:pos="2880"/>
        </w:tabs>
        <w:ind w:left="2880" w:hanging="360"/>
      </w:pPr>
      <w:rPr>
        <w:rFonts w:ascii="Arial" w:hAnsi="Arial" w:hint="default"/>
      </w:rPr>
    </w:lvl>
    <w:lvl w:ilvl="4" w:tplc="F284574A" w:tentative="1">
      <w:start w:val="1"/>
      <w:numFmt w:val="bullet"/>
      <w:lvlText w:val="•"/>
      <w:lvlJc w:val="left"/>
      <w:pPr>
        <w:tabs>
          <w:tab w:val="num" w:pos="3600"/>
        </w:tabs>
        <w:ind w:left="3600" w:hanging="360"/>
      </w:pPr>
      <w:rPr>
        <w:rFonts w:ascii="Arial" w:hAnsi="Arial" w:hint="default"/>
      </w:rPr>
    </w:lvl>
    <w:lvl w:ilvl="5" w:tplc="150CE6D2" w:tentative="1">
      <w:start w:val="1"/>
      <w:numFmt w:val="bullet"/>
      <w:lvlText w:val="•"/>
      <w:lvlJc w:val="left"/>
      <w:pPr>
        <w:tabs>
          <w:tab w:val="num" w:pos="4320"/>
        </w:tabs>
        <w:ind w:left="4320" w:hanging="360"/>
      </w:pPr>
      <w:rPr>
        <w:rFonts w:ascii="Arial" w:hAnsi="Arial" w:hint="default"/>
      </w:rPr>
    </w:lvl>
    <w:lvl w:ilvl="6" w:tplc="8D70A1E2" w:tentative="1">
      <w:start w:val="1"/>
      <w:numFmt w:val="bullet"/>
      <w:lvlText w:val="•"/>
      <w:lvlJc w:val="left"/>
      <w:pPr>
        <w:tabs>
          <w:tab w:val="num" w:pos="5040"/>
        </w:tabs>
        <w:ind w:left="5040" w:hanging="360"/>
      </w:pPr>
      <w:rPr>
        <w:rFonts w:ascii="Arial" w:hAnsi="Arial" w:hint="default"/>
      </w:rPr>
    </w:lvl>
    <w:lvl w:ilvl="7" w:tplc="DDFE0B94" w:tentative="1">
      <w:start w:val="1"/>
      <w:numFmt w:val="bullet"/>
      <w:lvlText w:val="•"/>
      <w:lvlJc w:val="left"/>
      <w:pPr>
        <w:tabs>
          <w:tab w:val="num" w:pos="5760"/>
        </w:tabs>
        <w:ind w:left="5760" w:hanging="360"/>
      </w:pPr>
      <w:rPr>
        <w:rFonts w:ascii="Arial" w:hAnsi="Arial" w:hint="default"/>
      </w:rPr>
    </w:lvl>
    <w:lvl w:ilvl="8" w:tplc="8078DDB2"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4"/>
  </w:num>
  <w:num w:numId="3">
    <w:abstractNumId w:val="13"/>
  </w:num>
  <w:num w:numId="4">
    <w:abstractNumId w:val="12"/>
  </w:num>
  <w:num w:numId="5">
    <w:abstractNumId w:val="1"/>
  </w:num>
  <w:num w:numId="6">
    <w:abstractNumId w:val="16"/>
  </w:num>
  <w:num w:numId="7">
    <w:abstractNumId w:val="10"/>
  </w:num>
  <w:num w:numId="8">
    <w:abstractNumId w:val="20"/>
  </w:num>
  <w:num w:numId="9">
    <w:abstractNumId w:val="8"/>
  </w:num>
  <w:num w:numId="10">
    <w:abstractNumId w:val="2"/>
  </w:num>
  <w:num w:numId="11">
    <w:abstractNumId w:val="0"/>
  </w:num>
  <w:num w:numId="12">
    <w:abstractNumId w:val="7"/>
  </w:num>
  <w:num w:numId="13">
    <w:abstractNumId w:val="6"/>
  </w:num>
  <w:num w:numId="14">
    <w:abstractNumId w:val="18"/>
  </w:num>
  <w:num w:numId="15">
    <w:abstractNumId w:val="9"/>
  </w:num>
  <w:num w:numId="16">
    <w:abstractNumId w:val="5"/>
  </w:num>
  <w:num w:numId="17">
    <w:abstractNumId w:val="3"/>
  </w:num>
  <w:num w:numId="18">
    <w:abstractNumId w:val="14"/>
  </w:num>
  <w:num w:numId="19">
    <w:abstractNumId w:val="15"/>
  </w:num>
  <w:num w:numId="20">
    <w:abstractNumId w:val="11"/>
  </w:num>
  <w:num w:numId="21">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90"/>
  <w:drawingGridVerticalSpacing w:val="245"/>
  <w:displayHorizontalDrawingGridEvery w:val="2"/>
  <w:doNotShadeFormData/>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printColBlack/>
    <w:showBreaksInFrames/>
    <w:suppressTopSpacing/>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00A1"/>
    <w:rsid w:val="000007DF"/>
    <w:rsid w:val="00000830"/>
    <w:rsid w:val="00005B89"/>
    <w:rsid w:val="0000750E"/>
    <w:rsid w:val="0001301F"/>
    <w:rsid w:val="000137F7"/>
    <w:rsid w:val="000177D2"/>
    <w:rsid w:val="0002036C"/>
    <w:rsid w:val="00021006"/>
    <w:rsid w:val="00021AFA"/>
    <w:rsid w:val="0002234B"/>
    <w:rsid w:val="00025755"/>
    <w:rsid w:val="00026062"/>
    <w:rsid w:val="000268A4"/>
    <w:rsid w:val="000272EF"/>
    <w:rsid w:val="0003326E"/>
    <w:rsid w:val="00036DD7"/>
    <w:rsid w:val="00037637"/>
    <w:rsid w:val="000403BA"/>
    <w:rsid w:val="00042559"/>
    <w:rsid w:val="000427EC"/>
    <w:rsid w:val="00042EEF"/>
    <w:rsid w:val="00044384"/>
    <w:rsid w:val="00056A33"/>
    <w:rsid w:val="00060959"/>
    <w:rsid w:val="00060C13"/>
    <w:rsid w:val="00065B05"/>
    <w:rsid w:val="00066911"/>
    <w:rsid w:val="00066F0F"/>
    <w:rsid w:val="00070850"/>
    <w:rsid w:val="00070982"/>
    <w:rsid w:val="0007288C"/>
    <w:rsid w:val="00080CBE"/>
    <w:rsid w:val="00086332"/>
    <w:rsid w:val="00086553"/>
    <w:rsid w:val="00090B4B"/>
    <w:rsid w:val="00091ED6"/>
    <w:rsid w:val="00091FBD"/>
    <w:rsid w:val="000955CA"/>
    <w:rsid w:val="000977DB"/>
    <w:rsid w:val="000A6CF5"/>
    <w:rsid w:val="000A7C52"/>
    <w:rsid w:val="000C1844"/>
    <w:rsid w:val="000C5C28"/>
    <w:rsid w:val="000C6104"/>
    <w:rsid w:val="000C715E"/>
    <w:rsid w:val="000D14B8"/>
    <w:rsid w:val="000D24EA"/>
    <w:rsid w:val="000D4EA1"/>
    <w:rsid w:val="000D7612"/>
    <w:rsid w:val="000D77AE"/>
    <w:rsid w:val="000E0149"/>
    <w:rsid w:val="000E1F2E"/>
    <w:rsid w:val="000E2E96"/>
    <w:rsid w:val="000E4E4E"/>
    <w:rsid w:val="000E658D"/>
    <w:rsid w:val="000E72A4"/>
    <w:rsid w:val="000E72C3"/>
    <w:rsid w:val="000E7436"/>
    <w:rsid w:val="000F51A5"/>
    <w:rsid w:val="000F59C2"/>
    <w:rsid w:val="000F66BE"/>
    <w:rsid w:val="000F786F"/>
    <w:rsid w:val="00100178"/>
    <w:rsid w:val="001028B3"/>
    <w:rsid w:val="00104D38"/>
    <w:rsid w:val="00106F82"/>
    <w:rsid w:val="00110C0F"/>
    <w:rsid w:val="00114CC3"/>
    <w:rsid w:val="0012234F"/>
    <w:rsid w:val="00122F6F"/>
    <w:rsid w:val="00123969"/>
    <w:rsid w:val="0012425E"/>
    <w:rsid w:val="001251CC"/>
    <w:rsid w:val="00125C8D"/>
    <w:rsid w:val="00133181"/>
    <w:rsid w:val="001358D8"/>
    <w:rsid w:val="001379E7"/>
    <w:rsid w:val="00137AF1"/>
    <w:rsid w:val="00137C82"/>
    <w:rsid w:val="00137D43"/>
    <w:rsid w:val="00140245"/>
    <w:rsid w:val="0014055A"/>
    <w:rsid w:val="00141C29"/>
    <w:rsid w:val="001432EF"/>
    <w:rsid w:val="00147B57"/>
    <w:rsid w:val="00153163"/>
    <w:rsid w:val="0015394F"/>
    <w:rsid w:val="00156424"/>
    <w:rsid w:val="00156886"/>
    <w:rsid w:val="00156C68"/>
    <w:rsid w:val="001573D6"/>
    <w:rsid w:val="0016062A"/>
    <w:rsid w:val="001606A0"/>
    <w:rsid w:val="0016229B"/>
    <w:rsid w:val="001647AB"/>
    <w:rsid w:val="00164B40"/>
    <w:rsid w:val="00164D3C"/>
    <w:rsid w:val="00164DAB"/>
    <w:rsid w:val="001658B5"/>
    <w:rsid w:val="001663C8"/>
    <w:rsid w:val="00167765"/>
    <w:rsid w:val="001707AA"/>
    <w:rsid w:val="001708F4"/>
    <w:rsid w:val="00172218"/>
    <w:rsid w:val="001743AB"/>
    <w:rsid w:val="001752DA"/>
    <w:rsid w:val="001765EE"/>
    <w:rsid w:val="00176DC9"/>
    <w:rsid w:val="00180850"/>
    <w:rsid w:val="00184180"/>
    <w:rsid w:val="001926E9"/>
    <w:rsid w:val="00196B45"/>
    <w:rsid w:val="001A1569"/>
    <w:rsid w:val="001A3FC4"/>
    <w:rsid w:val="001B04AC"/>
    <w:rsid w:val="001B0A7B"/>
    <w:rsid w:val="001B0C6E"/>
    <w:rsid w:val="001B0F8B"/>
    <w:rsid w:val="001B22AD"/>
    <w:rsid w:val="001B42D7"/>
    <w:rsid w:val="001B5072"/>
    <w:rsid w:val="001B7833"/>
    <w:rsid w:val="001C1E7F"/>
    <w:rsid w:val="001C6D85"/>
    <w:rsid w:val="001D5ACC"/>
    <w:rsid w:val="001D79F8"/>
    <w:rsid w:val="001E15B3"/>
    <w:rsid w:val="001E359E"/>
    <w:rsid w:val="001E4241"/>
    <w:rsid w:val="001E435D"/>
    <w:rsid w:val="001E7C36"/>
    <w:rsid w:val="001F2A5B"/>
    <w:rsid w:val="001F5213"/>
    <w:rsid w:val="00201955"/>
    <w:rsid w:val="0020338F"/>
    <w:rsid w:val="00205594"/>
    <w:rsid w:val="0020639E"/>
    <w:rsid w:val="0020666C"/>
    <w:rsid w:val="002101BF"/>
    <w:rsid w:val="00211349"/>
    <w:rsid w:val="00213CB4"/>
    <w:rsid w:val="00216382"/>
    <w:rsid w:val="00217102"/>
    <w:rsid w:val="00221107"/>
    <w:rsid w:val="00223A19"/>
    <w:rsid w:val="00223F2C"/>
    <w:rsid w:val="00231CC2"/>
    <w:rsid w:val="002369E8"/>
    <w:rsid w:val="00242459"/>
    <w:rsid w:val="00244060"/>
    <w:rsid w:val="00245BA3"/>
    <w:rsid w:val="00246664"/>
    <w:rsid w:val="00251072"/>
    <w:rsid w:val="00253B87"/>
    <w:rsid w:val="00253E33"/>
    <w:rsid w:val="00256A3D"/>
    <w:rsid w:val="002605B5"/>
    <w:rsid w:val="00260F48"/>
    <w:rsid w:val="00264218"/>
    <w:rsid w:val="0026509F"/>
    <w:rsid w:val="002674DB"/>
    <w:rsid w:val="002675D2"/>
    <w:rsid w:val="002748E4"/>
    <w:rsid w:val="00277A7E"/>
    <w:rsid w:val="00280541"/>
    <w:rsid w:val="00283692"/>
    <w:rsid w:val="0028548E"/>
    <w:rsid w:val="00292A48"/>
    <w:rsid w:val="002A1D38"/>
    <w:rsid w:val="002A26D5"/>
    <w:rsid w:val="002A35E8"/>
    <w:rsid w:val="002A3C96"/>
    <w:rsid w:val="002B06C5"/>
    <w:rsid w:val="002B131F"/>
    <w:rsid w:val="002B22D2"/>
    <w:rsid w:val="002B3645"/>
    <w:rsid w:val="002B51D0"/>
    <w:rsid w:val="002B530F"/>
    <w:rsid w:val="002B77DF"/>
    <w:rsid w:val="002C0CAA"/>
    <w:rsid w:val="002C3A1D"/>
    <w:rsid w:val="002D398D"/>
    <w:rsid w:val="002D60D0"/>
    <w:rsid w:val="002D69AD"/>
    <w:rsid w:val="002D69C5"/>
    <w:rsid w:val="002E2251"/>
    <w:rsid w:val="002E7B0C"/>
    <w:rsid w:val="002F102B"/>
    <w:rsid w:val="002F49BF"/>
    <w:rsid w:val="00301B96"/>
    <w:rsid w:val="0030229F"/>
    <w:rsid w:val="003060D7"/>
    <w:rsid w:val="0031137B"/>
    <w:rsid w:val="00311906"/>
    <w:rsid w:val="00312154"/>
    <w:rsid w:val="00312365"/>
    <w:rsid w:val="00317194"/>
    <w:rsid w:val="00317304"/>
    <w:rsid w:val="00324819"/>
    <w:rsid w:val="00326E4B"/>
    <w:rsid w:val="003279D2"/>
    <w:rsid w:val="00327BF5"/>
    <w:rsid w:val="00327CC4"/>
    <w:rsid w:val="003313A2"/>
    <w:rsid w:val="00332030"/>
    <w:rsid w:val="003323E8"/>
    <w:rsid w:val="00334027"/>
    <w:rsid w:val="003342FD"/>
    <w:rsid w:val="00334EC7"/>
    <w:rsid w:val="0034125F"/>
    <w:rsid w:val="00341300"/>
    <w:rsid w:val="00342AF9"/>
    <w:rsid w:val="0034523D"/>
    <w:rsid w:val="0034674A"/>
    <w:rsid w:val="00347255"/>
    <w:rsid w:val="00347C85"/>
    <w:rsid w:val="00350CDA"/>
    <w:rsid w:val="00352692"/>
    <w:rsid w:val="00353000"/>
    <w:rsid w:val="00353417"/>
    <w:rsid w:val="00353B76"/>
    <w:rsid w:val="0035493F"/>
    <w:rsid w:val="003600A9"/>
    <w:rsid w:val="00360111"/>
    <w:rsid w:val="0036292A"/>
    <w:rsid w:val="00362D09"/>
    <w:rsid w:val="003663F1"/>
    <w:rsid w:val="003665F5"/>
    <w:rsid w:val="003674BA"/>
    <w:rsid w:val="003701F8"/>
    <w:rsid w:val="00371212"/>
    <w:rsid w:val="003824AE"/>
    <w:rsid w:val="003855C5"/>
    <w:rsid w:val="0039180A"/>
    <w:rsid w:val="003946A0"/>
    <w:rsid w:val="003953E0"/>
    <w:rsid w:val="00396559"/>
    <w:rsid w:val="00396FE2"/>
    <w:rsid w:val="003A21DB"/>
    <w:rsid w:val="003A34BC"/>
    <w:rsid w:val="003A63B9"/>
    <w:rsid w:val="003A7451"/>
    <w:rsid w:val="003B2EC6"/>
    <w:rsid w:val="003B5BCE"/>
    <w:rsid w:val="003C17AF"/>
    <w:rsid w:val="003D064A"/>
    <w:rsid w:val="003D2A51"/>
    <w:rsid w:val="003D2C5A"/>
    <w:rsid w:val="003D3C3F"/>
    <w:rsid w:val="003D5DCA"/>
    <w:rsid w:val="003D6B75"/>
    <w:rsid w:val="003D6F58"/>
    <w:rsid w:val="003D7EFD"/>
    <w:rsid w:val="003D7F64"/>
    <w:rsid w:val="003E664A"/>
    <w:rsid w:val="003F2A5E"/>
    <w:rsid w:val="003F2BE9"/>
    <w:rsid w:val="003F38D8"/>
    <w:rsid w:val="004037DA"/>
    <w:rsid w:val="0040600E"/>
    <w:rsid w:val="0041162D"/>
    <w:rsid w:val="00413DBE"/>
    <w:rsid w:val="004153E5"/>
    <w:rsid w:val="004164B9"/>
    <w:rsid w:val="00416896"/>
    <w:rsid w:val="0041726E"/>
    <w:rsid w:val="0042236D"/>
    <w:rsid w:val="00422829"/>
    <w:rsid w:val="00424B5C"/>
    <w:rsid w:val="004275C4"/>
    <w:rsid w:val="00432663"/>
    <w:rsid w:val="0043312D"/>
    <w:rsid w:val="004338B1"/>
    <w:rsid w:val="0043621D"/>
    <w:rsid w:val="0043630E"/>
    <w:rsid w:val="00437392"/>
    <w:rsid w:val="004420F5"/>
    <w:rsid w:val="00452384"/>
    <w:rsid w:val="00456DC9"/>
    <w:rsid w:val="004574F5"/>
    <w:rsid w:val="0046090C"/>
    <w:rsid w:val="004612E1"/>
    <w:rsid w:val="004652E3"/>
    <w:rsid w:val="004665C9"/>
    <w:rsid w:val="00467527"/>
    <w:rsid w:val="004747C1"/>
    <w:rsid w:val="00474B18"/>
    <w:rsid w:val="00477D21"/>
    <w:rsid w:val="004800C9"/>
    <w:rsid w:val="0048020E"/>
    <w:rsid w:val="00482F18"/>
    <w:rsid w:val="004835C0"/>
    <w:rsid w:val="004872A4"/>
    <w:rsid w:val="00495834"/>
    <w:rsid w:val="004A1F96"/>
    <w:rsid w:val="004A2E57"/>
    <w:rsid w:val="004A3354"/>
    <w:rsid w:val="004A7277"/>
    <w:rsid w:val="004B1D90"/>
    <w:rsid w:val="004B22A2"/>
    <w:rsid w:val="004B4609"/>
    <w:rsid w:val="004C58C7"/>
    <w:rsid w:val="004C7237"/>
    <w:rsid w:val="004C73E1"/>
    <w:rsid w:val="004C7572"/>
    <w:rsid w:val="004C7F0E"/>
    <w:rsid w:val="004D1DF9"/>
    <w:rsid w:val="004D2297"/>
    <w:rsid w:val="004D2EA5"/>
    <w:rsid w:val="004D3C3E"/>
    <w:rsid w:val="004D4574"/>
    <w:rsid w:val="004D670A"/>
    <w:rsid w:val="004D6FF4"/>
    <w:rsid w:val="004D7644"/>
    <w:rsid w:val="004D7F27"/>
    <w:rsid w:val="004E25E0"/>
    <w:rsid w:val="004E52C2"/>
    <w:rsid w:val="004E6EDA"/>
    <w:rsid w:val="004E70F3"/>
    <w:rsid w:val="004E765E"/>
    <w:rsid w:val="004F2088"/>
    <w:rsid w:val="004F3037"/>
    <w:rsid w:val="004F3318"/>
    <w:rsid w:val="004F3439"/>
    <w:rsid w:val="004F5939"/>
    <w:rsid w:val="004F59AE"/>
    <w:rsid w:val="004F7BB9"/>
    <w:rsid w:val="00501AB4"/>
    <w:rsid w:val="005053B6"/>
    <w:rsid w:val="00505B20"/>
    <w:rsid w:val="00513AD5"/>
    <w:rsid w:val="00515B56"/>
    <w:rsid w:val="00520608"/>
    <w:rsid w:val="005206D6"/>
    <w:rsid w:val="005228B5"/>
    <w:rsid w:val="00522F30"/>
    <w:rsid w:val="00523D03"/>
    <w:rsid w:val="00524383"/>
    <w:rsid w:val="005253E0"/>
    <w:rsid w:val="005263F7"/>
    <w:rsid w:val="005273F8"/>
    <w:rsid w:val="005308BF"/>
    <w:rsid w:val="00530A87"/>
    <w:rsid w:val="0053373C"/>
    <w:rsid w:val="0053380D"/>
    <w:rsid w:val="00537F85"/>
    <w:rsid w:val="00542BF5"/>
    <w:rsid w:val="00547274"/>
    <w:rsid w:val="00552A28"/>
    <w:rsid w:val="00553253"/>
    <w:rsid w:val="00555FCB"/>
    <w:rsid w:val="005616C0"/>
    <w:rsid w:val="00562DA4"/>
    <w:rsid w:val="00567B61"/>
    <w:rsid w:val="00567E56"/>
    <w:rsid w:val="005711B6"/>
    <w:rsid w:val="00571E32"/>
    <w:rsid w:val="00577E34"/>
    <w:rsid w:val="005821B2"/>
    <w:rsid w:val="00583F50"/>
    <w:rsid w:val="0059076F"/>
    <w:rsid w:val="00592ACC"/>
    <w:rsid w:val="00594AD8"/>
    <w:rsid w:val="00595DDE"/>
    <w:rsid w:val="005A0BE3"/>
    <w:rsid w:val="005A1E6A"/>
    <w:rsid w:val="005A2477"/>
    <w:rsid w:val="005A4489"/>
    <w:rsid w:val="005A4602"/>
    <w:rsid w:val="005A466D"/>
    <w:rsid w:val="005B1ED3"/>
    <w:rsid w:val="005B1EF5"/>
    <w:rsid w:val="005B23C3"/>
    <w:rsid w:val="005B3F97"/>
    <w:rsid w:val="005B59C1"/>
    <w:rsid w:val="005C2B02"/>
    <w:rsid w:val="005C4C7F"/>
    <w:rsid w:val="005D0C4F"/>
    <w:rsid w:val="005D0DAD"/>
    <w:rsid w:val="005D3127"/>
    <w:rsid w:val="005D62F6"/>
    <w:rsid w:val="005E16A0"/>
    <w:rsid w:val="005E211A"/>
    <w:rsid w:val="005E264F"/>
    <w:rsid w:val="005E3510"/>
    <w:rsid w:val="005E3F87"/>
    <w:rsid w:val="005E4D34"/>
    <w:rsid w:val="005E7487"/>
    <w:rsid w:val="005F1A23"/>
    <w:rsid w:val="005F367E"/>
    <w:rsid w:val="005F5E44"/>
    <w:rsid w:val="005F726E"/>
    <w:rsid w:val="006007FA"/>
    <w:rsid w:val="0060254F"/>
    <w:rsid w:val="006028B5"/>
    <w:rsid w:val="00602C57"/>
    <w:rsid w:val="00604CB1"/>
    <w:rsid w:val="00606999"/>
    <w:rsid w:val="006074CF"/>
    <w:rsid w:val="00607624"/>
    <w:rsid w:val="0060768F"/>
    <w:rsid w:val="00612FF8"/>
    <w:rsid w:val="00620D8A"/>
    <w:rsid w:val="00621502"/>
    <w:rsid w:val="006265F2"/>
    <w:rsid w:val="00626FE0"/>
    <w:rsid w:val="0062745D"/>
    <w:rsid w:val="00627B4A"/>
    <w:rsid w:val="006302FC"/>
    <w:rsid w:val="006308B4"/>
    <w:rsid w:val="00630B3B"/>
    <w:rsid w:val="00632581"/>
    <w:rsid w:val="00636DC6"/>
    <w:rsid w:val="0063733D"/>
    <w:rsid w:val="00640325"/>
    <w:rsid w:val="00646EF9"/>
    <w:rsid w:val="006470F8"/>
    <w:rsid w:val="00651C11"/>
    <w:rsid w:val="006528C5"/>
    <w:rsid w:val="00652AAB"/>
    <w:rsid w:val="00655FD6"/>
    <w:rsid w:val="00662657"/>
    <w:rsid w:val="006629D2"/>
    <w:rsid w:val="0066360A"/>
    <w:rsid w:val="00665F5D"/>
    <w:rsid w:val="00667B9E"/>
    <w:rsid w:val="00671083"/>
    <w:rsid w:val="006735D7"/>
    <w:rsid w:val="00674EF5"/>
    <w:rsid w:val="006751A7"/>
    <w:rsid w:val="0068310F"/>
    <w:rsid w:val="0068465D"/>
    <w:rsid w:val="00687C51"/>
    <w:rsid w:val="00690355"/>
    <w:rsid w:val="00690B3A"/>
    <w:rsid w:val="00691184"/>
    <w:rsid w:val="006917E6"/>
    <w:rsid w:val="00691BA2"/>
    <w:rsid w:val="0069376F"/>
    <w:rsid w:val="00693F49"/>
    <w:rsid w:val="0069484F"/>
    <w:rsid w:val="00697B1C"/>
    <w:rsid w:val="006A0E8E"/>
    <w:rsid w:val="006A1189"/>
    <w:rsid w:val="006A2A2F"/>
    <w:rsid w:val="006A3141"/>
    <w:rsid w:val="006A4713"/>
    <w:rsid w:val="006A7EB2"/>
    <w:rsid w:val="006B1D9B"/>
    <w:rsid w:val="006B38D7"/>
    <w:rsid w:val="006B58A5"/>
    <w:rsid w:val="006B5C96"/>
    <w:rsid w:val="006C1CF6"/>
    <w:rsid w:val="006C30CA"/>
    <w:rsid w:val="006C358B"/>
    <w:rsid w:val="006C46D9"/>
    <w:rsid w:val="006C4B8F"/>
    <w:rsid w:val="006C578B"/>
    <w:rsid w:val="006D00BF"/>
    <w:rsid w:val="006D1EA6"/>
    <w:rsid w:val="006D1FE5"/>
    <w:rsid w:val="006D4003"/>
    <w:rsid w:val="006D6447"/>
    <w:rsid w:val="006E2B1E"/>
    <w:rsid w:val="006E403E"/>
    <w:rsid w:val="006F0216"/>
    <w:rsid w:val="006F11F1"/>
    <w:rsid w:val="006F4990"/>
    <w:rsid w:val="006F54F0"/>
    <w:rsid w:val="006F68D2"/>
    <w:rsid w:val="006F6F78"/>
    <w:rsid w:val="00703B45"/>
    <w:rsid w:val="007040A6"/>
    <w:rsid w:val="0070441D"/>
    <w:rsid w:val="007061DA"/>
    <w:rsid w:val="00707C5A"/>
    <w:rsid w:val="00710E55"/>
    <w:rsid w:val="0071364F"/>
    <w:rsid w:val="00716204"/>
    <w:rsid w:val="007162EC"/>
    <w:rsid w:val="00717ACB"/>
    <w:rsid w:val="007207A2"/>
    <w:rsid w:val="0072090C"/>
    <w:rsid w:val="00727AE3"/>
    <w:rsid w:val="007307F6"/>
    <w:rsid w:val="00732EB9"/>
    <w:rsid w:val="0073389A"/>
    <w:rsid w:val="00736C3A"/>
    <w:rsid w:val="0074135A"/>
    <w:rsid w:val="00741B70"/>
    <w:rsid w:val="00742514"/>
    <w:rsid w:val="00743888"/>
    <w:rsid w:val="007519E7"/>
    <w:rsid w:val="00760D3E"/>
    <w:rsid w:val="00761C79"/>
    <w:rsid w:val="0076286A"/>
    <w:rsid w:val="007644B7"/>
    <w:rsid w:val="00765467"/>
    <w:rsid w:val="00766FAF"/>
    <w:rsid w:val="00770BE4"/>
    <w:rsid w:val="00777897"/>
    <w:rsid w:val="0078225D"/>
    <w:rsid w:val="00784911"/>
    <w:rsid w:val="00791D47"/>
    <w:rsid w:val="0079524C"/>
    <w:rsid w:val="007973BF"/>
    <w:rsid w:val="007A0229"/>
    <w:rsid w:val="007B0497"/>
    <w:rsid w:val="007B0D0F"/>
    <w:rsid w:val="007B12B9"/>
    <w:rsid w:val="007B2FCB"/>
    <w:rsid w:val="007B7298"/>
    <w:rsid w:val="007C1ED5"/>
    <w:rsid w:val="007C23C2"/>
    <w:rsid w:val="007C253E"/>
    <w:rsid w:val="007C3D6D"/>
    <w:rsid w:val="007C4349"/>
    <w:rsid w:val="007C665B"/>
    <w:rsid w:val="007C711D"/>
    <w:rsid w:val="007D0056"/>
    <w:rsid w:val="007D187F"/>
    <w:rsid w:val="007D22B5"/>
    <w:rsid w:val="007D2472"/>
    <w:rsid w:val="007D55E2"/>
    <w:rsid w:val="007D5694"/>
    <w:rsid w:val="007D7136"/>
    <w:rsid w:val="007E11C9"/>
    <w:rsid w:val="007E5CAE"/>
    <w:rsid w:val="007F4D23"/>
    <w:rsid w:val="007F713A"/>
    <w:rsid w:val="00800A6D"/>
    <w:rsid w:val="008019F6"/>
    <w:rsid w:val="00803CA2"/>
    <w:rsid w:val="00803D5D"/>
    <w:rsid w:val="0080689B"/>
    <w:rsid w:val="008115F1"/>
    <w:rsid w:val="00817091"/>
    <w:rsid w:val="008217BE"/>
    <w:rsid w:val="00822F28"/>
    <w:rsid w:val="00823B29"/>
    <w:rsid w:val="008250F4"/>
    <w:rsid w:val="00825CB5"/>
    <w:rsid w:val="00830AE8"/>
    <w:rsid w:val="008312A1"/>
    <w:rsid w:val="008403BE"/>
    <w:rsid w:val="00841799"/>
    <w:rsid w:val="00843223"/>
    <w:rsid w:val="008449A6"/>
    <w:rsid w:val="00847448"/>
    <w:rsid w:val="00852336"/>
    <w:rsid w:val="00852BD2"/>
    <w:rsid w:val="00853100"/>
    <w:rsid w:val="008545B7"/>
    <w:rsid w:val="00857F45"/>
    <w:rsid w:val="00860734"/>
    <w:rsid w:val="00862E47"/>
    <w:rsid w:val="0086614E"/>
    <w:rsid w:val="00866755"/>
    <w:rsid w:val="00867711"/>
    <w:rsid w:val="00867836"/>
    <w:rsid w:val="008723B0"/>
    <w:rsid w:val="00872C1E"/>
    <w:rsid w:val="00873388"/>
    <w:rsid w:val="00873975"/>
    <w:rsid w:val="00875F2C"/>
    <w:rsid w:val="008763B9"/>
    <w:rsid w:val="00882395"/>
    <w:rsid w:val="00886FFB"/>
    <w:rsid w:val="008900DB"/>
    <w:rsid w:val="00890B7A"/>
    <w:rsid w:val="008918F5"/>
    <w:rsid w:val="00895E27"/>
    <w:rsid w:val="008A3002"/>
    <w:rsid w:val="008A5088"/>
    <w:rsid w:val="008A6FA7"/>
    <w:rsid w:val="008A71D2"/>
    <w:rsid w:val="008A7F59"/>
    <w:rsid w:val="008B330C"/>
    <w:rsid w:val="008B3C4D"/>
    <w:rsid w:val="008B44EA"/>
    <w:rsid w:val="008B5239"/>
    <w:rsid w:val="008B6A6E"/>
    <w:rsid w:val="008C1D91"/>
    <w:rsid w:val="008C4612"/>
    <w:rsid w:val="008C4EA4"/>
    <w:rsid w:val="008C74F2"/>
    <w:rsid w:val="008D0C46"/>
    <w:rsid w:val="008D4645"/>
    <w:rsid w:val="008D4F1B"/>
    <w:rsid w:val="008D5049"/>
    <w:rsid w:val="008D5888"/>
    <w:rsid w:val="008E0246"/>
    <w:rsid w:val="008E14F6"/>
    <w:rsid w:val="008E1D6B"/>
    <w:rsid w:val="008E5BCD"/>
    <w:rsid w:val="008F013F"/>
    <w:rsid w:val="008F29FE"/>
    <w:rsid w:val="008F576D"/>
    <w:rsid w:val="008F7E83"/>
    <w:rsid w:val="00900230"/>
    <w:rsid w:val="00900FFA"/>
    <w:rsid w:val="0090457C"/>
    <w:rsid w:val="009046E9"/>
    <w:rsid w:val="00910499"/>
    <w:rsid w:val="009121FB"/>
    <w:rsid w:val="00913A1E"/>
    <w:rsid w:val="00916520"/>
    <w:rsid w:val="00917D2B"/>
    <w:rsid w:val="00921597"/>
    <w:rsid w:val="00923C8D"/>
    <w:rsid w:val="00925EE1"/>
    <w:rsid w:val="00926108"/>
    <w:rsid w:val="009301E8"/>
    <w:rsid w:val="00933902"/>
    <w:rsid w:val="00935E16"/>
    <w:rsid w:val="009405B8"/>
    <w:rsid w:val="00943AB5"/>
    <w:rsid w:val="00946DF1"/>
    <w:rsid w:val="00947DBB"/>
    <w:rsid w:val="00950E8A"/>
    <w:rsid w:val="0095651B"/>
    <w:rsid w:val="009565DC"/>
    <w:rsid w:val="0095699B"/>
    <w:rsid w:val="009608C5"/>
    <w:rsid w:val="009616B1"/>
    <w:rsid w:val="00962296"/>
    <w:rsid w:val="009656E0"/>
    <w:rsid w:val="009661D0"/>
    <w:rsid w:val="0096656B"/>
    <w:rsid w:val="00967750"/>
    <w:rsid w:val="00970002"/>
    <w:rsid w:val="00974494"/>
    <w:rsid w:val="00975D52"/>
    <w:rsid w:val="00977D28"/>
    <w:rsid w:val="00980104"/>
    <w:rsid w:val="009803BE"/>
    <w:rsid w:val="00980828"/>
    <w:rsid w:val="009810A1"/>
    <w:rsid w:val="009818C5"/>
    <w:rsid w:val="00983158"/>
    <w:rsid w:val="00983DFD"/>
    <w:rsid w:val="00985395"/>
    <w:rsid w:val="0098598B"/>
    <w:rsid w:val="00995088"/>
    <w:rsid w:val="00996D09"/>
    <w:rsid w:val="009A06A7"/>
    <w:rsid w:val="009A3208"/>
    <w:rsid w:val="009A5F8D"/>
    <w:rsid w:val="009A743E"/>
    <w:rsid w:val="009C0D71"/>
    <w:rsid w:val="009C1125"/>
    <w:rsid w:val="009C4648"/>
    <w:rsid w:val="009D0225"/>
    <w:rsid w:val="009D0435"/>
    <w:rsid w:val="009D16AC"/>
    <w:rsid w:val="009D19E7"/>
    <w:rsid w:val="009D1A6B"/>
    <w:rsid w:val="009D1DDA"/>
    <w:rsid w:val="009D2C7B"/>
    <w:rsid w:val="009D7093"/>
    <w:rsid w:val="009E495C"/>
    <w:rsid w:val="009E6490"/>
    <w:rsid w:val="009F2A18"/>
    <w:rsid w:val="009F3BF0"/>
    <w:rsid w:val="00A02445"/>
    <w:rsid w:val="00A02CF9"/>
    <w:rsid w:val="00A07CA7"/>
    <w:rsid w:val="00A15FCC"/>
    <w:rsid w:val="00A16E7A"/>
    <w:rsid w:val="00A17FB8"/>
    <w:rsid w:val="00A21396"/>
    <w:rsid w:val="00A22424"/>
    <w:rsid w:val="00A237FF"/>
    <w:rsid w:val="00A256C3"/>
    <w:rsid w:val="00A27A04"/>
    <w:rsid w:val="00A32548"/>
    <w:rsid w:val="00A34335"/>
    <w:rsid w:val="00A41111"/>
    <w:rsid w:val="00A41C93"/>
    <w:rsid w:val="00A4395A"/>
    <w:rsid w:val="00A46E2D"/>
    <w:rsid w:val="00A46FBC"/>
    <w:rsid w:val="00A509C1"/>
    <w:rsid w:val="00A518BA"/>
    <w:rsid w:val="00A51DE9"/>
    <w:rsid w:val="00A57F5B"/>
    <w:rsid w:val="00A6060E"/>
    <w:rsid w:val="00A60A31"/>
    <w:rsid w:val="00A60E81"/>
    <w:rsid w:val="00A61755"/>
    <w:rsid w:val="00A64A3B"/>
    <w:rsid w:val="00A64A6D"/>
    <w:rsid w:val="00A65DB3"/>
    <w:rsid w:val="00A67665"/>
    <w:rsid w:val="00A70C23"/>
    <w:rsid w:val="00A73BA1"/>
    <w:rsid w:val="00A742CF"/>
    <w:rsid w:val="00A74EB4"/>
    <w:rsid w:val="00A86160"/>
    <w:rsid w:val="00A9243B"/>
    <w:rsid w:val="00A94D4A"/>
    <w:rsid w:val="00AA074A"/>
    <w:rsid w:val="00AA32F5"/>
    <w:rsid w:val="00AA6E9E"/>
    <w:rsid w:val="00AA7445"/>
    <w:rsid w:val="00AB0304"/>
    <w:rsid w:val="00AB073F"/>
    <w:rsid w:val="00AB38A6"/>
    <w:rsid w:val="00AB76FB"/>
    <w:rsid w:val="00AC0170"/>
    <w:rsid w:val="00AC195A"/>
    <w:rsid w:val="00AC33ED"/>
    <w:rsid w:val="00AC75DB"/>
    <w:rsid w:val="00AD7060"/>
    <w:rsid w:val="00AE0E84"/>
    <w:rsid w:val="00AE64DC"/>
    <w:rsid w:val="00AE72B0"/>
    <w:rsid w:val="00AE73E2"/>
    <w:rsid w:val="00AE7847"/>
    <w:rsid w:val="00AF113B"/>
    <w:rsid w:val="00AF14CC"/>
    <w:rsid w:val="00AF2752"/>
    <w:rsid w:val="00AF6939"/>
    <w:rsid w:val="00AF7ED5"/>
    <w:rsid w:val="00B0106D"/>
    <w:rsid w:val="00B06158"/>
    <w:rsid w:val="00B06273"/>
    <w:rsid w:val="00B073E4"/>
    <w:rsid w:val="00B10259"/>
    <w:rsid w:val="00B119BB"/>
    <w:rsid w:val="00B12DB9"/>
    <w:rsid w:val="00B14900"/>
    <w:rsid w:val="00B16867"/>
    <w:rsid w:val="00B16D51"/>
    <w:rsid w:val="00B17384"/>
    <w:rsid w:val="00B27996"/>
    <w:rsid w:val="00B311ED"/>
    <w:rsid w:val="00B3139D"/>
    <w:rsid w:val="00B335A6"/>
    <w:rsid w:val="00B3484B"/>
    <w:rsid w:val="00B348F0"/>
    <w:rsid w:val="00B37BA5"/>
    <w:rsid w:val="00B37DF5"/>
    <w:rsid w:val="00B448F3"/>
    <w:rsid w:val="00B45765"/>
    <w:rsid w:val="00B45ACC"/>
    <w:rsid w:val="00B54E66"/>
    <w:rsid w:val="00B57851"/>
    <w:rsid w:val="00B6246A"/>
    <w:rsid w:val="00B64D3E"/>
    <w:rsid w:val="00B66939"/>
    <w:rsid w:val="00B702FB"/>
    <w:rsid w:val="00B72B71"/>
    <w:rsid w:val="00B730DD"/>
    <w:rsid w:val="00B7514D"/>
    <w:rsid w:val="00B757C8"/>
    <w:rsid w:val="00B75991"/>
    <w:rsid w:val="00B75EE4"/>
    <w:rsid w:val="00B76AE7"/>
    <w:rsid w:val="00B800A1"/>
    <w:rsid w:val="00B81FAD"/>
    <w:rsid w:val="00B854C2"/>
    <w:rsid w:val="00B85B10"/>
    <w:rsid w:val="00B871F4"/>
    <w:rsid w:val="00B93B74"/>
    <w:rsid w:val="00B965BA"/>
    <w:rsid w:val="00B9665A"/>
    <w:rsid w:val="00B96D33"/>
    <w:rsid w:val="00BA0D1E"/>
    <w:rsid w:val="00BA3C6A"/>
    <w:rsid w:val="00BA41CF"/>
    <w:rsid w:val="00BA45F3"/>
    <w:rsid w:val="00BA59BF"/>
    <w:rsid w:val="00BB0313"/>
    <w:rsid w:val="00BB4B17"/>
    <w:rsid w:val="00BC1405"/>
    <w:rsid w:val="00BC201D"/>
    <w:rsid w:val="00BC2E98"/>
    <w:rsid w:val="00BC3E9C"/>
    <w:rsid w:val="00BC5839"/>
    <w:rsid w:val="00BD42A2"/>
    <w:rsid w:val="00BD5051"/>
    <w:rsid w:val="00BD5E78"/>
    <w:rsid w:val="00BE0087"/>
    <w:rsid w:val="00BE3313"/>
    <w:rsid w:val="00BE3440"/>
    <w:rsid w:val="00BF1527"/>
    <w:rsid w:val="00BF22AC"/>
    <w:rsid w:val="00BF23FE"/>
    <w:rsid w:val="00BF2BA4"/>
    <w:rsid w:val="00BF3E17"/>
    <w:rsid w:val="00BF711C"/>
    <w:rsid w:val="00C077DC"/>
    <w:rsid w:val="00C07EA4"/>
    <w:rsid w:val="00C10A38"/>
    <w:rsid w:val="00C14253"/>
    <w:rsid w:val="00C16BD5"/>
    <w:rsid w:val="00C30475"/>
    <w:rsid w:val="00C3070E"/>
    <w:rsid w:val="00C3120F"/>
    <w:rsid w:val="00C35D50"/>
    <w:rsid w:val="00C37042"/>
    <w:rsid w:val="00C4056A"/>
    <w:rsid w:val="00C42B65"/>
    <w:rsid w:val="00C44191"/>
    <w:rsid w:val="00C45797"/>
    <w:rsid w:val="00C46ED0"/>
    <w:rsid w:val="00C543C6"/>
    <w:rsid w:val="00C61E3A"/>
    <w:rsid w:val="00C64357"/>
    <w:rsid w:val="00C66C0C"/>
    <w:rsid w:val="00C66CC2"/>
    <w:rsid w:val="00C66D04"/>
    <w:rsid w:val="00C66D93"/>
    <w:rsid w:val="00C671B4"/>
    <w:rsid w:val="00C7166F"/>
    <w:rsid w:val="00C71879"/>
    <w:rsid w:val="00C80A23"/>
    <w:rsid w:val="00C86DC3"/>
    <w:rsid w:val="00C87585"/>
    <w:rsid w:val="00C93F55"/>
    <w:rsid w:val="00C972B5"/>
    <w:rsid w:val="00C97389"/>
    <w:rsid w:val="00CA45CC"/>
    <w:rsid w:val="00CA4D6B"/>
    <w:rsid w:val="00CB1FAC"/>
    <w:rsid w:val="00CB5D3A"/>
    <w:rsid w:val="00CC0815"/>
    <w:rsid w:val="00CC0B77"/>
    <w:rsid w:val="00CC23C7"/>
    <w:rsid w:val="00CC2FF2"/>
    <w:rsid w:val="00CC38EB"/>
    <w:rsid w:val="00CC471C"/>
    <w:rsid w:val="00CC6A03"/>
    <w:rsid w:val="00CD6E5C"/>
    <w:rsid w:val="00CE473F"/>
    <w:rsid w:val="00CE599F"/>
    <w:rsid w:val="00CE76D3"/>
    <w:rsid w:val="00CF5739"/>
    <w:rsid w:val="00CF5A54"/>
    <w:rsid w:val="00CF5B49"/>
    <w:rsid w:val="00D0274F"/>
    <w:rsid w:val="00D04296"/>
    <w:rsid w:val="00D04893"/>
    <w:rsid w:val="00D115A3"/>
    <w:rsid w:val="00D12AF3"/>
    <w:rsid w:val="00D1791E"/>
    <w:rsid w:val="00D21D8A"/>
    <w:rsid w:val="00D2359D"/>
    <w:rsid w:val="00D250F5"/>
    <w:rsid w:val="00D310FD"/>
    <w:rsid w:val="00D31486"/>
    <w:rsid w:val="00D32602"/>
    <w:rsid w:val="00D32DEF"/>
    <w:rsid w:val="00D32F15"/>
    <w:rsid w:val="00D331AB"/>
    <w:rsid w:val="00D36800"/>
    <w:rsid w:val="00D42F5C"/>
    <w:rsid w:val="00D43720"/>
    <w:rsid w:val="00D43727"/>
    <w:rsid w:val="00D44B2F"/>
    <w:rsid w:val="00D46283"/>
    <w:rsid w:val="00D5241F"/>
    <w:rsid w:val="00D544B6"/>
    <w:rsid w:val="00D57978"/>
    <w:rsid w:val="00D600CD"/>
    <w:rsid w:val="00D640BC"/>
    <w:rsid w:val="00D64CB0"/>
    <w:rsid w:val="00D650AB"/>
    <w:rsid w:val="00D65117"/>
    <w:rsid w:val="00D7591F"/>
    <w:rsid w:val="00D75A56"/>
    <w:rsid w:val="00D8107B"/>
    <w:rsid w:val="00D91753"/>
    <w:rsid w:val="00D929D4"/>
    <w:rsid w:val="00D95E81"/>
    <w:rsid w:val="00D96AE2"/>
    <w:rsid w:val="00DA1E09"/>
    <w:rsid w:val="00DA41E4"/>
    <w:rsid w:val="00DA7E21"/>
    <w:rsid w:val="00DB1FEE"/>
    <w:rsid w:val="00DB2BEE"/>
    <w:rsid w:val="00DB5680"/>
    <w:rsid w:val="00DB6F79"/>
    <w:rsid w:val="00DC441B"/>
    <w:rsid w:val="00DC5A3E"/>
    <w:rsid w:val="00DD107E"/>
    <w:rsid w:val="00DD1F5D"/>
    <w:rsid w:val="00DE2743"/>
    <w:rsid w:val="00DE2A3F"/>
    <w:rsid w:val="00DE2F4A"/>
    <w:rsid w:val="00DE39C3"/>
    <w:rsid w:val="00DE402E"/>
    <w:rsid w:val="00DE5377"/>
    <w:rsid w:val="00DE59D8"/>
    <w:rsid w:val="00DE6944"/>
    <w:rsid w:val="00DF1F3A"/>
    <w:rsid w:val="00DF547A"/>
    <w:rsid w:val="00DF74C6"/>
    <w:rsid w:val="00E0116C"/>
    <w:rsid w:val="00E01DC0"/>
    <w:rsid w:val="00E0281F"/>
    <w:rsid w:val="00E11F96"/>
    <w:rsid w:val="00E1412F"/>
    <w:rsid w:val="00E14A83"/>
    <w:rsid w:val="00E15663"/>
    <w:rsid w:val="00E1598E"/>
    <w:rsid w:val="00E23D6B"/>
    <w:rsid w:val="00E24047"/>
    <w:rsid w:val="00E300F0"/>
    <w:rsid w:val="00E31B0E"/>
    <w:rsid w:val="00E31E0B"/>
    <w:rsid w:val="00E32392"/>
    <w:rsid w:val="00E32C71"/>
    <w:rsid w:val="00E347F2"/>
    <w:rsid w:val="00E3757B"/>
    <w:rsid w:val="00E4167C"/>
    <w:rsid w:val="00E4240C"/>
    <w:rsid w:val="00E43DA5"/>
    <w:rsid w:val="00E45ED5"/>
    <w:rsid w:val="00E4675D"/>
    <w:rsid w:val="00E47C74"/>
    <w:rsid w:val="00E50DD6"/>
    <w:rsid w:val="00E54B74"/>
    <w:rsid w:val="00E568F5"/>
    <w:rsid w:val="00E57FFD"/>
    <w:rsid w:val="00E619C6"/>
    <w:rsid w:val="00E62DE0"/>
    <w:rsid w:val="00E65459"/>
    <w:rsid w:val="00E65E1D"/>
    <w:rsid w:val="00E67568"/>
    <w:rsid w:val="00E67BE3"/>
    <w:rsid w:val="00E71AC4"/>
    <w:rsid w:val="00E755BB"/>
    <w:rsid w:val="00E768AF"/>
    <w:rsid w:val="00E81CF5"/>
    <w:rsid w:val="00E84013"/>
    <w:rsid w:val="00E85977"/>
    <w:rsid w:val="00E86D1A"/>
    <w:rsid w:val="00E90173"/>
    <w:rsid w:val="00E92AC2"/>
    <w:rsid w:val="00E95B03"/>
    <w:rsid w:val="00E97E88"/>
    <w:rsid w:val="00EA027F"/>
    <w:rsid w:val="00EA21CD"/>
    <w:rsid w:val="00EA2D2A"/>
    <w:rsid w:val="00EA3975"/>
    <w:rsid w:val="00EA6EAC"/>
    <w:rsid w:val="00EA758A"/>
    <w:rsid w:val="00EA7FD7"/>
    <w:rsid w:val="00EB2983"/>
    <w:rsid w:val="00EB476D"/>
    <w:rsid w:val="00EC0E37"/>
    <w:rsid w:val="00EC3183"/>
    <w:rsid w:val="00EC3389"/>
    <w:rsid w:val="00EC3854"/>
    <w:rsid w:val="00EC5F73"/>
    <w:rsid w:val="00ED2C8D"/>
    <w:rsid w:val="00ED3581"/>
    <w:rsid w:val="00EE17EA"/>
    <w:rsid w:val="00EE1FA0"/>
    <w:rsid w:val="00EE6901"/>
    <w:rsid w:val="00EE6CFF"/>
    <w:rsid w:val="00EE6F40"/>
    <w:rsid w:val="00EE78B7"/>
    <w:rsid w:val="00EF204E"/>
    <w:rsid w:val="00EF2400"/>
    <w:rsid w:val="00EF4713"/>
    <w:rsid w:val="00F001B4"/>
    <w:rsid w:val="00F00807"/>
    <w:rsid w:val="00F01050"/>
    <w:rsid w:val="00F01C7B"/>
    <w:rsid w:val="00F145EF"/>
    <w:rsid w:val="00F15035"/>
    <w:rsid w:val="00F16CB7"/>
    <w:rsid w:val="00F1709C"/>
    <w:rsid w:val="00F253E6"/>
    <w:rsid w:val="00F352B4"/>
    <w:rsid w:val="00F35701"/>
    <w:rsid w:val="00F35F7B"/>
    <w:rsid w:val="00F4507F"/>
    <w:rsid w:val="00F474D9"/>
    <w:rsid w:val="00F50A3A"/>
    <w:rsid w:val="00F533F6"/>
    <w:rsid w:val="00F5444F"/>
    <w:rsid w:val="00F54A4E"/>
    <w:rsid w:val="00F572E9"/>
    <w:rsid w:val="00F579F3"/>
    <w:rsid w:val="00F60CCA"/>
    <w:rsid w:val="00F64CC8"/>
    <w:rsid w:val="00F652EB"/>
    <w:rsid w:val="00F65A94"/>
    <w:rsid w:val="00F65F13"/>
    <w:rsid w:val="00F6738C"/>
    <w:rsid w:val="00F67421"/>
    <w:rsid w:val="00F701AE"/>
    <w:rsid w:val="00F733DD"/>
    <w:rsid w:val="00F8057E"/>
    <w:rsid w:val="00F807AA"/>
    <w:rsid w:val="00F85F4D"/>
    <w:rsid w:val="00F86011"/>
    <w:rsid w:val="00F9125A"/>
    <w:rsid w:val="00F9212E"/>
    <w:rsid w:val="00F9465F"/>
    <w:rsid w:val="00F97A23"/>
    <w:rsid w:val="00FA026D"/>
    <w:rsid w:val="00FA22E2"/>
    <w:rsid w:val="00FA24A2"/>
    <w:rsid w:val="00FA26DA"/>
    <w:rsid w:val="00FA4CE1"/>
    <w:rsid w:val="00FB0BC1"/>
    <w:rsid w:val="00FB4CC6"/>
    <w:rsid w:val="00FB4D4B"/>
    <w:rsid w:val="00FB519B"/>
    <w:rsid w:val="00FB5931"/>
    <w:rsid w:val="00FB5EFC"/>
    <w:rsid w:val="00FD1E1D"/>
    <w:rsid w:val="00FD21C1"/>
    <w:rsid w:val="00FD3AFE"/>
    <w:rsid w:val="00FD492A"/>
    <w:rsid w:val="00FD6956"/>
    <w:rsid w:val="00FD6E4E"/>
    <w:rsid w:val="00FE4605"/>
    <w:rsid w:val="00FE482C"/>
    <w:rsid w:val="00FE5B0D"/>
    <w:rsid w:val="00FF037F"/>
    <w:rsid w:val="00FF276A"/>
    <w:rsid w:val="00FF29E9"/>
    <w:rsid w:val="01D2B8CE"/>
    <w:rsid w:val="03107C74"/>
    <w:rsid w:val="03497134"/>
    <w:rsid w:val="05FD79FB"/>
    <w:rsid w:val="0618F4A5"/>
    <w:rsid w:val="0641DC83"/>
    <w:rsid w:val="067D8BBD"/>
    <w:rsid w:val="0A4B9ADC"/>
    <w:rsid w:val="0B315CB7"/>
    <w:rsid w:val="0C8FC61D"/>
    <w:rsid w:val="0CC060A0"/>
    <w:rsid w:val="0F258E0B"/>
    <w:rsid w:val="0FAD2B1B"/>
    <w:rsid w:val="10156DD2"/>
    <w:rsid w:val="1116F85E"/>
    <w:rsid w:val="11C23106"/>
    <w:rsid w:val="122F834C"/>
    <w:rsid w:val="12C72ED0"/>
    <w:rsid w:val="157AD92B"/>
    <w:rsid w:val="18065B3B"/>
    <w:rsid w:val="1A412906"/>
    <w:rsid w:val="1A945BD7"/>
    <w:rsid w:val="1BE0DF67"/>
    <w:rsid w:val="1BF1CF29"/>
    <w:rsid w:val="1C9E3D4D"/>
    <w:rsid w:val="1EF028A6"/>
    <w:rsid w:val="218254E0"/>
    <w:rsid w:val="21A98D36"/>
    <w:rsid w:val="22242AFF"/>
    <w:rsid w:val="22738D1F"/>
    <w:rsid w:val="227710E1"/>
    <w:rsid w:val="23531330"/>
    <w:rsid w:val="238737F3"/>
    <w:rsid w:val="2445D311"/>
    <w:rsid w:val="25A61F85"/>
    <w:rsid w:val="266E89B9"/>
    <w:rsid w:val="27090C52"/>
    <w:rsid w:val="2A041DDE"/>
    <w:rsid w:val="2C06C714"/>
    <w:rsid w:val="2C6D7BFF"/>
    <w:rsid w:val="2C6EC495"/>
    <w:rsid w:val="2D171600"/>
    <w:rsid w:val="2DC7A55B"/>
    <w:rsid w:val="2E7ADE88"/>
    <w:rsid w:val="2F0C92EC"/>
    <w:rsid w:val="2FEB37EC"/>
    <w:rsid w:val="306C09F3"/>
    <w:rsid w:val="31157A31"/>
    <w:rsid w:val="32541936"/>
    <w:rsid w:val="349A3340"/>
    <w:rsid w:val="35D3B35F"/>
    <w:rsid w:val="38808EDA"/>
    <w:rsid w:val="398C5B6B"/>
    <w:rsid w:val="39C5D5EE"/>
    <w:rsid w:val="3BECE7D3"/>
    <w:rsid w:val="3D07B300"/>
    <w:rsid w:val="3EE6E6B9"/>
    <w:rsid w:val="41813A4B"/>
    <w:rsid w:val="42CAAB86"/>
    <w:rsid w:val="43DC8B3E"/>
    <w:rsid w:val="44F96AB2"/>
    <w:rsid w:val="460D24C9"/>
    <w:rsid w:val="49CFE259"/>
    <w:rsid w:val="49FE876C"/>
    <w:rsid w:val="4AC48294"/>
    <w:rsid w:val="4BAE18F8"/>
    <w:rsid w:val="4CBFE33A"/>
    <w:rsid w:val="4E681668"/>
    <w:rsid w:val="4E97A750"/>
    <w:rsid w:val="4EA79AF6"/>
    <w:rsid w:val="4F01C330"/>
    <w:rsid w:val="4F2F3304"/>
    <w:rsid w:val="4FDA02F9"/>
    <w:rsid w:val="5062C1E7"/>
    <w:rsid w:val="5108D515"/>
    <w:rsid w:val="51C25FA9"/>
    <w:rsid w:val="5235758E"/>
    <w:rsid w:val="53282EB7"/>
    <w:rsid w:val="53303A19"/>
    <w:rsid w:val="552AD1DF"/>
    <w:rsid w:val="560B9C29"/>
    <w:rsid w:val="564D7262"/>
    <w:rsid w:val="5799E7C3"/>
    <w:rsid w:val="584D565C"/>
    <w:rsid w:val="58C66E0A"/>
    <w:rsid w:val="5938279A"/>
    <w:rsid w:val="5967CE0E"/>
    <w:rsid w:val="5997C0E8"/>
    <w:rsid w:val="59FB5DB3"/>
    <w:rsid w:val="5AC458CB"/>
    <w:rsid w:val="5B464DAC"/>
    <w:rsid w:val="5B6E5F72"/>
    <w:rsid w:val="5BA03A14"/>
    <w:rsid w:val="5CC7C89A"/>
    <w:rsid w:val="5CD5779C"/>
    <w:rsid w:val="5D1E7ACB"/>
    <w:rsid w:val="5D5E798C"/>
    <w:rsid w:val="5D6EEB15"/>
    <w:rsid w:val="5D754409"/>
    <w:rsid w:val="5F7D3633"/>
    <w:rsid w:val="5FC7AF1D"/>
    <w:rsid w:val="60CDB6B1"/>
    <w:rsid w:val="629AF2C6"/>
    <w:rsid w:val="63B0948E"/>
    <w:rsid w:val="641C5C5C"/>
    <w:rsid w:val="64233782"/>
    <w:rsid w:val="6452A21C"/>
    <w:rsid w:val="645A06CE"/>
    <w:rsid w:val="65F7FBAA"/>
    <w:rsid w:val="66746CE2"/>
    <w:rsid w:val="66A6950D"/>
    <w:rsid w:val="68D43FA7"/>
    <w:rsid w:val="69434D37"/>
    <w:rsid w:val="69E30190"/>
    <w:rsid w:val="6D08275F"/>
    <w:rsid w:val="6D839CED"/>
    <w:rsid w:val="6FF0626D"/>
    <w:rsid w:val="72681CF0"/>
    <w:rsid w:val="727766CA"/>
    <w:rsid w:val="729A706D"/>
    <w:rsid w:val="73781187"/>
    <w:rsid w:val="7543399A"/>
    <w:rsid w:val="767D9EBD"/>
    <w:rsid w:val="78A2A7F9"/>
    <w:rsid w:val="79C6A2CA"/>
    <w:rsid w:val="7A5FF4E6"/>
    <w:rsid w:val="7AFEC534"/>
    <w:rsid w:val="7AFEE6D9"/>
    <w:rsid w:val="7C512CC4"/>
    <w:rsid w:val="7D46212F"/>
    <w:rsid w:val="7EC60424"/>
    <w:rsid w:val="7EFDC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119164C"/>
  <w15:chartTrackingRefBased/>
  <w15:docId w15:val="{2ABE2916-14CE-4162-B985-662517AD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NewCenturySchlbk" w:hAnsi="NewCenturySchlbk"/>
      <w:sz w:val="24"/>
    </w:rPr>
  </w:style>
  <w:style w:type="paragraph" w:styleId="Heading1">
    <w:name w:val="heading 1"/>
    <w:basedOn w:val="Normal"/>
    <w:next w:val="Normal"/>
    <w:link w:val="Heading1Char"/>
    <w:qFormat/>
    <w:pPr>
      <w:spacing w:before="240"/>
      <w:outlineLvl w:val="0"/>
    </w:pPr>
    <w:rPr>
      <w:b/>
      <w:u w:val="single"/>
    </w:rPr>
  </w:style>
  <w:style w:type="paragraph" w:styleId="Heading2">
    <w:name w:val="heading 2"/>
    <w:basedOn w:val="Normal"/>
    <w:next w:val="Normal"/>
    <w:link w:val="Heading2Char"/>
    <w:qFormat/>
    <w:pPr>
      <w:spacing w:before="120"/>
      <w:outlineLvl w:val="1"/>
    </w:pPr>
    <w:rPr>
      <w:b/>
    </w:rPr>
  </w:style>
  <w:style w:type="paragraph" w:styleId="Heading3">
    <w:name w:val="heading 3"/>
    <w:basedOn w:val="Normal"/>
    <w:next w:val="Normal"/>
    <w:link w:val="Heading3Char"/>
    <w:unhideWhenUsed/>
    <w:qFormat/>
    <w:rsid w:val="00D544B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D544B6"/>
    <w:pPr>
      <w:keepNext/>
      <w:keepLines/>
      <w:widowControl w:val="0"/>
      <w:overflowPunct/>
      <w:autoSpaceDE/>
      <w:autoSpaceDN/>
      <w:adjustRightInd/>
      <w:spacing w:before="40" w:line="276" w:lineRule="auto"/>
      <w:textAlignment w:val="auto"/>
      <w:outlineLvl w:val="3"/>
    </w:pPr>
    <w:rPr>
      <w:rFonts w:ascii="Cambria" w:hAnsi="Cambria"/>
      <w:i/>
      <w:iCs/>
      <w:color w:val="365F91"/>
      <w:sz w:val="22"/>
      <w:szCs w:val="22"/>
    </w:rPr>
  </w:style>
  <w:style w:type="paragraph" w:styleId="Heading5">
    <w:name w:val="heading 5"/>
    <w:basedOn w:val="Heading2"/>
    <w:next w:val="Normal"/>
    <w:link w:val="Heading5Char"/>
    <w:qFormat/>
    <w:rsid w:val="00D544B6"/>
    <w:pPr>
      <w:keepNext/>
      <w:keepLines/>
      <w:overflowPunct/>
      <w:autoSpaceDE/>
      <w:autoSpaceDN/>
      <w:adjustRightInd/>
      <w:spacing w:before="240" w:after="120" w:line="480" w:lineRule="exact"/>
      <w:ind w:left="2880" w:hanging="720"/>
      <w:textAlignment w:val="auto"/>
      <w:outlineLvl w:val="4"/>
    </w:pPr>
    <w:rPr>
      <w:rFonts w:ascii="Times New Roman" w:hAnsi="Times New Roman"/>
      <w:szCs w:val="24"/>
      <w:u w:val="single"/>
    </w:rPr>
  </w:style>
  <w:style w:type="paragraph" w:styleId="Heading6">
    <w:name w:val="heading 6"/>
    <w:basedOn w:val="Heading2"/>
    <w:next w:val="Normal"/>
    <w:link w:val="Heading6Char"/>
    <w:qFormat/>
    <w:rsid w:val="00D544B6"/>
    <w:pPr>
      <w:keepNext/>
      <w:keepLines/>
      <w:overflowPunct/>
      <w:autoSpaceDE/>
      <w:autoSpaceDN/>
      <w:adjustRightInd/>
      <w:spacing w:before="240" w:after="120" w:line="480" w:lineRule="exact"/>
      <w:ind w:left="3600" w:hanging="720"/>
      <w:textAlignment w:val="auto"/>
      <w:outlineLvl w:val="5"/>
    </w:pPr>
    <w:rPr>
      <w:rFonts w:ascii="Times New Roman" w:hAnsi="Times New Roman"/>
      <w:szCs w:val="24"/>
      <w:u w:val="single"/>
    </w:rPr>
  </w:style>
  <w:style w:type="paragraph" w:styleId="Heading7">
    <w:name w:val="heading 7"/>
    <w:basedOn w:val="Heading2"/>
    <w:next w:val="Normal"/>
    <w:link w:val="Heading7Char"/>
    <w:qFormat/>
    <w:rsid w:val="00D544B6"/>
    <w:pPr>
      <w:keepNext/>
      <w:keepLines/>
      <w:overflowPunct/>
      <w:autoSpaceDE/>
      <w:autoSpaceDN/>
      <w:adjustRightInd/>
      <w:spacing w:before="240" w:after="120" w:line="480" w:lineRule="exact"/>
      <w:ind w:left="4320" w:hanging="720"/>
      <w:textAlignment w:val="auto"/>
      <w:outlineLvl w:val="6"/>
    </w:pPr>
    <w:rPr>
      <w:rFonts w:ascii="Times New Roman" w:hAnsi="Times New Roman"/>
      <w:szCs w:val="24"/>
      <w:u w:val="single"/>
    </w:rPr>
  </w:style>
  <w:style w:type="paragraph" w:styleId="Heading8">
    <w:name w:val="heading 8"/>
    <w:basedOn w:val="Heading2"/>
    <w:next w:val="Normal"/>
    <w:link w:val="Heading8Char"/>
    <w:qFormat/>
    <w:rsid w:val="00D544B6"/>
    <w:pPr>
      <w:keepNext/>
      <w:keepLines/>
      <w:overflowPunct/>
      <w:autoSpaceDE/>
      <w:autoSpaceDN/>
      <w:adjustRightInd/>
      <w:spacing w:before="240" w:after="120" w:line="480" w:lineRule="exact"/>
      <w:ind w:left="5040" w:hanging="720"/>
      <w:textAlignment w:val="auto"/>
      <w:outlineLvl w:val="7"/>
    </w:pPr>
    <w:rPr>
      <w:rFonts w:ascii="Times New Roman" w:hAnsi="Times New Roman"/>
      <w:szCs w:val="24"/>
      <w:u w:val="single"/>
    </w:rPr>
  </w:style>
  <w:style w:type="paragraph" w:styleId="Heading9">
    <w:name w:val="heading 9"/>
    <w:basedOn w:val="Heading2"/>
    <w:next w:val="Normal"/>
    <w:link w:val="Heading9Char"/>
    <w:qFormat/>
    <w:rsid w:val="00D544B6"/>
    <w:pPr>
      <w:keepNext/>
      <w:keepLines/>
      <w:overflowPunct/>
      <w:autoSpaceDE/>
      <w:autoSpaceDN/>
      <w:adjustRightInd/>
      <w:spacing w:before="240" w:after="120" w:line="480" w:lineRule="exact"/>
      <w:ind w:left="5760" w:hanging="720"/>
      <w:textAlignment w:val="auto"/>
      <w:outlineLvl w:val="8"/>
    </w:pPr>
    <w:rPr>
      <w:rFonts w:ascii="Times New Roman" w:hAnsi="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aliases w:val="o,fr,Style 3,o1,o2,o3,o4,o5,o6,o11,o21,o7,Style 13,Style 12,Style 15,Style 17,Style 9,fr1,fr2,fr3,Style 18,(NECG) Footnote Reference,Style 20,Style 7,Style 8,Style 19,Style 5,Styl,Style 28,Style 11,Style 16"/>
    <w:semiHidden/>
    <w:rPr>
      <w:position w:val="6"/>
      <w:sz w:val="16"/>
      <w:u w:val="single"/>
    </w:rPr>
  </w:style>
  <w:style w:type="paragraph" w:styleId="FootnoteText">
    <w:name w:val="footnote text"/>
    <w:aliases w:val="Footnote Text Char1 Char,Footnote Text Char Char Char,Footnote Text Char1 Char Char Char,Footnote Text Char Char Char Char Char,Footnote Text Char1 Char Char Char Char1 Char,Footnote Text Char1,Footnote Text Char Char,f,fn,fn Char Char,ft"/>
    <w:basedOn w:val="Normal"/>
    <w:link w:val="FootnoteTextChar"/>
    <w:pPr>
      <w:tabs>
        <w:tab w:val="left" w:pos="432"/>
      </w:tabs>
      <w:ind w:left="432" w:hanging="432"/>
    </w:pPr>
    <w:rPr>
      <w:sz w:val="20"/>
    </w:rPr>
  </w:style>
  <w:style w:type="paragraph" w:styleId="Date">
    <w:name w:val="Date"/>
    <w:basedOn w:val="Normal"/>
    <w:next w:val="Normal"/>
    <w:pPr>
      <w:spacing w:before="480" w:after="480"/>
      <w:jc w:val="center"/>
    </w:pPr>
  </w:style>
  <w:style w:type="paragraph" w:customStyle="1" w:styleId="Advice">
    <w:name w:val="Advice"/>
    <w:basedOn w:val="Normal"/>
    <w:rPr>
      <w:rFonts w:ascii="Century Schoolbook" w:hAnsi="Century Schoolbook"/>
      <w:b/>
    </w:rPr>
  </w:style>
  <w:style w:type="paragraph" w:customStyle="1" w:styleId="U338">
    <w:name w:val="U338"/>
    <w:basedOn w:val="Advice"/>
  </w:style>
  <w:style w:type="paragraph" w:customStyle="1" w:styleId="zHeaderLogo">
    <w:name w:val="zHeaderLogo"/>
    <w:basedOn w:val="Normal"/>
    <w:next w:val="Normal"/>
    <w:pPr>
      <w:spacing w:before="120"/>
    </w:pPr>
    <w:rPr>
      <w:rFonts w:ascii="Times New Roman" w:hAnsi="Times New Roman"/>
      <w:sz w:val="16"/>
    </w:rPr>
  </w:style>
  <w:style w:type="paragraph" w:customStyle="1" w:styleId="Quote1">
    <w:name w:val="Quote 1"/>
    <w:basedOn w:val="Normal"/>
    <w:pPr>
      <w:spacing w:after="240"/>
      <w:ind w:left="1440" w:right="1440"/>
    </w:pPr>
  </w:style>
  <w:style w:type="paragraph" w:styleId="BodyText">
    <w:name w:val="Body Text"/>
    <w:basedOn w:val="Normal"/>
    <w:link w:val="BodyTextChar"/>
    <w:pPr>
      <w:spacing w:after="120"/>
    </w:pPr>
  </w:style>
  <w:style w:type="character" w:styleId="Hyperlink">
    <w:name w:val="Hyperlink"/>
    <w:uiPriority w:val="99"/>
    <w:rPr>
      <w:color w:val="0000FF"/>
      <w:u w:val="single"/>
    </w:rPr>
  </w:style>
  <w:style w:type="character" w:styleId="FollowedHyperlink">
    <w:name w:val="FollowedHyperlink"/>
    <w:rsid w:val="004574F5"/>
    <w:rPr>
      <w:color w:val="606420"/>
      <w:u w:val="single"/>
    </w:rPr>
  </w:style>
  <w:style w:type="paragraph" w:styleId="BalloonText">
    <w:name w:val="Balloon Text"/>
    <w:basedOn w:val="Normal"/>
    <w:link w:val="BalloonTextChar"/>
    <w:uiPriority w:val="99"/>
    <w:semiHidden/>
    <w:unhideWhenUsed/>
    <w:rsid w:val="001C1E7F"/>
    <w:rPr>
      <w:rFonts w:ascii="Tahoma" w:hAnsi="Tahoma" w:cs="Tahoma"/>
      <w:sz w:val="16"/>
      <w:szCs w:val="16"/>
    </w:rPr>
  </w:style>
  <w:style w:type="character" w:customStyle="1" w:styleId="BalloonTextChar">
    <w:name w:val="Balloon Text Char"/>
    <w:link w:val="BalloonText"/>
    <w:uiPriority w:val="99"/>
    <w:semiHidden/>
    <w:rsid w:val="001C1E7F"/>
    <w:rPr>
      <w:rFonts w:ascii="Tahoma" w:hAnsi="Tahoma" w:cs="Tahoma"/>
      <w:sz w:val="16"/>
      <w:szCs w:val="16"/>
    </w:rPr>
  </w:style>
  <w:style w:type="character" w:customStyle="1" w:styleId="Heading3Char">
    <w:name w:val="Heading 3 Char"/>
    <w:link w:val="Heading3"/>
    <w:uiPriority w:val="9"/>
    <w:rsid w:val="00D544B6"/>
    <w:rPr>
      <w:rFonts w:ascii="Calibri Light" w:eastAsia="Times New Roman" w:hAnsi="Calibri Light" w:cs="Times New Roman"/>
      <w:b/>
      <w:bCs/>
      <w:sz w:val="26"/>
      <w:szCs w:val="26"/>
    </w:rPr>
  </w:style>
  <w:style w:type="character" w:customStyle="1" w:styleId="Heading4Char">
    <w:name w:val="Heading 4 Char"/>
    <w:link w:val="Heading4"/>
    <w:rsid w:val="00D544B6"/>
    <w:rPr>
      <w:rFonts w:ascii="Cambria" w:hAnsi="Cambria"/>
      <w:i/>
      <w:iCs/>
      <w:color w:val="365F91"/>
      <w:sz w:val="22"/>
      <w:szCs w:val="22"/>
    </w:rPr>
  </w:style>
  <w:style w:type="character" w:customStyle="1" w:styleId="Heading5Char">
    <w:name w:val="Heading 5 Char"/>
    <w:link w:val="Heading5"/>
    <w:rsid w:val="00D544B6"/>
    <w:rPr>
      <w:b/>
      <w:sz w:val="24"/>
      <w:szCs w:val="24"/>
      <w:u w:val="single"/>
    </w:rPr>
  </w:style>
  <w:style w:type="character" w:customStyle="1" w:styleId="Heading6Char">
    <w:name w:val="Heading 6 Char"/>
    <w:link w:val="Heading6"/>
    <w:rsid w:val="00D544B6"/>
    <w:rPr>
      <w:b/>
      <w:sz w:val="24"/>
      <w:szCs w:val="24"/>
      <w:u w:val="single"/>
    </w:rPr>
  </w:style>
  <w:style w:type="character" w:customStyle="1" w:styleId="Heading7Char">
    <w:name w:val="Heading 7 Char"/>
    <w:link w:val="Heading7"/>
    <w:rsid w:val="00D544B6"/>
    <w:rPr>
      <w:b/>
      <w:sz w:val="24"/>
      <w:szCs w:val="24"/>
      <w:u w:val="single"/>
    </w:rPr>
  </w:style>
  <w:style w:type="character" w:customStyle="1" w:styleId="Heading8Char">
    <w:name w:val="Heading 8 Char"/>
    <w:link w:val="Heading8"/>
    <w:rsid w:val="00D544B6"/>
    <w:rPr>
      <w:b/>
      <w:sz w:val="24"/>
      <w:szCs w:val="24"/>
      <w:u w:val="single"/>
    </w:rPr>
  </w:style>
  <w:style w:type="character" w:customStyle="1" w:styleId="Heading9Char">
    <w:name w:val="Heading 9 Char"/>
    <w:link w:val="Heading9"/>
    <w:rsid w:val="00D544B6"/>
    <w:rPr>
      <w:b/>
      <w:sz w:val="24"/>
      <w:szCs w:val="24"/>
      <w:u w:val="single"/>
    </w:rPr>
  </w:style>
  <w:style w:type="character" w:customStyle="1" w:styleId="HeaderChar">
    <w:name w:val="Header Char"/>
    <w:link w:val="Header"/>
    <w:uiPriority w:val="99"/>
    <w:rsid w:val="00D544B6"/>
    <w:rPr>
      <w:rFonts w:ascii="NewCenturySchlbk" w:hAnsi="NewCenturySchlbk"/>
      <w:sz w:val="24"/>
    </w:rPr>
  </w:style>
  <w:style w:type="character" w:styleId="CommentReference">
    <w:name w:val="annotation reference"/>
    <w:uiPriority w:val="99"/>
    <w:semiHidden/>
    <w:unhideWhenUsed/>
    <w:rsid w:val="00D544B6"/>
    <w:rPr>
      <w:sz w:val="16"/>
      <w:szCs w:val="16"/>
    </w:rPr>
  </w:style>
  <w:style w:type="paragraph" w:styleId="CommentText">
    <w:name w:val="annotation text"/>
    <w:basedOn w:val="Normal"/>
    <w:link w:val="CommentTextChar"/>
    <w:uiPriority w:val="99"/>
    <w:unhideWhenUsed/>
    <w:rsid w:val="00D544B6"/>
    <w:pPr>
      <w:overflowPunct/>
      <w:autoSpaceDE/>
      <w:autoSpaceDN/>
      <w:adjustRightInd/>
      <w:textAlignment w:val="auto"/>
    </w:pPr>
    <w:rPr>
      <w:rFonts w:ascii="Calibri" w:hAnsi="Calibri"/>
      <w:sz w:val="20"/>
    </w:rPr>
  </w:style>
  <w:style w:type="character" w:customStyle="1" w:styleId="CommentTextChar">
    <w:name w:val="Comment Text Char"/>
    <w:link w:val="CommentText"/>
    <w:uiPriority w:val="99"/>
    <w:rsid w:val="00D544B6"/>
    <w:rPr>
      <w:rFonts w:ascii="Calibri" w:hAnsi="Calibri"/>
    </w:rPr>
  </w:style>
  <w:style w:type="character" w:customStyle="1" w:styleId="FooterChar">
    <w:name w:val="Footer Char"/>
    <w:link w:val="Footer"/>
    <w:uiPriority w:val="99"/>
    <w:rsid w:val="00D544B6"/>
    <w:rPr>
      <w:rFonts w:ascii="NewCenturySchlbk" w:hAnsi="NewCenturySchlbk"/>
      <w:sz w:val="24"/>
    </w:rPr>
  </w:style>
  <w:style w:type="paragraph" w:customStyle="1" w:styleId="Default">
    <w:name w:val="Default"/>
    <w:rsid w:val="00D544B6"/>
    <w:pPr>
      <w:autoSpaceDE w:val="0"/>
      <w:autoSpaceDN w:val="0"/>
      <w:adjustRightInd w:val="0"/>
    </w:pPr>
    <w:rPr>
      <w:rFonts w:ascii="Book Antiqua" w:eastAsia="Calibri" w:hAnsi="Book Antiqua" w:cs="Book Antiqua"/>
      <w:color w:val="000000"/>
      <w:sz w:val="24"/>
      <w:szCs w:val="24"/>
    </w:rPr>
  </w:style>
  <w:style w:type="character" w:customStyle="1" w:styleId="FootnoteTextChar">
    <w:name w:val="Footnote Text Char"/>
    <w:aliases w:val="Footnote Text Char1 Char Char1,Footnote Text Char Char Char Char1,Footnote Text Char1 Char Char Char Char1,Footnote Text Char Char Char Char Char Char1,Footnote Text Char1 Char Char Char Char1 Char Char1,Footnote Text Char1 Char2"/>
    <w:link w:val="FootnoteText"/>
    <w:uiPriority w:val="99"/>
    <w:rsid w:val="00D544B6"/>
    <w:rPr>
      <w:rFonts w:ascii="NewCenturySchlbk" w:hAnsi="NewCenturySchlbk"/>
    </w:rPr>
  </w:style>
  <w:style w:type="paragraph" w:styleId="NoSpacing">
    <w:name w:val="No Spacing"/>
    <w:uiPriority w:val="1"/>
    <w:qFormat/>
    <w:rsid w:val="00D544B6"/>
    <w:rPr>
      <w:rFonts w:ascii="Calibri" w:eastAsia="Calibri" w:hAnsi="Calibri"/>
      <w:sz w:val="22"/>
      <w:szCs w:val="22"/>
    </w:rPr>
  </w:style>
  <w:style w:type="character" w:customStyle="1" w:styleId="Heading1Char">
    <w:name w:val="Heading 1 Char"/>
    <w:link w:val="Heading1"/>
    <w:rsid w:val="00D544B6"/>
    <w:rPr>
      <w:rFonts w:ascii="NewCenturySchlbk" w:hAnsi="NewCenturySchlbk"/>
      <w:b/>
      <w:sz w:val="24"/>
      <w:u w:val="single"/>
    </w:rPr>
  </w:style>
  <w:style w:type="character" w:customStyle="1" w:styleId="Heading2Char">
    <w:name w:val="Heading 2 Char"/>
    <w:link w:val="Heading2"/>
    <w:rsid w:val="00D544B6"/>
    <w:rPr>
      <w:rFonts w:ascii="NewCenturySchlbk" w:hAnsi="NewCenturySchlbk"/>
      <w:b/>
      <w:sz w:val="24"/>
    </w:rPr>
  </w:style>
  <w:style w:type="character" w:customStyle="1" w:styleId="BodyTextChar">
    <w:name w:val="Body Text Char"/>
    <w:link w:val="BodyText"/>
    <w:rsid w:val="00D544B6"/>
    <w:rPr>
      <w:rFonts w:ascii="NewCenturySchlbk" w:hAnsi="NewCenturySchlbk"/>
      <w:sz w:val="24"/>
    </w:rPr>
  </w:style>
  <w:style w:type="paragraph" w:styleId="CommentSubject">
    <w:name w:val="annotation subject"/>
    <w:basedOn w:val="CommentText"/>
    <w:next w:val="CommentText"/>
    <w:link w:val="CommentSubjectChar"/>
    <w:uiPriority w:val="99"/>
    <w:semiHidden/>
    <w:unhideWhenUsed/>
    <w:rsid w:val="00D544B6"/>
    <w:pPr>
      <w:widowControl w:val="0"/>
      <w:spacing w:after="200"/>
    </w:pPr>
    <w:rPr>
      <w:rFonts w:eastAsia="Calibri"/>
      <w:b/>
      <w:bCs/>
    </w:rPr>
  </w:style>
  <w:style w:type="character" w:customStyle="1" w:styleId="CommentSubjectChar">
    <w:name w:val="Comment Subject Char"/>
    <w:link w:val="CommentSubject"/>
    <w:uiPriority w:val="99"/>
    <w:semiHidden/>
    <w:rsid w:val="00D544B6"/>
    <w:rPr>
      <w:rFonts w:ascii="Calibri" w:eastAsia="Calibri" w:hAnsi="Calibri"/>
      <w:b/>
      <w:bCs/>
    </w:rPr>
  </w:style>
  <w:style w:type="paragraph" w:styleId="ListParagraph">
    <w:name w:val="List Paragraph"/>
    <w:basedOn w:val="Normal"/>
    <w:uiPriority w:val="34"/>
    <w:qFormat/>
    <w:rsid w:val="00D544B6"/>
    <w:pPr>
      <w:widowControl w:val="0"/>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TableGrid">
    <w:name w:val="Table Grid"/>
    <w:basedOn w:val="TableNormal"/>
    <w:uiPriority w:val="39"/>
    <w:rsid w:val="00D544B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Text">
    <w:name w:val="Heading 2 Text"/>
    <w:basedOn w:val="Normal"/>
    <w:link w:val="Heading2TextChar"/>
    <w:rsid w:val="00D544B6"/>
    <w:pPr>
      <w:overflowPunct/>
      <w:autoSpaceDE/>
      <w:autoSpaceDN/>
      <w:adjustRightInd/>
      <w:spacing w:after="240" w:line="480" w:lineRule="atLeast"/>
      <w:ind w:firstLine="720"/>
      <w:textAlignment w:val="auto"/>
    </w:pPr>
    <w:rPr>
      <w:rFonts w:ascii="Times New Roman" w:hAnsi="Times New Roman"/>
      <w:szCs w:val="24"/>
    </w:rPr>
  </w:style>
  <w:style w:type="character" w:customStyle="1" w:styleId="Heading2TextChar">
    <w:name w:val="Heading 2 Text Char"/>
    <w:link w:val="Heading2Text"/>
    <w:rsid w:val="00D544B6"/>
    <w:rPr>
      <w:sz w:val="24"/>
      <w:szCs w:val="24"/>
    </w:rPr>
  </w:style>
  <w:style w:type="character" w:customStyle="1" w:styleId="FootnoteTextChar2">
    <w:name w:val="Footnote Text Char2"/>
    <w:aliases w:val="Footnote Text Char1 Char Char,Footnote Text Char Char Char Char,Footnote Text Char1 Char Char Char Char,Footnote Text Char Char Char Char Char Char,Footnote Text Char1 Char Char Char Char1 Char Char,Footnote Text Char1 Char1,f Char"/>
    <w:uiPriority w:val="99"/>
    <w:rsid w:val="00D544B6"/>
    <w:rPr>
      <w:rFonts w:ascii="Times New Roman" w:eastAsia="Times New Roman" w:hAnsi="Times New Roman" w:cs="Times New Roman"/>
      <w:szCs w:val="20"/>
    </w:rPr>
  </w:style>
  <w:style w:type="character" w:customStyle="1" w:styleId="zzmpTrailerItem">
    <w:name w:val="zzmpTrailerItem"/>
    <w:rsid w:val="00D544B6"/>
    <w:rPr>
      <w:rFonts w:ascii="Calibri" w:hAnsi="Calibri" w:cs="Calibri"/>
      <w:dstrike w:val="0"/>
      <w:noProof/>
      <w:color w:val="auto"/>
      <w:spacing w:val="0"/>
      <w:position w:val="0"/>
      <w:sz w:val="16"/>
      <w:szCs w:val="16"/>
      <w:u w:val="none"/>
      <w:effect w:val="none"/>
      <w:vertAlign w:val="baseline"/>
    </w:rPr>
  </w:style>
  <w:style w:type="paragraph" w:styleId="Revision">
    <w:name w:val="Revision"/>
    <w:hidden/>
    <w:uiPriority w:val="99"/>
    <w:semiHidden/>
    <w:rsid w:val="00D544B6"/>
    <w:rPr>
      <w:rFonts w:ascii="Calibri" w:eastAsia="Calibri" w:hAnsi="Calibri"/>
      <w:sz w:val="22"/>
      <w:szCs w:val="22"/>
    </w:rPr>
  </w:style>
  <w:style w:type="table" w:customStyle="1" w:styleId="TableGrid1">
    <w:name w:val="Table Grid1"/>
    <w:basedOn w:val="TableNormal"/>
    <w:next w:val="TableGrid"/>
    <w:uiPriority w:val="39"/>
    <w:rsid w:val="00D544B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12">
    <w:name w:val="CM112"/>
    <w:basedOn w:val="Default"/>
    <w:next w:val="Default"/>
    <w:uiPriority w:val="99"/>
    <w:rsid w:val="00260F48"/>
    <w:pPr>
      <w:widowControl w:val="0"/>
    </w:pPr>
    <w:rPr>
      <w:rFonts w:ascii="Arial" w:eastAsia="Times New Roman" w:hAnsi="Arial" w:cs="Arial"/>
      <w:color w:val="auto"/>
    </w:rPr>
  </w:style>
  <w:style w:type="paragraph" w:styleId="NormalWeb">
    <w:name w:val="Normal (Web)"/>
    <w:basedOn w:val="Normal"/>
    <w:uiPriority w:val="99"/>
    <w:semiHidden/>
    <w:unhideWhenUsed/>
    <w:rsid w:val="00260F48"/>
    <w:pPr>
      <w:overflowPunct/>
      <w:autoSpaceDE/>
      <w:autoSpaceDN/>
      <w:adjustRightInd/>
      <w:spacing w:before="100" w:beforeAutospacing="1" w:after="100" w:afterAutospacing="1"/>
      <w:textAlignment w:val="auto"/>
    </w:pPr>
    <w:rPr>
      <w:rFonts w:ascii="Times New Roman" w:eastAsia="Calibri" w:hAnsi="Times New Roman"/>
      <w:szCs w:val="24"/>
    </w:rPr>
  </w:style>
  <w:style w:type="table" w:styleId="PlainTable3">
    <w:name w:val="Plain Table 3"/>
    <w:basedOn w:val="TableNormal"/>
    <w:uiPriority w:val="43"/>
    <w:rsid w:val="00E4167C"/>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4228">
      <w:bodyDiv w:val="1"/>
      <w:marLeft w:val="0"/>
      <w:marRight w:val="0"/>
      <w:marTop w:val="0"/>
      <w:marBottom w:val="0"/>
      <w:divBdr>
        <w:top w:val="none" w:sz="0" w:space="0" w:color="auto"/>
        <w:left w:val="none" w:sz="0" w:space="0" w:color="auto"/>
        <w:bottom w:val="none" w:sz="0" w:space="0" w:color="auto"/>
        <w:right w:val="none" w:sz="0" w:space="0" w:color="auto"/>
      </w:divBdr>
      <w:divsChild>
        <w:div w:id="1830242472">
          <w:marLeft w:val="1080"/>
          <w:marRight w:val="0"/>
          <w:marTop w:val="0"/>
          <w:marBottom w:val="0"/>
          <w:divBdr>
            <w:top w:val="none" w:sz="0" w:space="0" w:color="auto"/>
            <w:left w:val="none" w:sz="0" w:space="0" w:color="auto"/>
            <w:bottom w:val="none" w:sz="0" w:space="0" w:color="auto"/>
            <w:right w:val="none" w:sz="0" w:space="0" w:color="auto"/>
          </w:divBdr>
        </w:div>
      </w:divsChild>
    </w:div>
    <w:div w:id="74864484">
      <w:bodyDiv w:val="1"/>
      <w:marLeft w:val="0"/>
      <w:marRight w:val="0"/>
      <w:marTop w:val="0"/>
      <w:marBottom w:val="0"/>
      <w:divBdr>
        <w:top w:val="none" w:sz="0" w:space="0" w:color="auto"/>
        <w:left w:val="none" w:sz="0" w:space="0" w:color="auto"/>
        <w:bottom w:val="none" w:sz="0" w:space="0" w:color="auto"/>
        <w:right w:val="none" w:sz="0" w:space="0" w:color="auto"/>
      </w:divBdr>
      <w:divsChild>
        <w:div w:id="551356261">
          <w:marLeft w:val="274"/>
          <w:marRight w:val="0"/>
          <w:marTop w:val="0"/>
          <w:marBottom w:val="0"/>
          <w:divBdr>
            <w:top w:val="none" w:sz="0" w:space="0" w:color="auto"/>
            <w:left w:val="none" w:sz="0" w:space="0" w:color="auto"/>
            <w:bottom w:val="none" w:sz="0" w:space="0" w:color="auto"/>
            <w:right w:val="none" w:sz="0" w:space="0" w:color="auto"/>
          </w:divBdr>
        </w:div>
        <w:div w:id="1308821345">
          <w:marLeft w:val="274"/>
          <w:marRight w:val="0"/>
          <w:marTop w:val="0"/>
          <w:marBottom w:val="0"/>
          <w:divBdr>
            <w:top w:val="none" w:sz="0" w:space="0" w:color="auto"/>
            <w:left w:val="none" w:sz="0" w:space="0" w:color="auto"/>
            <w:bottom w:val="none" w:sz="0" w:space="0" w:color="auto"/>
            <w:right w:val="none" w:sz="0" w:space="0" w:color="auto"/>
          </w:divBdr>
        </w:div>
        <w:div w:id="1469779649">
          <w:marLeft w:val="274"/>
          <w:marRight w:val="0"/>
          <w:marTop w:val="0"/>
          <w:marBottom w:val="0"/>
          <w:divBdr>
            <w:top w:val="none" w:sz="0" w:space="0" w:color="auto"/>
            <w:left w:val="none" w:sz="0" w:space="0" w:color="auto"/>
            <w:bottom w:val="none" w:sz="0" w:space="0" w:color="auto"/>
            <w:right w:val="none" w:sz="0" w:space="0" w:color="auto"/>
          </w:divBdr>
        </w:div>
        <w:div w:id="1092967961">
          <w:marLeft w:val="274"/>
          <w:marRight w:val="0"/>
          <w:marTop w:val="0"/>
          <w:marBottom w:val="0"/>
          <w:divBdr>
            <w:top w:val="none" w:sz="0" w:space="0" w:color="auto"/>
            <w:left w:val="none" w:sz="0" w:space="0" w:color="auto"/>
            <w:bottom w:val="none" w:sz="0" w:space="0" w:color="auto"/>
            <w:right w:val="none" w:sz="0" w:space="0" w:color="auto"/>
          </w:divBdr>
        </w:div>
      </w:divsChild>
    </w:div>
    <w:div w:id="93981054">
      <w:bodyDiv w:val="1"/>
      <w:marLeft w:val="0"/>
      <w:marRight w:val="0"/>
      <w:marTop w:val="0"/>
      <w:marBottom w:val="0"/>
      <w:divBdr>
        <w:top w:val="none" w:sz="0" w:space="0" w:color="auto"/>
        <w:left w:val="none" w:sz="0" w:space="0" w:color="auto"/>
        <w:bottom w:val="none" w:sz="0" w:space="0" w:color="auto"/>
        <w:right w:val="none" w:sz="0" w:space="0" w:color="auto"/>
      </w:divBdr>
    </w:div>
    <w:div w:id="95059666">
      <w:bodyDiv w:val="1"/>
      <w:marLeft w:val="0"/>
      <w:marRight w:val="0"/>
      <w:marTop w:val="0"/>
      <w:marBottom w:val="0"/>
      <w:divBdr>
        <w:top w:val="none" w:sz="0" w:space="0" w:color="auto"/>
        <w:left w:val="none" w:sz="0" w:space="0" w:color="auto"/>
        <w:bottom w:val="none" w:sz="0" w:space="0" w:color="auto"/>
        <w:right w:val="none" w:sz="0" w:space="0" w:color="auto"/>
      </w:divBdr>
    </w:div>
    <w:div w:id="283462862">
      <w:bodyDiv w:val="1"/>
      <w:marLeft w:val="0"/>
      <w:marRight w:val="0"/>
      <w:marTop w:val="0"/>
      <w:marBottom w:val="0"/>
      <w:divBdr>
        <w:top w:val="none" w:sz="0" w:space="0" w:color="auto"/>
        <w:left w:val="none" w:sz="0" w:space="0" w:color="auto"/>
        <w:bottom w:val="none" w:sz="0" w:space="0" w:color="auto"/>
        <w:right w:val="none" w:sz="0" w:space="0" w:color="auto"/>
      </w:divBdr>
    </w:div>
    <w:div w:id="508526226">
      <w:bodyDiv w:val="1"/>
      <w:marLeft w:val="0"/>
      <w:marRight w:val="0"/>
      <w:marTop w:val="0"/>
      <w:marBottom w:val="0"/>
      <w:divBdr>
        <w:top w:val="none" w:sz="0" w:space="0" w:color="auto"/>
        <w:left w:val="none" w:sz="0" w:space="0" w:color="auto"/>
        <w:bottom w:val="none" w:sz="0" w:space="0" w:color="auto"/>
        <w:right w:val="none" w:sz="0" w:space="0" w:color="auto"/>
      </w:divBdr>
    </w:div>
    <w:div w:id="564947124">
      <w:bodyDiv w:val="1"/>
      <w:marLeft w:val="0"/>
      <w:marRight w:val="0"/>
      <w:marTop w:val="0"/>
      <w:marBottom w:val="0"/>
      <w:divBdr>
        <w:top w:val="none" w:sz="0" w:space="0" w:color="auto"/>
        <w:left w:val="none" w:sz="0" w:space="0" w:color="auto"/>
        <w:bottom w:val="none" w:sz="0" w:space="0" w:color="auto"/>
        <w:right w:val="none" w:sz="0" w:space="0" w:color="auto"/>
      </w:divBdr>
    </w:div>
    <w:div w:id="582639741">
      <w:bodyDiv w:val="1"/>
      <w:marLeft w:val="0"/>
      <w:marRight w:val="0"/>
      <w:marTop w:val="0"/>
      <w:marBottom w:val="0"/>
      <w:divBdr>
        <w:top w:val="none" w:sz="0" w:space="0" w:color="auto"/>
        <w:left w:val="none" w:sz="0" w:space="0" w:color="auto"/>
        <w:bottom w:val="none" w:sz="0" w:space="0" w:color="auto"/>
        <w:right w:val="none" w:sz="0" w:space="0" w:color="auto"/>
      </w:divBdr>
    </w:div>
    <w:div w:id="662467722">
      <w:bodyDiv w:val="1"/>
      <w:marLeft w:val="0"/>
      <w:marRight w:val="0"/>
      <w:marTop w:val="0"/>
      <w:marBottom w:val="0"/>
      <w:divBdr>
        <w:top w:val="none" w:sz="0" w:space="0" w:color="auto"/>
        <w:left w:val="none" w:sz="0" w:space="0" w:color="auto"/>
        <w:bottom w:val="none" w:sz="0" w:space="0" w:color="auto"/>
        <w:right w:val="none" w:sz="0" w:space="0" w:color="auto"/>
      </w:divBdr>
    </w:div>
    <w:div w:id="679090284">
      <w:bodyDiv w:val="1"/>
      <w:marLeft w:val="0"/>
      <w:marRight w:val="0"/>
      <w:marTop w:val="0"/>
      <w:marBottom w:val="0"/>
      <w:divBdr>
        <w:top w:val="none" w:sz="0" w:space="0" w:color="auto"/>
        <w:left w:val="none" w:sz="0" w:space="0" w:color="auto"/>
        <w:bottom w:val="none" w:sz="0" w:space="0" w:color="auto"/>
        <w:right w:val="none" w:sz="0" w:space="0" w:color="auto"/>
      </w:divBdr>
      <w:divsChild>
        <w:div w:id="193540334">
          <w:marLeft w:val="274"/>
          <w:marRight w:val="0"/>
          <w:marTop w:val="0"/>
          <w:marBottom w:val="0"/>
          <w:divBdr>
            <w:top w:val="none" w:sz="0" w:space="0" w:color="auto"/>
            <w:left w:val="none" w:sz="0" w:space="0" w:color="auto"/>
            <w:bottom w:val="none" w:sz="0" w:space="0" w:color="auto"/>
            <w:right w:val="none" w:sz="0" w:space="0" w:color="auto"/>
          </w:divBdr>
        </w:div>
      </w:divsChild>
    </w:div>
    <w:div w:id="715549968">
      <w:bodyDiv w:val="1"/>
      <w:marLeft w:val="0"/>
      <w:marRight w:val="0"/>
      <w:marTop w:val="0"/>
      <w:marBottom w:val="0"/>
      <w:divBdr>
        <w:top w:val="none" w:sz="0" w:space="0" w:color="auto"/>
        <w:left w:val="none" w:sz="0" w:space="0" w:color="auto"/>
        <w:bottom w:val="none" w:sz="0" w:space="0" w:color="auto"/>
        <w:right w:val="none" w:sz="0" w:space="0" w:color="auto"/>
      </w:divBdr>
    </w:div>
    <w:div w:id="745035180">
      <w:bodyDiv w:val="1"/>
      <w:marLeft w:val="0"/>
      <w:marRight w:val="0"/>
      <w:marTop w:val="0"/>
      <w:marBottom w:val="0"/>
      <w:divBdr>
        <w:top w:val="none" w:sz="0" w:space="0" w:color="auto"/>
        <w:left w:val="none" w:sz="0" w:space="0" w:color="auto"/>
        <w:bottom w:val="none" w:sz="0" w:space="0" w:color="auto"/>
        <w:right w:val="none" w:sz="0" w:space="0" w:color="auto"/>
      </w:divBdr>
      <w:divsChild>
        <w:div w:id="1403943505">
          <w:marLeft w:val="274"/>
          <w:marRight w:val="0"/>
          <w:marTop w:val="0"/>
          <w:marBottom w:val="0"/>
          <w:divBdr>
            <w:top w:val="none" w:sz="0" w:space="0" w:color="auto"/>
            <w:left w:val="none" w:sz="0" w:space="0" w:color="auto"/>
            <w:bottom w:val="none" w:sz="0" w:space="0" w:color="auto"/>
            <w:right w:val="none" w:sz="0" w:space="0" w:color="auto"/>
          </w:divBdr>
        </w:div>
      </w:divsChild>
    </w:div>
    <w:div w:id="794444835">
      <w:bodyDiv w:val="1"/>
      <w:marLeft w:val="0"/>
      <w:marRight w:val="0"/>
      <w:marTop w:val="0"/>
      <w:marBottom w:val="0"/>
      <w:divBdr>
        <w:top w:val="none" w:sz="0" w:space="0" w:color="auto"/>
        <w:left w:val="none" w:sz="0" w:space="0" w:color="auto"/>
        <w:bottom w:val="none" w:sz="0" w:space="0" w:color="auto"/>
        <w:right w:val="none" w:sz="0" w:space="0" w:color="auto"/>
      </w:divBdr>
    </w:div>
    <w:div w:id="795611198">
      <w:bodyDiv w:val="1"/>
      <w:marLeft w:val="0"/>
      <w:marRight w:val="0"/>
      <w:marTop w:val="0"/>
      <w:marBottom w:val="0"/>
      <w:divBdr>
        <w:top w:val="none" w:sz="0" w:space="0" w:color="auto"/>
        <w:left w:val="none" w:sz="0" w:space="0" w:color="auto"/>
        <w:bottom w:val="none" w:sz="0" w:space="0" w:color="auto"/>
        <w:right w:val="none" w:sz="0" w:space="0" w:color="auto"/>
      </w:divBdr>
    </w:div>
    <w:div w:id="801079207">
      <w:bodyDiv w:val="1"/>
      <w:marLeft w:val="0"/>
      <w:marRight w:val="0"/>
      <w:marTop w:val="0"/>
      <w:marBottom w:val="0"/>
      <w:divBdr>
        <w:top w:val="none" w:sz="0" w:space="0" w:color="auto"/>
        <w:left w:val="none" w:sz="0" w:space="0" w:color="auto"/>
        <w:bottom w:val="none" w:sz="0" w:space="0" w:color="auto"/>
        <w:right w:val="none" w:sz="0" w:space="0" w:color="auto"/>
      </w:divBdr>
    </w:div>
    <w:div w:id="804855712">
      <w:bodyDiv w:val="1"/>
      <w:marLeft w:val="0"/>
      <w:marRight w:val="0"/>
      <w:marTop w:val="0"/>
      <w:marBottom w:val="0"/>
      <w:divBdr>
        <w:top w:val="none" w:sz="0" w:space="0" w:color="auto"/>
        <w:left w:val="none" w:sz="0" w:space="0" w:color="auto"/>
        <w:bottom w:val="none" w:sz="0" w:space="0" w:color="auto"/>
        <w:right w:val="none" w:sz="0" w:space="0" w:color="auto"/>
      </w:divBdr>
    </w:div>
    <w:div w:id="989601705">
      <w:bodyDiv w:val="1"/>
      <w:marLeft w:val="0"/>
      <w:marRight w:val="0"/>
      <w:marTop w:val="0"/>
      <w:marBottom w:val="0"/>
      <w:divBdr>
        <w:top w:val="none" w:sz="0" w:space="0" w:color="auto"/>
        <w:left w:val="none" w:sz="0" w:space="0" w:color="auto"/>
        <w:bottom w:val="none" w:sz="0" w:space="0" w:color="auto"/>
        <w:right w:val="none" w:sz="0" w:space="0" w:color="auto"/>
      </w:divBdr>
    </w:div>
    <w:div w:id="989669890">
      <w:bodyDiv w:val="1"/>
      <w:marLeft w:val="0"/>
      <w:marRight w:val="0"/>
      <w:marTop w:val="0"/>
      <w:marBottom w:val="0"/>
      <w:divBdr>
        <w:top w:val="none" w:sz="0" w:space="0" w:color="auto"/>
        <w:left w:val="none" w:sz="0" w:space="0" w:color="auto"/>
        <w:bottom w:val="none" w:sz="0" w:space="0" w:color="auto"/>
        <w:right w:val="none" w:sz="0" w:space="0" w:color="auto"/>
      </w:divBdr>
      <w:divsChild>
        <w:div w:id="716778697">
          <w:marLeft w:val="446"/>
          <w:marRight w:val="0"/>
          <w:marTop w:val="200"/>
          <w:marBottom w:val="0"/>
          <w:divBdr>
            <w:top w:val="none" w:sz="0" w:space="0" w:color="auto"/>
            <w:left w:val="none" w:sz="0" w:space="0" w:color="auto"/>
            <w:bottom w:val="none" w:sz="0" w:space="0" w:color="auto"/>
            <w:right w:val="none" w:sz="0" w:space="0" w:color="auto"/>
          </w:divBdr>
        </w:div>
        <w:div w:id="1514758255">
          <w:marLeft w:val="446"/>
          <w:marRight w:val="0"/>
          <w:marTop w:val="200"/>
          <w:marBottom w:val="0"/>
          <w:divBdr>
            <w:top w:val="none" w:sz="0" w:space="0" w:color="auto"/>
            <w:left w:val="none" w:sz="0" w:space="0" w:color="auto"/>
            <w:bottom w:val="none" w:sz="0" w:space="0" w:color="auto"/>
            <w:right w:val="none" w:sz="0" w:space="0" w:color="auto"/>
          </w:divBdr>
        </w:div>
        <w:div w:id="1027024281">
          <w:marLeft w:val="446"/>
          <w:marRight w:val="0"/>
          <w:marTop w:val="200"/>
          <w:marBottom w:val="0"/>
          <w:divBdr>
            <w:top w:val="none" w:sz="0" w:space="0" w:color="auto"/>
            <w:left w:val="none" w:sz="0" w:space="0" w:color="auto"/>
            <w:bottom w:val="none" w:sz="0" w:space="0" w:color="auto"/>
            <w:right w:val="none" w:sz="0" w:space="0" w:color="auto"/>
          </w:divBdr>
        </w:div>
        <w:div w:id="1453134841">
          <w:marLeft w:val="446"/>
          <w:marRight w:val="0"/>
          <w:marTop w:val="200"/>
          <w:marBottom w:val="0"/>
          <w:divBdr>
            <w:top w:val="none" w:sz="0" w:space="0" w:color="auto"/>
            <w:left w:val="none" w:sz="0" w:space="0" w:color="auto"/>
            <w:bottom w:val="none" w:sz="0" w:space="0" w:color="auto"/>
            <w:right w:val="none" w:sz="0" w:space="0" w:color="auto"/>
          </w:divBdr>
        </w:div>
        <w:div w:id="1264798496">
          <w:marLeft w:val="446"/>
          <w:marRight w:val="0"/>
          <w:marTop w:val="200"/>
          <w:marBottom w:val="0"/>
          <w:divBdr>
            <w:top w:val="none" w:sz="0" w:space="0" w:color="auto"/>
            <w:left w:val="none" w:sz="0" w:space="0" w:color="auto"/>
            <w:bottom w:val="none" w:sz="0" w:space="0" w:color="auto"/>
            <w:right w:val="none" w:sz="0" w:space="0" w:color="auto"/>
          </w:divBdr>
        </w:div>
      </w:divsChild>
    </w:div>
    <w:div w:id="1034187689">
      <w:bodyDiv w:val="1"/>
      <w:marLeft w:val="0"/>
      <w:marRight w:val="0"/>
      <w:marTop w:val="0"/>
      <w:marBottom w:val="0"/>
      <w:divBdr>
        <w:top w:val="none" w:sz="0" w:space="0" w:color="auto"/>
        <w:left w:val="none" w:sz="0" w:space="0" w:color="auto"/>
        <w:bottom w:val="none" w:sz="0" w:space="0" w:color="auto"/>
        <w:right w:val="none" w:sz="0" w:space="0" w:color="auto"/>
      </w:divBdr>
    </w:div>
    <w:div w:id="1140414868">
      <w:bodyDiv w:val="1"/>
      <w:marLeft w:val="0"/>
      <w:marRight w:val="0"/>
      <w:marTop w:val="0"/>
      <w:marBottom w:val="0"/>
      <w:divBdr>
        <w:top w:val="none" w:sz="0" w:space="0" w:color="auto"/>
        <w:left w:val="none" w:sz="0" w:space="0" w:color="auto"/>
        <w:bottom w:val="none" w:sz="0" w:space="0" w:color="auto"/>
        <w:right w:val="none" w:sz="0" w:space="0" w:color="auto"/>
      </w:divBdr>
    </w:div>
    <w:div w:id="1146120124">
      <w:bodyDiv w:val="1"/>
      <w:marLeft w:val="0"/>
      <w:marRight w:val="0"/>
      <w:marTop w:val="0"/>
      <w:marBottom w:val="0"/>
      <w:divBdr>
        <w:top w:val="none" w:sz="0" w:space="0" w:color="auto"/>
        <w:left w:val="none" w:sz="0" w:space="0" w:color="auto"/>
        <w:bottom w:val="none" w:sz="0" w:space="0" w:color="auto"/>
        <w:right w:val="none" w:sz="0" w:space="0" w:color="auto"/>
      </w:divBdr>
    </w:div>
    <w:div w:id="1242369655">
      <w:bodyDiv w:val="1"/>
      <w:marLeft w:val="0"/>
      <w:marRight w:val="0"/>
      <w:marTop w:val="0"/>
      <w:marBottom w:val="0"/>
      <w:divBdr>
        <w:top w:val="none" w:sz="0" w:space="0" w:color="auto"/>
        <w:left w:val="none" w:sz="0" w:space="0" w:color="auto"/>
        <w:bottom w:val="none" w:sz="0" w:space="0" w:color="auto"/>
        <w:right w:val="none" w:sz="0" w:space="0" w:color="auto"/>
      </w:divBdr>
    </w:div>
    <w:div w:id="1311053844">
      <w:bodyDiv w:val="1"/>
      <w:marLeft w:val="0"/>
      <w:marRight w:val="0"/>
      <w:marTop w:val="0"/>
      <w:marBottom w:val="0"/>
      <w:divBdr>
        <w:top w:val="none" w:sz="0" w:space="0" w:color="auto"/>
        <w:left w:val="none" w:sz="0" w:space="0" w:color="auto"/>
        <w:bottom w:val="none" w:sz="0" w:space="0" w:color="auto"/>
        <w:right w:val="none" w:sz="0" w:space="0" w:color="auto"/>
      </w:divBdr>
    </w:div>
    <w:div w:id="1415391423">
      <w:bodyDiv w:val="1"/>
      <w:marLeft w:val="0"/>
      <w:marRight w:val="0"/>
      <w:marTop w:val="0"/>
      <w:marBottom w:val="0"/>
      <w:divBdr>
        <w:top w:val="none" w:sz="0" w:space="0" w:color="auto"/>
        <w:left w:val="none" w:sz="0" w:space="0" w:color="auto"/>
        <w:bottom w:val="none" w:sz="0" w:space="0" w:color="auto"/>
        <w:right w:val="none" w:sz="0" w:space="0" w:color="auto"/>
      </w:divBdr>
    </w:div>
    <w:div w:id="1534733073">
      <w:bodyDiv w:val="1"/>
      <w:marLeft w:val="0"/>
      <w:marRight w:val="0"/>
      <w:marTop w:val="0"/>
      <w:marBottom w:val="0"/>
      <w:divBdr>
        <w:top w:val="none" w:sz="0" w:space="0" w:color="auto"/>
        <w:left w:val="none" w:sz="0" w:space="0" w:color="auto"/>
        <w:bottom w:val="none" w:sz="0" w:space="0" w:color="auto"/>
        <w:right w:val="none" w:sz="0" w:space="0" w:color="auto"/>
      </w:divBdr>
      <w:divsChild>
        <w:div w:id="1225992144">
          <w:marLeft w:val="446"/>
          <w:marRight w:val="0"/>
          <w:marTop w:val="0"/>
          <w:marBottom w:val="0"/>
          <w:divBdr>
            <w:top w:val="none" w:sz="0" w:space="0" w:color="auto"/>
            <w:left w:val="none" w:sz="0" w:space="0" w:color="auto"/>
            <w:bottom w:val="none" w:sz="0" w:space="0" w:color="auto"/>
            <w:right w:val="none" w:sz="0" w:space="0" w:color="auto"/>
          </w:divBdr>
        </w:div>
        <w:div w:id="372002814">
          <w:marLeft w:val="446"/>
          <w:marRight w:val="0"/>
          <w:marTop w:val="0"/>
          <w:marBottom w:val="0"/>
          <w:divBdr>
            <w:top w:val="none" w:sz="0" w:space="0" w:color="auto"/>
            <w:left w:val="none" w:sz="0" w:space="0" w:color="auto"/>
            <w:bottom w:val="none" w:sz="0" w:space="0" w:color="auto"/>
            <w:right w:val="none" w:sz="0" w:space="0" w:color="auto"/>
          </w:divBdr>
        </w:div>
      </w:divsChild>
    </w:div>
    <w:div w:id="1709841216">
      <w:bodyDiv w:val="1"/>
      <w:marLeft w:val="0"/>
      <w:marRight w:val="0"/>
      <w:marTop w:val="0"/>
      <w:marBottom w:val="0"/>
      <w:divBdr>
        <w:top w:val="none" w:sz="0" w:space="0" w:color="auto"/>
        <w:left w:val="none" w:sz="0" w:space="0" w:color="auto"/>
        <w:bottom w:val="none" w:sz="0" w:space="0" w:color="auto"/>
        <w:right w:val="none" w:sz="0" w:space="0" w:color="auto"/>
      </w:divBdr>
    </w:div>
    <w:div w:id="1768232101">
      <w:bodyDiv w:val="1"/>
      <w:marLeft w:val="0"/>
      <w:marRight w:val="0"/>
      <w:marTop w:val="0"/>
      <w:marBottom w:val="0"/>
      <w:divBdr>
        <w:top w:val="none" w:sz="0" w:space="0" w:color="auto"/>
        <w:left w:val="none" w:sz="0" w:space="0" w:color="auto"/>
        <w:bottom w:val="none" w:sz="0" w:space="0" w:color="auto"/>
        <w:right w:val="none" w:sz="0" w:space="0" w:color="auto"/>
      </w:divBdr>
    </w:div>
    <w:div w:id="1852184583">
      <w:bodyDiv w:val="1"/>
      <w:marLeft w:val="0"/>
      <w:marRight w:val="0"/>
      <w:marTop w:val="0"/>
      <w:marBottom w:val="0"/>
      <w:divBdr>
        <w:top w:val="none" w:sz="0" w:space="0" w:color="auto"/>
        <w:left w:val="none" w:sz="0" w:space="0" w:color="auto"/>
        <w:bottom w:val="none" w:sz="0" w:space="0" w:color="auto"/>
        <w:right w:val="none" w:sz="0" w:space="0" w:color="auto"/>
      </w:divBdr>
      <w:divsChild>
        <w:div w:id="1988823998">
          <w:marLeft w:val="446"/>
          <w:marRight w:val="0"/>
          <w:marTop w:val="150"/>
          <w:marBottom w:val="0"/>
          <w:divBdr>
            <w:top w:val="none" w:sz="0" w:space="0" w:color="auto"/>
            <w:left w:val="none" w:sz="0" w:space="0" w:color="auto"/>
            <w:bottom w:val="none" w:sz="0" w:space="0" w:color="auto"/>
            <w:right w:val="none" w:sz="0" w:space="0" w:color="auto"/>
          </w:divBdr>
        </w:div>
        <w:div w:id="1050491874">
          <w:marLeft w:val="446"/>
          <w:marRight w:val="0"/>
          <w:marTop w:val="150"/>
          <w:marBottom w:val="0"/>
          <w:divBdr>
            <w:top w:val="none" w:sz="0" w:space="0" w:color="auto"/>
            <w:left w:val="none" w:sz="0" w:space="0" w:color="auto"/>
            <w:bottom w:val="none" w:sz="0" w:space="0" w:color="auto"/>
            <w:right w:val="none" w:sz="0" w:space="0" w:color="auto"/>
          </w:divBdr>
        </w:div>
        <w:div w:id="136798304">
          <w:marLeft w:val="446"/>
          <w:marRight w:val="0"/>
          <w:marTop w:val="150"/>
          <w:marBottom w:val="0"/>
          <w:divBdr>
            <w:top w:val="none" w:sz="0" w:space="0" w:color="auto"/>
            <w:left w:val="none" w:sz="0" w:space="0" w:color="auto"/>
            <w:bottom w:val="none" w:sz="0" w:space="0" w:color="auto"/>
            <w:right w:val="none" w:sz="0" w:space="0" w:color="auto"/>
          </w:divBdr>
        </w:div>
        <w:div w:id="1370379622">
          <w:marLeft w:val="446"/>
          <w:marRight w:val="0"/>
          <w:marTop w:val="150"/>
          <w:marBottom w:val="0"/>
          <w:divBdr>
            <w:top w:val="none" w:sz="0" w:space="0" w:color="auto"/>
            <w:left w:val="none" w:sz="0" w:space="0" w:color="auto"/>
            <w:bottom w:val="none" w:sz="0" w:space="0" w:color="auto"/>
            <w:right w:val="none" w:sz="0" w:space="0" w:color="auto"/>
          </w:divBdr>
        </w:div>
        <w:div w:id="1047265883">
          <w:marLeft w:val="446"/>
          <w:marRight w:val="0"/>
          <w:marTop w:val="150"/>
          <w:marBottom w:val="0"/>
          <w:divBdr>
            <w:top w:val="none" w:sz="0" w:space="0" w:color="auto"/>
            <w:left w:val="none" w:sz="0" w:space="0" w:color="auto"/>
            <w:bottom w:val="none" w:sz="0" w:space="0" w:color="auto"/>
            <w:right w:val="none" w:sz="0" w:space="0" w:color="auto"/>
          </w:divBdr>
        </w:div>
        <w:div w:id="1846508318">
          <w:marLeft w:val="446"/>
          <w:marRight w:val="0"/>
          <w:marTop w:val="150"/>
          <w:marBottom w:val="0"/>
          <w:divBdr>
            <w:top w:val="none" w:sz="0" w:space="0" w:color="auto"/>
            <w:left w:val="none" w:sz="0" w:space="0" w:color="auto"/>
            <w:bottom w:val="none" w:sz="0" w:space="0" w:color="auto"/>
            <w:right w:val="none" w:sz="0" w:space="0" w:color="auto"/>
          </w:divBdr>
        </w:div>
        <w:div w:id="2123527009">
          <w:marLeft w:val="446"/>
          <w:marRight w:val="0"/>
          <w:marTop w:val="150"/>
          <w:marBottom w:val="0"/>
          <w:divBdr>
            <w:top w:val="none" w:sz="0" w:space="0" w:color="auto"/>
            <w:left w:val="none" w:sz="0" w:space="0" w:color="auto"/>
            <w:bottom w:val="none" w:sz="0" w:space="0" w:color="auto"/>
            <w:right w:val="none" w:sz="0" w:space="0" w:color="auto"/>
          </w:divBdr>
        </w:div>
      </w:divsChild>
    </w:div>
    <w:div w:id="1967391822">
      <w:bodyDiv w:val="1"/>
      <w:marLeft w:val="0"/>
      <w:marRight w:val="0"/>
      <w:marTop w:val="0"/>
      <w:marBottom w:val="0"/>
      <w:divBdr>
        <w:top w:val="none" w:sz="0" w:space="0" w:color="auto"/>
        <w:left w:val="none" w:sz="0" w:space="0" w:color="auto"/>
        <w:bottom w:val="none" w:sz="0" w:space="0" w:color="auto"/>
        <w:right w:val="none" w:sz="0" w:space="0" w:color="auto"/>
      </w:divBdr>
    </w:div>
    <w:div w:id="1985162213">
      <w:bodyDiv w:val="1"/>
      <w:marLeft w:val="0"/>
      <w:marRight w:val="0"/>
      <w:marTop w:val="0"/>
      <w:marBottom w:val="0"/>
      <w:divBdr>
        <w:top w:val="none" w:sz="0" w:space="0" w:color="auto"/>
        <w:left w:val="none" w:sz="0" w:space="0" w:color="auto"/>
        <w:bottom w:val="none" w:sz="0" w:space="0" w:color="auto"/>
        <w:right w:val="none" w:sz="0" w:space="0" w:color="auto"/>
      </w:divBdr>
    </w:div>
    <w:div w:id="2143451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viceTariffManager@sce.com" TargetMode="Externa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EDTariffUnit@cpuc.ca.gov"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hyperlink" Target="https://www.sce.com/wps/portal/home/regulatory/advice-lette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mailto:Process_Office@cpuc.ca.gov" TargetMode="Externa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AdviceTariffManager@sce.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uonsl\Desktop\TM2%20templates\AdviceLetter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8E88E-420E-4058-AB0E-6B235FCCE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AdviceLetterAll.dot</Template>
  <TotalTime>0</TotalTime>
  <Pages>27</Pages>
  <Words>7321</Words>
  <Characters>41730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Southern California Edison</Company>
  <LinksUpToDate>false</LinksUpToDate>
  <CharactersWithSpaces>48954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Quon</dc:creator>
  <cp:keywords/>
  <dc:description/>
  <cp:lastModifiedBy>Robert F Brunn</cp:lastModifiedBy>
  <cp:revision>2</cp:revision>
  <cp:lastPrinted>2018-08-02T21:19:00Z</cp:lastPrinted>
  <dcterms:created xsi:type="dcterms:W3CDTF">2018-08-14T23:44:00Z</dcterms:created>
  <dcterms:modified xsi:type="dcterms:W3CDTF">2018-08-14T23:44:00Z</dcterms:modified>
</cp:coreProperties>
</file>