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DCF30" w14:textId="77777777" w:rsidR="00E33861" w:rsidRDefault="00E33861" w:rsidP="00263737">
      <w:pPr>
        <w:rPr>
          <w:b/>
          <w:sz w:val="28"/>
        </w:rPr>
      </w:pPr>
      <w:bookmarkStart w:id="0" w:name="_GoBack"/>
      <w:bookmarkEnd w:id="0"/>
    </w:p>
    <w:p w14:paraId="5F59B20A" w14:textId="52765A94" w:rsidR="00263737" w:rsidRDefault="00263737" w:rsidP="00263737">
      <w:pPr>
        <w:rPr>
          <w:b/>
          <w:sz w:val="28"/>
        </w:rPr>
      </w:pPr>
      <w:r>
        <w:rPr>
          <w:b/>
          <w:noProof/>
          <w:sz w:val="28"/>
        </w:rPr>
        <mc:AlternateContent>
          <mc:Choice Requires="wps">
            <w:drawing>
              <wp:anchor distT="0" distB="0" distL="114300" distR="114300" simplePos="0" relativeHeight="251659264" behindDoc="0" locked="0" layoutInCell="1" allowOverlap="1" wp14:anchorId="507AF7DA" wp14:editId="18833866">
                <wp:simplePos x="0" y="0"/>
                <wp:positionH relativeFrom="column">
                  <wp:posOffset>0</wp:posOffset>
                </wp:positionH>
                <wp:positionV relativeFrom="paragraph">
                  <wp:posOffset>307478</wp:posOffset>
                </wp:positionV>
                <wp:extent cx="593407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34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C36E43" id="Straight Connector 4"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2pt" to="467.25pt,2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" strokecolor="black [3213]" strokeweight="1.5pt">
                <v:stroke joinstyle="miter"/>
              </v:line>
            </w:pict>
          </mc:Fallback>
        </mc:AlternateContent>
      </w:r>
      <w:r w:rsidRPr="00B119E3">
        <w:rPr>
          <w:b/>
          <w:sz w:val="28"/>
        </w:rPr>
        <w:t>Memorandum</w:t>
      </w:r>
    </w:p>
    <w:p w14:paraId="0F0FFFE1" w14:textId="77777777" w:rsidR="00263737" w:rsidRPr="00B119E3" w:rsidRDefault="00263737" w:rsidP="00263737">
      <w:pPr>
        <w:contextualSpacing/>
        <w:rPr>
          <w:b/>
          <w:sz w:val="14"/>
        </w:rPr>
      </w:pPr>
    </w:p>
    <w:p w14:paraId="73D810D5" w14:textId="16BA4C73" w:rsidR="00263737" w:rsidRPr="00B119E3" w:rsidRDefault="00263737" w:rsidP="00263737">
      <w:r w:rsidRPr="00B119E3">
        <w:rPr>
          <w:b/>
        </w:rPr>
        <w:t>To:</w:t>
      </w:r>
      <w:r w:rsidRPr="00B119E3">
        <w:t xml:space="preserve"> </w:t>
      </w:r>
      <w:r>
        <w:tab/>
      </w:r>
      <w:r w:rsidR="00E33861">
        <w:rPr>
          <w:iCs/>
        </w:rPr>
        <w:t>CAEECC MT Savings Working Group, Part 2</w:t>
      </w:r>
    </w:p>
    <w:p w14:paraId="430AC120" w14:textId="04139513" w:rsidR="00263737" w:rsidRPr="00B119E3" w:rsidRDefault="00263737" w:rsidP="00263737">
      <w:pPr>
        <w:rPr>
          <w:b/>
        </w:rPr>
      </w:pPr>
      <w:r w:rsidRPr="00B119E3">
        <w:rPr>
          <w:b/>
        </w:rPr>
        <w:t>From:</w:t>
      </w:r>
      <w:r>
        <w:rPr>
          <w:b/>
        </w:rPr>
        <w:t xml:space="preserve"> </w:t>
      </w:r>
      <w:r>
        <w:rPr>
          <w:b/>
        </w:rPr>
        <w:tab/>
      </w:r>
      <w:r w:rsidRPr="006628AD">
        <w:t>Margie Gardner, Resource Innovations</w:t>
      </w:r>
      <w:r>
        <w:rPr>
          <w:b/>
        </w:rPr>
        <w:t xml:space="preserve"> </w:t>
      </w:r>
    </w:p>
    <w:p w14:paraId="234751A5" w14:textId="3D435402" w:rsidR="00263737" w:rsidRPr="00B119E3" w:rsidRDefault="00263737" w:rsidP="00263737">
      <w:r w:rsidRPr="00B119E3">
        <w:rPr>
          <w:b/>
        </w:rPr>
        <w:t>Date:</w:t>
      </w:r>
      <w:r>
        <w:rPr>
          <w:b/>
        </w:rPr>
        <w:tab/>
      </w:r>
      <w:r w:rsidR="00E33861">
        <w:t>July 10, 2020</w:t>
      </w:r>
      <w:r w:rsidR="008B1D8B">
        <w:t>; Updated July 23, 2020</w:t>
      </w:r>
    </w:p>
    <w:p w14:paraId="37267673" w14:textId="09B7C0DA" w:rsidR="00E33861" w:rsidRDefault="00263737" w:rsidP="00E33861">
      <w:pPr>
        <w:rPr>
          <w:iCs/>
        </w:rPr>
      </w:pPr>
      <w:r w:rsidRPr="00B119E3">
        <w:rPr>
          <w:b/>
        </w:rPr>
        <w:t>Re:</w:t>
      </w:r>
      <w:r>
        <w:rPr>
          <w:b/>
        </w:rPr>
        <w:tab/>
      </w:r>
      <w:r w:rsidR="00E33861">
        <w:rPr>
          <w:iCs/>
        </w:rPr>
        <w:t>Examples of Methods to Avoid Double Counting of MT and RA Savings</w:t>
      </w:r>
      <w:r w:rsidR="007647CF">
        <w:rPr>
          <w:iCs/>
        </w:rPr>
        <w:t>;</w:t>
      </w:r>
      <w:r w:rsidR="00036BC4">
        <w:rPr>
          <w:iCs/>
        </w:rPr>
        <w:t xml:space="preserve"> and Incorporating Codes and Standards Savings into MT</w:t>
      </w:r>
    </w:p>
    <w:p w14:paraId="4AB72E57" w14:textId="77777777" w:rsidR="00E33861" w:rsidRDefault="00263737" w:rsidP="00AD55EA">
      <w:pPr>
        <w:rPr>
          <w:iCs/>
        </w:rPr>
      </w:pPr>
      <w:r>
        <w:rPr>
          <w:b/>
          <w:noProof/>
          <w:sz w:val="28"/>
        </w:rPr>
        <mc:AlternateContent>
          <mc:Choice Requires="wps">
            <w:drawing>
              <wp:anchor distT="0" distB="0" distL="114300" distR="114300" simplePos="0" relativeHeight="251661312" behindDoc="0" locked="0" layoutInCell="1" allowOverlap="1" wp14:anchorId="39E08A58" wp14:editId="76281BC5">
                <wp:simplePos x="0" y="0"/>
                <wp:positionH relativeFrom="column">
                  <wp:posOffset>0</wp:posOffset>
                </wp:positionH>
                <wp:positionV relativeFrom="paragraph">
                  <wp:posOffset>0</wp:posOffset>
                </wp:positionV>
                <wp:extent cx="593407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934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3B34B3" id="Straight Connector 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67.2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" strokecolor="black [3213]" strokeweight="1.5pt">
                <v:stroke joinstyle="miter"/>
              </v:line>
            </w:pict>
          </mc:Fallback>
        </mc:AlternateContent>
      </w:r>
    </w:p>
    <w:p w14:paraId="274EDD1D" w14:textId="77777777" w:rsidR="00E051AD" w:rsidRDefault="00AD55EA" w:rsidP="00E33861">
      <w:pPr>
        <w:rPr>
          <w:iCs/>
        </w:rPr>
      </w:pPr>
      <w:r>
        <w:rPr>
          <w:iCs/>
        </w:rPr>
        <w:t xml:space="preserve">The following material </w:t>
      </w:r>
      <w:r w:rsidR="00263737">
        <w:rPr>
          <w:iCs/>
        </w:rPr>
        <w:t xml:space="preserve">was </w:t>
      </w:r>
      <w:r>
        <w:rPr>
          <w:iCs/>
        </w:rPr>
        <w:t>developed during the start-up of the Midwest Market Transformation Collaborative, and much of it is embedded in Attachment C of the Illinois TRM</w:t>
      </w:r>
      <w:r w:rsidR="00263737">
        <w:rPr>
          <w:rStyle w:val="FootnoteReference"/>
          <w:iCs/>
        </w:rPr>
        <w:footnoteReference w:id="1"/>
      </w:r>
      <w:r>
        <w:rPr>
          <w:iCs/>
        </w:rPr>
        <w:t xml:space="preserve">.  Resource Innovations led a team </w:t>
      </w:r>
      <w:r w:rsidR="00263737">
        <w:rPr>
          <w:iCs/>
        </w:rPr>
        <w:t>that included</w:t>
      </w:r>
      <w:r>
        <w:rPr>
          <w:iCs/>
        </w:rPr>
        <w:t xml:space="preserve"> NEEA and </w:t>
      </w:r>
      <w:proofErr w:type="spellStart"/>
      <w:r>
        <w:rPr>
          <w:iCs/>
        </w:rPr>
        <w:t>Prahl</w:t>
      </w:r>
      <w:proofErr w:type="spellEnd"/>
      <w:r>
        <w:rPr>
          <w:iCs/>
        </w:rPr>
        <w:t xml:space="preserve"> and Associates to write the MT savings framework in the IL TRM. </w:t>
      </w:r>
    </w:p>
    <w:p w14:paraId="23C59964" w14:textId="4D3D3DFC" w:rsidR="00AD55EA" w:rsidRDefault="00A4750D" w:rsidP="00E33861">
      <w:pPr>
        <w:rPr>
          <w:iCs/>
        </w:rPr>
      </w:pPr>
      <w:r>
        <w:rPr>
          <w:iCs/>
        </w:rPr>
        <w:t>In this memo, language excerpted from other documents appears in italics.</w:t>
      </w:r>
      <w:r w:rsidR="00E051AD">
        <w:rPr>
          <w:iCs/>
        </w:rPr>
        <w:t xml:space="preserve"> To make the excerpted material clearer for this audience, minor edits were </w:t>
      </w:r>
      <w:r w:rsidR="00067868">
        <w:rPr>
          <w:iCs/>
        </w:rPr>
        <w:t>made,</w:t>
      </w:r>
      <w:r w:rsidR="00E051AD">
        <w:rPr>
          <w:iCs/>
        </w:rPr>
        <w:t xml:space="preserve"> and they appear in revision marks. </w:t>
      </w:r>
      <w:r w:rsidR="00E051AD" w:rsidRPr="007647CF">
        <w:rPr>
          <w:iCs/>
        </w:rPr>
        <w:t xml:space="preserve"> </w:t>
      </w:r>
    </w:p>
    <w:p w14:paraId="0146ADA3" w14:textId="0F5F4FF6" w:rsidR="00A4750D" w:rsidRDefault="00A4750D" w:rsidP="00E33861">
      <w:pPr>
        <w:rPr>
          <w:iCs/>
        </w:rPr>
      </w:pPr>
      <w:r>
        <w:rPr>
          <w:iCs/>
        </w:rPr>
        <w:t>A bit of context in IL:  In late 2018 a Midwest MT Collaborative</w:t>
      </w:r>
      <w:r w:rsidR="006D6E49">
        <w:rPr>
          <w:iCs/>
        </w:rPr>
        <w:t xml:space="preserve"> (MW MTC)</w:t>
      </w:r>
      <w:r>
        <w:rPr>
          <w:iCs/>
        </w:rPr>
        <w:t xml:space="preserve"> was formed</w:t>
      </w:r>
      <w:r w:rsidR="00067868">
        <w:rPr>
          <w:iCs/>
        </w:rPr>
        <w:t>, which was driven by IL</w:t>
      </w:r>
      <w:r w:rsidR="006D6E49">
        <w:rPr>
          <w:iCs/>
        </w:rPr>
        <w:t>. While the IL situation is different than the situation in CA, many of the same MT approaches and processes are used and as a result, IL faced similar issues to those the CAEECC MT working group is now considering.  As the prime administrator of the MW MTC, Resource Innovations thought examples</w:t>
      </w:r>
      <w:r w:rsidR="00067868">
        <w:rPr>
          <w:iCs/>
        </w:rPr>
        <w:t xml:space="preserve"> from IL</w:t>
      </w:r>
      <w:r w:rsidR="006D6E49">
        <w:rPr>
          <w:iCs/>
        </w:rPr>
        <w:t xml:space="preserve"> might kick-start the discussion in CA, while fully understanding that California may choose to blaze its own trail.</w:t>
      </w:r>
    </w:p>
    <w:p w14:paraId="3929EA3C" w14:textId="7BA97642" w:rsidR="00263737" w:rsidRDefault="007A59E6" w:rsidP="00AD55EA">
      <w:pPr>
        <w:rPr>
          <w:iCs/>
        </w:rPr>
      </w:pPr>
      <w:r>
        <w:rPr>
          <w:iCs/>
        </w:rPr>
        <w:t>Section 1 of t</w:t>
      </w:r>
      <w:r w:rsidR="00036BC4">
        <w:rPr>
          <w:iCs/>
        </w:rPr>
        <w:t xml:space="preserve">his memo offers two </w:t>
      </w:r>
      <w:r w:rsidR="00C72103">
        <w:rPr>
          <w:iCs/>
        </w:rPr>
        <w:t xml:space="preserve">examples of </w:t>
      </w:r>
      <w:r w:rsidR="00D058DA">
        <w:rPr>
          <w:iCs/>
        </w:rPr>
        <w:t xml:space="preserve">how to </w:t>
      </w:r>
      <w:r w:rsidR="00C72103">
        <w:rPr>
          <w:iCs/>
        </w:rPr>
        <w:t>avoid double counting</w:t>
      </w:r>
      <w:r w:rsidR="00D058DA">
        <w:rPr>
          <w:iCs/>
        </w:rPr>
        <w:t xml:space="preserve"> savings from MT and resource acquisition (RA)</w:t>
      </w:r>
      <w:r w:rsidR="006D6E49">
        <w:rPr>
          <w:iCs/>
        </w:rPr>
        <w:t>.</w:t>
      </w:r>
      <w:r w:rsidR="00C72103">
        <w:rPr>
          <w:iCs/>
        </w:rPr>
        <w:t xml:space="preserve"> </w:t>
      </w:r>
    </w:p>
    <w:p w14:paraId="38FA51D7" w14:textId="734F10D5" w:rsidR="007647CF" w:rsidRPr="00E051AD" w:rsidRDefault="00A4750D" w:rsidP="00E051AD">
      <w:pPr>
        <w:pStyle w:val="ListParagraph"/>
        <w:numPr>
          <w:ilvl w:val="0"/>
          <w:numId w:val="6"/>
        </w:numPr>
        <w:rPr>
          <w:iCs/>
        </w:rPr>
      </w:pPr>
      <w:r w:rsidRPr="00E051AD">
        <w:rPr>
          <w:iCs/>
        </w:rPr>
        <w:t>T</w:t>
      </w:r>
      <w:r w:rsidR="00263737" w:rsidRPr="00E051AD">
        <w:rPr>
          <w:iCs/>
        </w:rPr>
        <w:t xml:space="preserve">he first example (Section 1.1) is an excerpt from the IL TRM.  </w:t>
      </w:r>
      <w:r w:rsidR="000B319F" w:rsidRPr="00E051AD">
        <w:rPr>
          <w:iCs/>
        </w:rPr>
        <w:t xml:space="preserve">A summary equation appears at the end of </w:t>
      </w:r>
      <w:r w:rsidR="00067868">
        <w:rPr>
          <w:iCs/>
        </w:rPr>
        <w:t>S</w:t>
      </w:r>
      <w:r w:rsidR="000B319F" w:rsidRPr="00E051AD">
        <w:rPr>
          <w:iCs/>
        </w:rPr>
        <w:t>ection</w:t>
      </w:r>
      <w:r w:rsidR="00067868">
        <w:rPr>
          <w:iCs/>
        </w:rPr>
        <w:t xml:space="preserve"> 1.1</w:t>
      </w:r>
      <w:r w:rsidR="000B319F" w:rsidRPr="00E051AD">
        <w:rPr>
          <w:iCs/>
        </w:rPr>
        <w:t xml:space="preserve"> for ease of comparison to the method in Section 1.2.</w:t>
      </w:r>
      <w:r w:rsidR="008B1D8B">
        <w:rPr>
          <w:iCs/>
        </w:rPr>
        <w:t xml:space="preserve"> This summary is on page 4 of this memo.  </w:t>
      </w:r>
    </w:p>
    <w:p w14:paraId="3CE0C407" w14:textId="17248447" w:rsidR="00D058DA" w:rsidRPr="00E051AD" w:rsidRDefault="00A4750D" w:rsidP="00E051AD">
      <w:pPr>
        <w:pStyle w:val="ListParagraph"/>
        <w:numPr>
          <w:ilvl w:val="0"/>
          <w:numId w:val="6"/>
        </w:numPr>
        <w:rPr>
          <w:iCs/>
        </w:rPr>
      </w:pPr>
      <w:r w:rsidRPr="00E051AD">
        <w:rPr>
          <w:iCs/>
        </w:rPr>
        <w:t>The second example (</w:t>
      </w:r>
      <w:r w:rsidR="007647CF" w:rsidRPr="00E051AD">
        <w:rPr>
          <w:iCs/>
        </w:rPr>
        <w:t>Section 1.2</w:t>
      </w:r>
      <w:r w:rsidRPr="00E051AD">
        <w:rPr>
          <w:iCs/>
        </w:rPr>
        <w:t>)</w:t>
      </w:r>
      <w:r w:rsidR="007647CF" w:rsidRPr="00E051AD">
        <w:rPr>
          <w:iCs/>
        </w:rPr>
        <w:t xml:space="preserve"> describes the method used by NEEA.  This text</w:t>
      </w:r>
      <w:r w:rsidR="00D058DA" w:rsidRPr="00E051AD">
        <w:rPr>
          <w:iCs/>
        </w:rPr>
        <w:t xml:space="preserve"> </w:t>
      </w:r>
      <w:r w:rsidR="007647CF" w:rsidRPr="00E051AD">
        <w:rPr>
          <w:iCs/>
        </w:rPr>
        <w:t xml:space="preserve">was </w:t>
      </w:r>
      <w:r w:rsidR="00D058DA" w:rsidRPr="00E051AD">
        <w:rPr>
          <w:iCs/>
        </w:rPr>
        <w:t xml:space="preserve">presented as an option to the IL stakeholder group reviewing the draft </w:t>
      </w:r>
      <w:r w:rsidR="00263737" w:rsidRPr="00E051AD">
        <w:rPr>
          <w:iCs/>
        </w:rPr>
        <w:t>TRM but</w:t>
      </w:r>
      <w:r w:rsidR="00D058DA" w:rsidRPr="00E051AD">
        <w:rPr>
          <w:iCs/>
        </w:rPr>
        <w:t xml:space="preserve"> was not </w:t>
      </w:r>
      <w:r w:rsidR="00D058DA" w:rsidRPr="00E051AD">
        <w:rPr>
          <w:iCs/>
        </w:rPr>
        <w:lastRenderedPageBreak/>
        <w:t>selected for inclusion in the final TRM.</w:t>
      </w:r>
      <w:r w:rsidR="00C72103" w:rsidRPr="00E051AD">
        <w:rPr>
          <w:iCs/>
        </w:rPr>
        <w:t xml:space="preserve"> The group instead choose the more simplified method</w:t>
      </w:r>
      <w:r w:rsidR="00263737" w:rsidRPr="00E051AD">
        <w:rPr>
          <w:iCs/>
        </w:rPr>
        <w:t xml:space="preserve"> </w:t>
      </w:r>
      <w:r w:rsidR="007647CF" w:rsidRPr="00E051AD">
        <w:rPr>
          <w:iCs/>
        </w:rPr>
        <w:t xml:space="preserve">described </w:t>
      </w:r>
      <w:r w:rsidR="00263737" w:rsidRPr="00E051AD">
        <w:rPr>
          <w:iCs/>
        </w:rPr>
        <w:t xml:space="preserve">in </w:t>
      </w:r>
      <w:r w:rsidR="00067868">
        <w:rPr>
          <w:iCs/>
        </w:rPr>
        <w:t xml:space="preserve">Section </w:t>
      </w:r>
      <w:r w:rsidR="00263737" w:rsidRPr="00E051AD">
        <w:rPr>
          <w:iCs/>
        </w:rPr>
        <w:t>1.1</w:t>
      </w:r>
      <w:r w:rsidR="00C72103" w:rsidRPr="00E051AD">
        <w:rPr>
          <w:iCs/>
        </w:rPr>
        <w:t xml:space="preserve"> given the landscape in Illinois.</w:t>
      </w:r>
      <w:r w:rsidR="00D058DA" w:rsidRPr="00E051AD">
        <w:rPr>
          <w:iCs/>
        </w:rPr>
        <w:t xml:space="preserve"> </w:t>
      </w:r>
    </w:p>
    <w:p w14:paraId="32F26F40" w14:textId="04480CD1" w:rsidR="00036BC4" w:rsidRDefault="00036BC4" w:rsidP="00C72103">
      <w:pPr>
        <w:rPr>
          <w:iCs/>
        </w:rPr>
      </w:pPr>
      <w:r>
        <w:rPr>
          <w:iCs/>
        </w:rPr>
        <w:t>Section 2</w:t>
      </w:r>
      <w:r w:rsidR="00A4750D">
        <w:rPr>
          <w:iCs/>
        </w:rPr>
        <w:t xml:space="preserve"> of this memo</w:t>
      </w:r>
      <w:r w:rsidR="008B1D8B">
        <w:rPr>
          <w:iCs/>
        </w:rPr>
        <w:t xml:space="preserve"> (page 5)</w:t>
      </w:r>
      <w:r>
        <w:rPr>
          <w:iCs/>
        </w:rPr>
        <w:t xml:space="preserve"> excerpts the language in the IL TRM related to MT and C&amp;S.</w:t>
      </w:r>
      <w:r w:rsidR="007647CF">
        <w:rPr>
          <w:iCs/>
        </w:rPr>
        <w:t xml:space="preserve"> It is included primarily as an example of </w:t>
      </w:r>
      <w:r w:rsidR="00A4750D">
        <w:rPr>
          <w:iCs/>
        </w:rPr>
        <w:t>a</w:t>
      </w:r>
      <w:r w:rsidR="007647CF">
        <w:rPr>
          <w:iCs/>
        </w:rPr>
        <w:t xml:space="preserve"> state </w:t>
      </w:r>
      <w:r w:rsidR="00A4750D">
        <w:rPr>
          <w:iCs/>
        </w:rPr>
        <w:t>including</w:t>
      </w:r>
      <w:r w:rsidR="007647CF">
        <w:rPr>
          <w:iCs/>
        </w:rPr>
        <w:t xml:space="preserve"> </w:t>
      </w:r>
      <w:r w:rsidR="00067868">
        <w:rPr>
          <w:iCs/>
        </w:rPr>
        <w:t xml:space="preserve">C&amp;S </w:t>
      </w:r>
      <w:r w:rsidR="007647CF">
        <w:rPr>
          <w:iCs/>
        </w:rPr>
        <w:t xml:space="preserve">savings </w:t>
      </w:r>
      <w:r w:rsidR="00A4750D">
        <w:rPr>
          <w:iCs/>
        </w:rPr>
        <w:t>in</w:t>
      </w:r>
      <w:r w:rsidR="007647CF">
        <w:rPr>
          <w:iCs/>
        </w:rPr>
        <w:t xml:space="preserve"> MT initiatives that intentionally include C&amp;S as part of their logic model. </w:t>
      </w:r>
      <w:r w:rsidR="00A4750D">
        <w:rPr>
          <w:iCs/>
        </w:rPr>
        <w:t xml:space="preserve"> Language is also included on enhanced code compliance</w:t>
      </w:r>
      <w:r w:rsidR="008B1D8B">
        <w:rPr>
          <w:iCs/>
        </w:rPr>
        <w:t>, as another example of how enhanced code compliance can support MT/C&amp;S work</w:t>
      </w:r>
      <w:r w:rsidR="00A4750D">
        <w:rPr>
          <w:iCs/>
        </w:rPr>
        <w:t>.</w:t>
      </w:r>
      <w:r w:rsidR="007647CF">
        <w:rPr>
          <w:iCs/>
        </w:rPr>
        <w:t xml:space="preserve"> </w:t>
      </w:r>
    </w:p>
    <w:p w14:paraId="003B40AA" w14:textId="747F97EF" w:rsidR="00A4750D" w:rsidRPr="00C72103" w:rsidRDefault="00A4750D" w:rsidP="00C72103">
      <w:pPr>
        <w:rPr>
          <w:iCs/>
        </w:rPr>
      </w:pPr>
      <w:r>
        <w:rPr>
          <w:iCs/>
        </w:rPr>
        <w:t>Section 3 of this memo</w:t>
      </w:r>
      <w:r w:rsidR="008B1D8B">
        <w:rPr>
          <w:iCs/>
        </w:rPr>
        <w:t xml:space="preserve"> (page 10)</w:t>
      </w:r>
      <w:r>
        <w:rPr>
          <w:iCs/>
        </w:rPr>
        <w:t xml:space="preserve"> </w:t>
      </w:r>
      <w:r w:rsidR="00F36312">
        <w:rPr>
          <w:iCs/>
        </w:rPr>
        <w:t>discusses</w:t>
      </w:r>
      <w:r>
        <w:rPr>
          <w:iCs/>
        </w:rPr>
        <w:t xml:space="preserve"> draft language from IL on how to set goals for MT, given the emergence of MT in that state</w:t>
      </w:r>
      <w:r w:rsidR="008B1D8B">
        <w:rPr>
          <w:iCs/>
        </w:rPr>
        <w:t xml:space="preserve"> and some comments for the California situation</w:t>
      </w:r>
      <w:r>
        <w:rPr>
          <w:iCs/>
        </w:rPr>
        <w:t xml:space="preserve">.  </w:t>
      </w:r>
    </w:p>
    <w:p w14:paraId="335EAA8E" w14:textId="3DB9A83B" w:rsidR="00AD55EA" w:rsidRPr="00036BC4" w:rsidRDefault="00AD55EA" w:rsidP="00A4750D">
      <w:pPr>
        <w:pStyle w:val="Heading1"/>
      </w:pPr>
      <w:bookmarkStart w:id="1" w:name="_Toc17451252"/>
      <w:bookmarkStart w:id="2" w:name="_Toc44081145"/>
      <w:r w:rsidRPr="00036BC4">
        <w:t>Accounting for RA Savings</w:t>
      </w:r>
      <w:bookmarkEnd w:id="1"/>
      <w:bookmarkEnd w:id="2"/>
      <w:r w:rsidR="00512FE1" w:rsidRPr="00036BC4">
        <w:t xml:space="preserve"> – Option 1 (IL TRM):  Existing Rules for RA Take Priority</w:t>
      </w:r>
    </w:p>
    <w:p w14:paraId="51C1D317" w14:textId="442BB865" w:rsidR="00AD55EA" w:rsidRPr="007A59E6" w:rsidRDefault="00263737" w:rsidP="00AD55EA">
      <w:pPr>
        <w:rPr>
          <w:rFonts w:cstheme="minorHAnsi"/>
          <w:i/>
          <w:iCs/>
        </w:rPr>
      </w:pPr>
      <w:r w:rsidRPr="007A59E6">
        <w:rPr>
          <w:rFonts w:cstheme="minorHAnsi"/>
          <w:i/>
          <w:iCs/>
        </w:rPr>
        <w:t>“</w:t>
      </w:r>
      <w:r w:rsidR="00AD55EA" w:rsidRPr="007A59E6">
        <w:rPr>
          <w:rFonts w:cstheme="minorHAnsi"/>
          <w:i/>
          <w:iCs/>
        </w:rPr>
        <w:t xml:space="preserve">Ideally, customer-facing RA programs would be an integrated part of MT activities as depicted in Figure 1.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efforts.  </w:t>
      </w:r>
    </w:p>
    <w:p w14:paraId="5C4DC46B" w14:textId="77777777" w:rsidR="00263737" w:rsidRPr="007A59E6" w:rsidRDefault="00263737" w:rsidP="00AD55EA">
      <w:pPr>
        <w:rPr>
          <w:rFonts w:cstheme="minorHAnsi"/>
          <w:i/>
          <w:iCs/>
        </w:rPr>
      </w:pPr>
    </w:p>
    <w:p w14:paraId="50C48ED8" w14:textId="5F187764" w:rsidR="00AD55EA" w:rsidRPr="007A59E6" w:rsidRDefault="00AD55EA" w:rsidP="00AD55EA">
      <w:pPr>
        <w:jc w:val="center"/>
        <w:rPr>
          <w:rFonts w:cstheme="minorHAnsi"/>
          <w:i/>
          <w:iCs/>
        </w:rPr>
      </w:pPr>
      <w:r w:rsidRPr="007A59E6">
        <w:rPr>
          <w:rFonts w:cstheme="minorHAnsi"/>
          <w:i/>
          <w:iCs/>
        </w:rPr>
        <w:t>Figure 1:  Examples of Activities Under the “Theory Umbrella”</w:t>
      </w:r>
    </w:p>
    <w:p w14:paraId="48A91E34" w14:textId="428DBF2A" w:rsidR="00AD55EA" w:rsidRPr="007A59E6" w:rsidRDefault="00AD55EA" w:rsidP="00AD55EA">
      <w:pPr>
        <w:jc w:val="center"/>
        <w:rPr>
          <w:rFonts w:cstheme="minorHAnsi"/>
          <w:i/>
          <w:iCs/>
        </w:rPr>
      </w:pPr>
      <w:r w:rsidRPr="007A59E6">
        <w:rPr>
          <w:i/>
          <w:iCs/>
          <w:noProof/>
        </w:rPr>
        <w:lastRenderedPageBreak/>
        <w:drawing>
          <wp:inline distT="0" distB="0" distL="0" distR="0" wp14:anchorId="1A60F936" wp14:editId="5261692F">
            <wp:extent cx="5943600" cy="334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14:paraId="4E30BF9C" w14:textId="77777777" w:rsidR="00AD55EA" w:rsidRPr="007A59E6" w:rsidRDefault="00AD55EA" w:rsidP="00E33861">
      <w:pPr>
        <w:jc w:val="center"/>
        <w:rPr>
          <w:rFonts w:cstheme="minorHAnsi"/>
          <w:i/>
          <w:iCs/>
        </w:rPr>
      </w:pPr>
    </w:p>
    <w:p w14:paraId="13CBFA77" w14:textId="77777777" w:rsidR="00AD55EA" w:rsidRPr="007A59E6" w:rsidRDefault="00AD55EA" w:rsidP="00AD55EA">
      <w:pPr>
        <w:rPr>
          <w:rFonts w:cstheme="minorHAnsi"/>
          <w:i/>
          <w:iCs/>
        </w:rPr>
      </w:pPr>
      <w:r w:rsidRPr="007A59E6">
        <w:rPr>
          <w:rFonts w:cstheme="minorHAnsi"/>
          <w:i/>
          <w:iCs/>
        </w:rPr>
        <w:t xml:space="preserve">While the goal of not double counting is clear, the actual practice is complicated by the fact that RA and MT use different 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13546A4B" w14:textId="095BB43F" w:rsidR="00AD55EA" w:rsidRPr="007A59E6" w:rsidRDefault="00AD55EA" w:rsidP="00AD55EA">
      <w:pPr>
        <w:rPr>
          <w:rFonts w:cstheme="minorHAnsi"/>
          <w:i/>
          <w:iCs/>
        </w:rPr>
      </w:pPr>
      <w:r w:rsidRPr="007A59E6">
        <w:rPr>
          <w:rFonts w:cstheme="minorHAnsi"/>
          <w:i/>
          <w:iCs/>
        </w:rPr>
        <w:t xml:space="preserve">Figure </w:t>
      </w:r>
      <w:r w:rsidR="00D058DA" w:rsidRPr="007A59E6">
        <w:rPr>
          <w:rFonts w:cstheme="minorHAnsi"/>
          <w:i/>
          <w:iCs/>
        </w:rPr>
        <w:t>2</w:t>
      </w:r>
      <w:r w:rsidRPr="007A59E6">
        <w:rPr>
          <w:rFonts w:cstheme="minorHAnsi"/>
          <w:i/>
          <w:iCs/>
        </w:rPr>
        <w:t xml:space="preserve"> is a depiction of the typical components of RA savings overlaid on the MT savings framework.  Area A represents participants who wouldn’t have taken the action without the program, area B is free riders and area C is spillover.  As described </w:t>
      </w:r>
      <w:r w:rsidR="00D058DA" w:rsidRPr="007A59E6">
        <w:rPr>
          <w:rFonts w:cstheme="minorHAnsi"/>
          <w:i/>
          <w:iCs/>
        </w:rPr>
        <w:t xml:space="preserve">in </w:t>
      </w:r>
      <w:r w:rsidR="00C72103" w:rsidRPr="007A59E6">
        <w:rPr>
          <w:rFonts w:cstheme="minorHAnsi"/>
          <w:i/>
          <w:iCs/>
        </w:rPr>
        <w:t xml:space="preserve">IL </w:t>
      </w:r>
      <w:r w:rsidR="00D058DA" w:rsidRPr="007A59E6">
        <w:rPr>
          <w:rFonts w:cstheme="minorHAnsi"/>
          <w:i/>
          <w:iCs/>
        </w:rPr>
        <w:t>TRM</w:t>
      </w:r>
      <w:r w:rsidRPr="007A59E6">
        <w:rPr>
          <w:rFonts w:cstheme="minorHAnsi"/>
          <w:i/>
          <w:iCs/>
        </w:rPr>
        <w:t xml:space="preserve">, MT savings are Total Market minus Natural Market Baseline.  </w:t>
      </w:r>
    </w:p>
    <w:p w14:paraId="287E8887" w14:textId="364AB5C3" w:rsidR="00AD55EA" w:rsidRPr="007A59E6" w:rsidRDefault="00AD55EA" w:rsidP="00AD55EA">
      <w:pPr>
        <w:rPr>
          <w:rFonts w:cstheme="minorHAnsi"/>
          <w:i/>
          <w:iCs/>
        </w:rPr>
      </w:pPr>
      <w:r w:rsidRPr="007A59E6">
        <w:rPr>
          <w:rFonts w:cstheme="minorHAnsi"/>
          <w:i/>
          <w:iCs/>
        </w:rPr>
        <w:t>To avoid double counting with RA programs, the default approach is to subtract all non-Market Transformation verified savings within the same market being targeted by the MT initiative from the MT savings calculated in previous sections.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1B173773" w14:textId="77777777" w:rsidR="00512FE1" w:rsidRPr="007A59E6" w:rsidRDefault="00512FE1" w:rsidP="00AD55EA">
      <w:pPr>
        <w:rPr>
          <w:rFonts w:cstheme="minorHAnsi"/>
          <w:i/>
          <w:iCs/>
        </w:rPr>
      </w:pPr>
    </w:p>
    <w:p w14:paraId="0AE09350" w14:textId="77777777" w:rsidR="00AD55EA" w:rsidRPr="007A59E6" w:rsidRDefault="00AD55EA" w:rsidP="00AD55EA">
      <w:pPr>
        <w:pStyle w:val="Captions"/>
        <w:rPr>
          <w:i/>
          <w:iCs/>
        </w:rPr>
      </w:pPr>
      <w:bookmarkStart w:id="3" w:name="_Toc17815838"/>
      <w:r w:rsidRPr="007A59E6">
        <w:rPr>
          <w:i/>
          <w:iCs/>
        </w:rPr>
        <w:lastRenderedPageBreak/>
        <w:t>Figure 2-2:  Accounting for RA and MT Program Savings</w:t>
      </w:r>
      <w:bookmarkEnd w:id="3"/>
      <w:r w:rsidRPr="007A59E6">
        <w:rPr>
          <w:i/>
          <w:iCs/>
        </w:rPr>
        <w:t xml:space="preserve"> </w:t>
      </w:r>
    </w:p>
    <w:p w14:paraId="64802C37" w14:textId="77777777" w:rsidR="00AD55EA" w:rsidRPr="007A59E6" w:rsidRDefault="00AD55EA" w:rsidP="00AD55EA">
      <w:pPr>
        <w:jc w:val="center"/>
        <w:rPr>
          <w:rFonts w:cstheme="minorHAnsi"/>
          <w:i/>
          <w:iCs/>
        </w:rPr>
      </w:pPr>
      <w:r w:rsidRPr="007A59E6">
        <w:rPr>
          <w:rFonts w:cstheme="minorHAnsi"/>
          <w:i/>
          <w:iCs/>
          <w:noProof/>
        </w:rPr>
        <w:drawing>
          <wp:inline distT="0" distB="0" distL="0" distR="0" wp14:anchorId="02083E35" wp14:editId="114739F1">
            <wp:extent cx="5029200" cy="2828925"/>
            <wp:effectExtent l="0" t="0" r="0" b="3175"/>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75A8140C" w14:textId="77777777" w:rsidR="00AD55EA" w:rsidRPr="007A59E6" w:rsidRDefault="00AD55EA" w:rsidP="00AD55EA">
      <w:pPr>
        <w:rPr>
          <w:rFonts w:cstheme="minorHAnsi"/>
          <w:i/>
          <w:iCs/>
        </w:rPr>
      </w:pPr>
      <w:r w:rsidRPr="007A59E6">
        <w:rPr>
          <w:rFonts w:cstheme="minorHAnsi"/>
          <w:i/>
          <w:iCs/>
        </w:rPr>
        <w:t xml:space="preserve">A key benefit of netting out all RA claimed savings is that it allows for a straightforward assertion that “all savings counted through the RA program have been removed from the MT initiative savings”.  This simple statement may satisfy the needs of regulators and stakeholders without requiring further detail on the differences between the RA and MT frameworks. </w:t>
      </w:r>
    </w:p>
    <w:p w14:paraId="3588479F" w14:textId="77777777" w:rsidR="00BB2DF6" w:rsidRPr="007A59E6" w:rsidRDefault="00AD55EA" w:rsidP="00AD55EA">
      <w:pPr>
        <w:rPr>
          <w:rFonts w:cstheme="minorHAnsi"/>
          <w:i/>
          <w:iCs/>
        </w:rPr>
      </w:pPr>
      <w:r w:rsidRPr="007A59E6">
        <w:rPr>
          <w:rFonts w:cstheme="minorHAnsi"/>
          <w:i/>
          <w:iCs/>
        </w:rPr>
        <w:t>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w:t>
      </w:r>
      <w:r w:rsidR="00263737" w:rsidRPr="007A59E6">
        <w:rPr>
          <w:rFonts w:cstheme="minorHAnsi"/>
          <w:i/>
          <w:iCs/>
        </w:rPr>
        <w:t>”</w:t>
      </w:r>
      <w:r w:rsidRPr="007A59E6">
        <w:rPr>
          <w:rFonts w:cstheme="minorHAnsi"/>
          <w:i/>
          <w:iCs/>
        </w:rPr>
        <w:t xml:space="preserve"> </w:t>
      </w:r>
    </w:p>
    <w:p w14:paraId="7B671EAD" w14:textId="5F69E88B" w:rsidR="00BB2DF6" w:rsidRDefault="00BB2DF6" w:rsidP="00AD55EA">
      <w:pPr>
        <w:rPr>
          <w:rFonts w:cstheme="minorHAnsi"/>
        </w:rPr>
      </w:pPr>
      <w:r>
        <w:rPr>
          <w:rFonts w:cstheme="minorHAnsi"/>
        </w:rPr>
        <w:t xml:space="preserve">In summary, Option 1 as described here from the IL TRM derives savings using </w:t>
      </w:r>
      <w:r w:rsidR="007A59E6">
        <w:rPr>
          <w:rFonts w:cstheme="minorHAnsi"/>
        </w:rPr>
        <w:t>the following</w:t>
      </w:r>
      <w:r>
        <w:rPr>
          <w:rFonts w:cstheme="minorHAnsi"/>
        </w:rPr>
        <w:t xml:space="preserve"> equation, unless another method is proposed by the evaluator:</w:t>
      </w:r>
    </w:p>
    <w:p w14:paraId="4C15F942" w14:textId="69B10996" w:rsidR="00AD55EA" w:rsidRDefault="00863C7A" w:rsidP="00AD55EA">
      <w:pPr>
        <w:rPr>
          <w:rFonts w:cstheme="minorHAnsi"/>
        </w:rPr>
      </w:pPr>
      <w:r w:rsidRPr="00A70680">
        <w:rPr>
          <w:b/>
          <w:i/>
        </w:rPr>
        <w:t xml:space="preserve">MT Energy Savings </w:t>
      </w:r>
      <w:r>
        <w:rPr>
          <w:b/>
          <w:i/>
        </w:rPr>
        <w:t>Adjusted for</w:t>
      </w:r>
      <w:r w:rsidRPr="00A70680">
        <w:rPr>
          <w:b/>
          <w:i/>
        </w:rPr>
        <w:t xml:space="preserve"> RA </w:t>
      </w:r>
      <w:r>
        <w:rPr>
          <w:b/>
          <w:i/>
        </w:rPr>
        <w:t xml:space="preserve">= </w:t>
      </w:r>
      <w:r w:rsidR="00BB2DF6">
        <w:rPr>
          <w:rFonts w:cstheme="minorHAnsi"/>
          <w:b/>
          <w:bCs/>
          <w:i/>
          <w:iCs/>
        </w:rPr>
        <w:t xml:space="preserve">[(Total Market Units-Natural Market </w:t>
      </w:r>
      <w:proofErr w:type="gramStart"/>
      <w:r w:rsidR="00BB2DF6">
        <w:rPr>
          <w:rFonts w:cstheme="minorHAnsi"/>
          <w:b/>
          <w:bCs/>
          <w:i/>
          <w:iCs/>
        </w:rPr>
        <w:t>Baseline)*</w:t>
      </w:r>
      <w:proofErr w:type="gramEnd"/>
      <w:r w:rsidR="00BB2DF6">
        <w:rPr>
          <w:rFonts w:cstheme="minorHAnsi"/>
          <w:b/>
          <w:bCs/>
          <w:i/>
          <w:iCs/>
        </w:rPr>
        <w:t>Savings per unit]</w:t>
      </w:r>
      <w:r w:rsidR="00AD55EA" w:rsidRPr="005F75ED">
        <w:rPr>
          <w:rFonts w:cstheme="minorHAnsi"/>
        </w:rPr>
        <w:t xml:space="preserve"> </w:t>
      </w:r>
      <w:r w:rsidR="00BB2DF6">
        <w:rPr>
          <w:rFonts w:cstheme="minorHAnsi"/>
        </w:rPr>
        <w:t xml:space="preserve">– </w:t>
      </w:r>
      <w:r>
        <w:rPr>
          <w:rFonts w:cstheme="minorHAnsi"/>
          <w:b/>
          <w:bCs/>
          <w:i/>
          <w:iCs/>
        </w:rPr>
        <w:t>V</w:t>
      </w:r>
      <w:r w:rsidR="00BB2DF6">
        <w:rPr>
          <w:rFonts w:cstheme="minorHAnsi"/>
          <w:b/>
          <w:bCs/>
          <w:i/>
          <w:iCs/>
        </w:rPr>
        <w:t>erified RA Savings</w:t>
      </w:r>
    </w:p>
    <w:p w14:paraId="6CFBFFA6" w14:textId="3B756BF3" w:rsidR="00BB2DF6" w:rsidRPr="00BB2DF6" w:rsidRDefault="00BB2DF6" w:rsidP="00AD55EA">
      <w:pPr>
        <w:rPr>
          <w:rFonts w:cstheme="minorHAnsi"/>
        </w:rPr>
      </w:pPr>
      <w:r>
        <w:rPr>
          <w:rFonts w:cstheme="minorHAnsi"/>
        </w:rPr>
        <w:t>In this case, “</w:t>
      </w:r>
      <w:r w:rsidR="00863C7A">
        <w:rPr>
          <w:rFonts w:cstheme="minorHAnsi"/>
        </w:rPr>
        <w:t>V</w:t>
      </w:r>
      <w:r>
        <w:rPr>
          <w:rFonts w:cstheme="minorHAnsi"/>
        </w:rPr>
        <w:t>erified</w:t>
      </w:r>
      <w:r w:rsidR="00863C7A">
        <w:rPr>
          <w:rFonts w:cstheme="minorHAnsi"/>
        </w:rPr>
        <w:t xml:space="preserve"> RA Savings</w:t>
      </w:r>
      <w:r>
        <w:rPr>
          <w:rFonts w:cstheme="minorHAnsi"/>
        </w:rPr>
        <w:t>” reflects what is reported to the Illinois Commerce Commission from non-MT activities by the utility</w:t>
      </w:r>
      <w:r w:rsidR="007A59E6">
        <w:rPr>
          <w:rFonts w:cstheme="minorHAnsi"/>
        </w:rPr>
        <w:t xml:space="preserve"> in the targeted market</w:t>
      </w:r>
      <w:r>
        <w:rPr>
          <w:rFonts w:cstheme="minorHAnsi"/>
        </w:rPr>
        <w:t xml:space="preserve">.    </w:t>
      </w:r>
    </w:p>
    <w:p w14:paraId="3434F7D9" w14:textId="31A90571" w:rsidR="00D058DA" w:rsidRPr="00263737" w:rsidRDefault="00036BC4" w:rsidP="00A4750D">
      <w:pPr>
        <w:pStyle w:val="Heading1"/>
        <w:rPr>
          <w:bCs/>
        </w:rPr>
      </w:pPr>
      <w:r>
        <w:rPr>
          <w:bCs/>
        </w:rPr>
        <w:t>1</w:t>
      </w:r>
      <w:r w:rsidR="00C72103" w:rsidRPr="00263737">
        <w:rPr>
          <w:bCs/>
        </w:rPr>
        <w:t>.</w:t>
      </w:r>
      <w:r>
        <w:rPr>
          <w:bCs/>
        </w:rPr>
        <w:t>2</w:t>
      </w:r>
      <w:r w:rsidR="00C72103" w:rsidRPr="00263737">
        <w:rPr>
          <w:bCs/>
        </w:rPr>
        <w:t xml:space="preserve"> </w:t>
      </w:r>
      <w:r w:rsidR="00512FE1">
        <w:rPr>
          <w:bCs/>
        </w:rPr>
        <w:t>A</w:t>
      </w:r>
      <w:r w:rsidR="00512FE1" w:rsidRPr="00C5637A">
        <w:t>ccounting for RA Savings</w:t>
      </w:r>
      <w:r w:rsidR="00512FE1">
        <w:t xml:space="preserve"> – Option 2 (NEEA): </w:t>
      </w:r>
      <w:r w:rsidR="00C72103" w:rsidRPr="00263737">
        <w:rPr>
          <w:bCs/>
        </w:rPr>
        <w:t>Meld the RA and MT Frameworks</w:t>
      </w:r>
    </w:p>
    <w:p w14:paraId="1770B05E" w14:textId="52840524" w:rsidR="00CC21D7" w:rsidRDefault="00DD432A" w:rsidP="00DD432A">
      <w:r>
        <w:t>This method is used by the Northwest</w:t>
      </w:r>
      <w:r w:rsidR="002D77CD">
        <w:t xml:space="preserve"> Energy Efficiency Alliance</w:t>
      </w:r>
      <w:r w:rsidR="00C72103">
        <w:t xml:space="preserve"> and was presented as an option during stakeholder discussions on the IL TRM</w:t>
      </w:r>
      <w:r w:rsidR="007A59E6">
        <w:t xml:space="preserve"> and appears next.</w:t>
      </w:r>
    </w:p>
    <w:p w14:paraId="4C22AA88" w14:textId="0BE8C5F0" w:rsidR="00CC21D7" w:rsidRPr="007A59E6" w:rsidRDefault="00263737" w:rsidP="00DD432A">
      <w:pPr>
        <w:rPr>
          <w:i/>
          <w:iCs/>
        </w:rPr>
      </w:pPr>
      <w:r w:rsidRPr="007A59E6">
        <w:rPr>
          <w:i/>
          <w:iCs/>
        </w:rPr>
        <w:lastRenderedPageBreak/>
        <w:t>“</w:t>
      </w:r>
      <w:r w:rsidR="00DD432A" w:rsidRPr="007A59E6">
        <w:rPr>
          <w:i/>
          <w:iCs/>
        </w:rPr>
        <w:t xml:space="preserve">The starting point for this approach is to determine all gross participant units (e.g. numbers of bulbs, or washers, etc.) counted through the RA program during the counting period.  The gross RA units are then adjusted to </w:t>
      </w:r>
      <w:proofErr w:type="spellStart"/>
      <w:r w:rsidR="00DD432A" w:rsidRPr="007A59E6">
        <w:rPr>
          <w:i/>
          <w:iCs/>
        </w:rPr>
        <w:t>RA</w:t>
      </w:r>
      <w:r w:rsidR="00847065" w:rsidRPr="007A59E6">
        <w:rPr>
          <w:i/>
          <w:iCs/>
          <w:vertAlign w:val="subscript"/>
        </w:rPr>
        <w:t>adjust</w:t>
      </w:r>
      <w:r w:rsidR="001C7CDC" w:rsidRPr="007A59E6">
        <w:rPr>
          <w:i/>
          <w:iCs/>
          <w:vertAlign w:val="subscript"/>
        </w:rPr>
        <w:t>ment</w:t>
      </w:r>
      <w:proofErr w:type="spellEnd"/>
      <w:r w:rsidR="00DD432A" w:rsidRPr="007A59E6">
        <w:rPr>
          <w:i/>
          <w:iCs/>
        </w:rPr>
        <w:t xml:space="preserve"> units by multiplying by</w:t>
      </w:r>
      <w:r w:rsidR="00CC21D7" w:rsidRPr="007A59E6">
        <w:rPr>
          <w:i/>
          <w:iCs/>
        </w:rPr>
        <w:t xml:space="preserve"> </w:t>
      </w:r>
      <w:r w:rsidR="00E33A09" w:rsidRPr="007A59E6">
        <w:rPr>
          <w:i/>
          <w:iCs/>
        </w:rPr>
        <w:t xml:space="preserve">one minus </w:t>
      </w:r>
      <w:r w:rsidR="00DD432A" w:rsidRPr="007A59E6">
        <w:rPr>
          <w:i/>
          <w:iCs/>
        </w:rPr>
        <w:t>the ratio of</w:t>
      </w:r>
      <w:r w:rsidR="00CC21D7" w:rsidRPr="007A59E6">
        <w:rPr>
          <w:i/>
          <w:iCs/>
        </w:rPr>
        <w:t xml:space="preserve"> </w:t>
      </w:r>
      <w:r w:rsidR="00767CEF" w:rsidRPr="007A59E6">
        <w:rPr>
          <w:i/>
          <w:iCs/>
        </w:rPr>
        <w:t xml:space="preserve">Natural Market Baseline Units to </w:t>
      </w:r>
      <w:r w:rsidR="00CC21D7" w:rsidRPr="007A59E6">
        <w:rPr>
          <w:i/>
          <w:iCs/>
        </w:rPr>
        <w:t xml:space="preserve">Total Market Units </w:t>
      </w:r>
      <w:r w:rsidR="00DD432A" w:rsidRPr="007A59E6">
        <w:rPr>
          <w:i/>
          <w:iCs/>
        </w:rPr>
        <w:t xml:space="preserve">for the year in question.  </w:t>
      </w:r>
      <w:r w:rsidR="00847065" w:rsidRPr="007A59E6">
        <w:rPr>
          <w:i/>
          <w:iCs/>
        </w:rPr>
        <w:t xml:space="preserve">This has the effect of </w:t>
      </w:r>
      <w:r w:rsidR="008B00B0" w:rsidRPr="007A59E6">
        <w:rPr>
          <w:i/>
          <w:iCs/>
        </w:rPr>
        <w:t>removing a portion of the Natural Market Baseline from the RA units – which theoretically is ‘what would have happened anyway’.</w:t>
      </w:r>
      <w:r w:rsidR="00876155" w:rsidRPr="007A59E6">
        <w:rPr>
          <w:i/>
          <w:iCs/>
        </w:rPr>
        <w:t xml:space="preserve">  </w:t>
      </w:r>
    </w:p>
    <w:p w14:paraId="5BC81620" w14:textId="23822CC8" w:rsidR="00CC21D7" w:rsidRPr="007A59E6" w:rsidRDefault="00847065" w:rsidP="00DD432A">
      <w:pPr>
        <w:rPr>
          <w:b/>
          <w:i/>
          <w:iCs/>
        </w:rPr>
      </w:pPr>
      <w:proofErr w:type="spellStart"/>
      <w:r w:rsidRPr="007A59E6">
        <w:rPr>
          <w:b/>
          <w:i/>
          <w:iCs/>
        </w:rPr>
        <w:t>RA</w:t>
      </w:r>
      <w:r w:rsidR="00E725B7" w:rsidRPr="007A59E6">
        <w:rPr>
          <w:b/>
          <w:i/>
          <w:iCs/>
          <w:vertAlign w:val="subscript"/>
        </w:rPr>
        <w:t>Adj</w:t>
      </w:r>
      <w:r w:rsidR="00B44890" w:rsidRPr="007A59E6">
        <w:rPr>
          <w:b/>
          <w:i/>
          <w:iCs/>
          <w:vertAlign w:val="subscript"/>
        </w:rPr>
        <w:t>ust</w:t>
      </w:r>
      <w:r w:rsidR="001C7CDC" w:rsidRPr="007A59E6">
        <w:rPr>
          <w:b/>
          <w:i/>
          <w:iCs/>
          <w:vertAlign w:val="subscript"/>
        </w:rPr>
        <w:t>ment</w:t>
      </w:r>
      <w:proofErr w:type="spellEnd"/>
      <w:r w:rsidRPr="007A59E6">
        <w:rPr>
          <w:b/>
          <w:i/>
          <w:iCs/>
        </w:rPr>
        <w:t xml:space="preserve"> Units = Gross RA Units *</w:t>
      </w:r>
      <w:r w:rsidR="001B0EF4" w:rsidRPr="007A59E6">
        <w:rPr>
          <w:b/>
          <w:i/>
          <w:iCs/>
        </w:rPr>
        <w:t xml:space="preserve"> [1-</w:t>
      </w:r>
      <w:r w:rsidRPr="007A59E6">
        <w:rPr>
          <w:b/>
          <w:i/>
          <w:iCs/>
        </w:rPr>
        <w:t xml:space="preserve"> (</w:t>
      </w:r>
      <w:r w:rsidR="008B00B0" w:rsidRPr="007A59E6">
        <w:rPr>
          <w:b/>
          <w:i/>
          <w:iCs/>
        </w:rPr>
        <w:t>Natural Baseline</w:t>
      </w:r>
      <w:r w:rsidRPr="007A59E6">
        <w:rPr>
          <w:b/>
          <w:i/>
          <w:iCs/>
        </w:rPr>
        <w:t xml:space="preserve"> Units/</w:t>
      </w:r>
      <w:r w:rsidR="008B00B0" w:rsidRPr="007A59E6">
        <w:rPr>
          <w:b/>
          <w:i/>
          <w:iCs/>
        </w:rPr>
        <w:t>Total Market</w:t>
      </w:r>
      <w:r w:rsidRPr="007A59E6">
        <w:rPr>
          <w:b/>
          <w:i/>
          <w:iCs/>
        </w:rPr>
        <w:t xml:space="preserve"> Units)</w:t>
      </w:r>
      <w:r w:rsidR="008B00B0" w:rsidRPr="007A59E6">
        <w:rPr>
          <w:b/>
          <w:i/>
          <w:iCs/>
        </w:rPr>
        <w:t>]</w:t>
      </w:r>
    </w:p>
    <w:p w14:paraId="0BC385BA" w14:textId="1A680F66" w:rsidR="00847065" w:rsidRPr="007A59E6" w:rsidRDefault="00DD432A" w:rsidP="00DD432A">
      <w:pPr>
        <w:rPr>
          <w:i/>
          <w:iCs/>
        </w:rPr>
      </w:pPr>
      <w:r w:rsidRPr="007A59E6">
        <w:rPr>
          <w:i/>
          <w:iCs/>
        </w:rPr>
        <w:t xml:space="preserve">These </w:t>
      </w:r>
      <w:r w:rsidR="00847065" w:rsidRPr="007A59E6">
        <w:rPr>
          <w:i/>
          <w:iCs/>
        </w:rPr>
        <w:t xml:space="preserve">adjusted </w:t>
      </w:r>
      <w:r w:rsidRPr="007A59E6">
        <w:rPr>
          <w:i/>
          <w:iCs/>
        </w:rPr>
        <w:t>RA units are then subtracted from the MT units to establish MT units</w:t>
      </w:r>
      <w:r w:rsidRPr="007A59E6" w:rsidDel="00B55008">
        <w:rPr>
          <w:i/>
          <w:iCs/>
        </w:rPr>
        <w:t xml:space="preserve"> </w:t>
      </w:r>
      <w:r w:rsidR="00847065" w:rsidRPr="007A59E6">
        <w:rPr>
          <w:i/>
          <w:iCs/>
        </w:rPr>
        <w:t xml:space="preserve">adjusted for </w:t>
      </w:r>
      <w:r w:rsidRPr="007A59E6">
        <w:rPr>
          <w:i/>
          <w:iCs/>
        </w:rPr>
        <w:t xml:space="preserve">RA units.  </w:t>
      </w:r>
    </w:p>
    <w:p w14:paraId="6DF4D8BB" w14:textId="35400723" w:rsidR="00847065" w:rsidRPr="007A59E6" w:rsidRDefault="00847065" w:rsidP="00A70680">
      <w:pPr>
        <w:spacing w:after="60"/>
        <w:rPr>
          <w:b/>
          <w:i/>
          <w:iCs/>
        </w:rPr>
      </w:pPr>
      <w:r w:rsidRPr="007A59E6">
        <w:rPr>
          <w:b/>
          <w:i/>
          <w:iCs/>
        </w:rPr>
        <w:t xml:space="preserve">MT </w:t>
      </w:r>
      <w:proofErr w:type="spellStart"/>
      <w:r w:rsidRPr="007A59E6">
        <w:rPr>
          <w:b/>
          <w:i/>
          <w:iCs/>
        </w:rPr>
        <w:t>Units</w:t>
      </w:r>
      <w:r w:rsidRPr="007A59E6">
        <w:rPr>
          <w:b/>
          <w:i/>
          <w:iCs/>
          <w:vertAlign w:val="subscript"/>
        </w:rPr>
        <w:t>adjust</w:t>
      </w:r>
      <w:r w:rsidR="001C7CDC" w:rsidRPr="007A59E6">
        <w:rPr>
          <w:b/>
          <w:i/>
          <w:iCs/>
          <w:vertAlign w:val="subscript"/>
        </w:rPr>
        <w:t>edRA</w:t>
      </w:r>
      <w:proofErr w:type="spellEnd"/>
      <w:r w:rsidRPr="007A59E6">
        <w:rPr>
          <w:b/>
          <w:i/>
          <w:iCs/>
        </w:rPr>
        <w:t xml:space="preserve"> = MT Units - </w:t>
      </w:r>
      <w:proofErr w:type="spellStart"/>
      <w:r w:rsidRPr="007A59E6">
        <w:rPr>
          <w:b/>
          <w:i/>
          <w:iCs/>
        </w:rPr>
        <w:t>RA</w:t>
      </w:r>
      <w:r w:rsidRPr="007A59E6">
        <w:rPr>
          <w:b/>
          <w:i/>
          <w:iCs/>
          <w:vertAlign w:val="subscript"/>
        </w:rPr>
        <w:t>adjust</w:t>
      </w:r>
      <w:r w:rsidR="001C7CDC" w:rsidRPr="007A59E6">
        <w:rPr>
          <w:b/>
          <w:i/>
          <w:iCs/>
          <w:vertAlign w:val="subscript"/>
        </w:rPr>
        <w:t>ment</w:t>
      </w:r>
      <w:proofErr w:type="spellEnd"/>
      <w:r w:rsidRPr="007A59E6">
        <w:rPr>
          <w:b/>
          <w:i/>
          <w:iCs/>
        </w:rPr>
        <w:t xml:space="preserve"> Units;</w:t>
      </w:r>
    </w:p>
    <w:p w14:paraId="0D1E8F38" w14:textId="6FD35F2B" w:rsidR="00847065" w:rsidRPr="007A59E6" w:rsidRDefault="00847065" w:rsidP="00A70680">
      <w:pPr>
        <w:spacing w:after="60"/>
        <w:ind w:left="720"/>
        <w:rPr>
          <w:i/>
          <w:iCs/>
        </w:rPr>
      </w:pPr>
      <w:r w:rsidRPr="007A59E6">
        <w:rPr>
          <w:i/>
          <w:iCs/>
        </w:rPr>
        <w:t>Where</w:t>
      </w:r>
      <w:r w:rsidR="00217C76" w:rsidRPr="007A59E6">
        <w:rPr>
          <w:i/>
          <w:iCs/>
        </w:rPr>
        <w:t>:</w:t>
      </w:r>
    </w:p>
    <w:p w14:paraId="3EAB152B" w14:textId="29491E8F" w:rsidR="00847065" w:rsidRPr="007A59E6" w:rsidRDefault="008B00B0" w:rsidP="00A70680">
      <w:pPr>
        <w:ind w:left="1440"/>
        <w:rPr>
          <w:i/>
          <w:iCs/>
        </w:rPr>
      </w:pPr>
      <w:r w:rsidRPr="007A59E6">
        <w:rPr>
          <w:b/>
          <w:i/>
          <w:iCs/>
        </w:rPr>
        <w:t xml:space="preserve">MT Units </w:t>
      </w:r>
      <w:r w:rsidR="00847065" w:rsidRPr="007A59E6">
        <w:rPr>
          <w:i/>
          <w:iCs/>
        </w:rPr>
        <w:t>= Total Market Units – Natural Market Baseline Units</w:t>
      </w:r>
    </w:p>
    <w:p w14:paraId="47920886" w14:textId="651C294B" w:rsidR="00DD432A" w:rsidRPr="007A59E6" w:rsidRDefault="00DD432A" w:rsidP="00DD432A">
      <w:pPr>
        <w:rPr>
          <w:i/>
          <w:iCs/>
        </w:rPr>
      </w:pPr>
      <w:r w:rsidRPr="007A59E6">
        <w:rPr>
          <w:i/>
          <w:iCs/>
        </w:rPr>
        <w:t xml:space="preserve">These </w:t>
      </w:r>
      <w:r w:rsidR="001C7CDC" w:rsidRPr="007A59E6">
        <w:rPr>
          <w:i/>
          <w:iCs/>
        </w:rPr>
        <w:t>RA-</w:t>
      </w:r>
      <w:r w:rsidR="00133294" w:rsidRPr="007A59E6">
        <w:rPr>
          <w:i/>
          <w:iCs/>
        </w:rPr>
        <w:t xml:space="preserve">adjusted </w:t>
      </w:r>
      <w:r w:rsidRPr="007A59E6">
        <w:rPr>
          <w:i/>
          <w:iCs/>
        </w:rPr>
        <w:t>MT units</w:t>
      </w:r>
      <w:r w:rsidR="001C7CDC" w:rsidRPr="007A59E6">
        <w:rPr>
          <w:i/>
          <w:iCs/>
        </w:rPr>
        <w:t xml:space="preserve"> </w:t>
      </w:r>
      <w:r w:rsidRPr="007A59E6">
        <w:rPr>
          <w:i/>
          <w:iCs/>
        </w:rPr>
        <w:t>are then multiplied by the MT unit energy savings (UES) to determine reportable Market Transformation</w:t>
      </w:r>
      <w:r w:rsidR="00133294" w:rsidRPr="007A59E6">
        <w:rPr>
          <w:i/>
          <w:iCs/>
        </w:rPr>
        <w:t xml:space="preserve"> savings</w:t>
      </w:r>
      <w:r w:rsidRPr="007A59E6">
        <w:rPr>
          <w:i/>
          <w:iCs/>
        </w:rPr>
        <w:t xml:space="preserve"> net of RA energy savings.  This procedure can be represented by the following equation:</w:t>
      </w:r>
    </w:p>
    <w:p w14:paraId="52F5BE3F" w14:textId="6564475B" w:rsidR="00DD432A" w:rsidRPr="007A59E6" w:rsidRDefault="00876155" w:rsidP="00A70680">
      <w:pPr>
        <w:pStyle w:val="ListParagraph"/>
        <w:spacing w:after="0"/>
        <w:rPr>
          <w:i/>
          <w:iCs/>
        </w:rPr>
      </w:pPr>
      <w:r w:rsidRPr="007A59E6">
        <w:rPr>
          <w:i/>
          <w:iCs/>
        </w:rPr>
        <w:t xml:space="preserve">Where </w:t>
      </w:r>
      <w:r w:rsidRPr="007A59E6">
        <w:rPr>
          <w:b/>
          <w:i/>
          <w:iCs/>
        </w:rPr>
        <w:t>UES</w:t>
      </w:r>
      <w:r w:rsidRPr="007A59E6">
        <w:rPr>
          <w:b/>
          <w:i/>
          <w:iCs/>
          <w:vertAlign w:val="subscript"/>
        </w:rPr>
        <w:t>MT</w:t>
      </w:r>
      <w:r w:rsidRPr="007A59E6" w:rsidDel="00876155">
        <w:rPr>
          <w:i/>
          <w:iCs/>
        </w:rPr>
        <w:t xml:space="preserve"> </w:t>
      </w:r>
      <w:r w:rsidR="00DD432A" w:rsidRPr="007A59E6">
        <w:rPr>
          <w:i/>
          <w:iCs/>
        </w:rPr>
        <w:t>= Unit Energy Savings for the MT initiative</w:t>
      </w:r>
      <w:r w:rsidR="003E67E9" w:rsidRPr="007A59E6">
        <w:rPr>
          <w:rStyle w:val="FootnoteReference"/>
          <w:i/>
          <w:iCs/>
        </w:rPr>
        <w:footnoteReference w:id="2"/>
      </w:r>
      <w:r w:rsidR="00CC21D7" w:rsidRPr="007A59E6">
        <w:rPr>
          <w:i/>
          <w:iCs/>
        </w:rPr>
        <w:t xml:space="preserve">  </w:t>
      </w:r>
    </w:p>
    <w:p w14:paraId="60289912" w14:textId="77777777" w:rsidR="00217C76" w:rsidRPr="007A59E6" w:rsidRDefault="00217C76" w:rsidP="00DD432A">
      <w:pPr>
        <w:rPr>
          <w:i/>
          <w:iCs/>
        </w:rPr>
      </w:pPr>
    </w:p>
    <w:p w14:paraId="38367778" w14:textId="54C2ECB1" w:rsidR="00DD432A" w:rsidRPr="007A59E6" w:rsidRDefault="00DD432A" w:rsidP="00DD432A">
      <w:pPr>
        <w:rPr>
          <w:i/>
          <w:iCs/>
        </w:rPr>
      </w:pPr>
      <w:r w:rsidRPr="007A59E6">
        <w:rPr>
          <w:i/>
          <w:iCs/>
        </w:rPr>
        <w:t xml:space="preserve">In this option, </w:t>
      </w:r>
      <w:r w:rsidR="00767CEF" w:rsidRPr="007A59E6">
        <w:rPr>
          <w:i/>
          <w:iCs/>
        </w:rPr>
        <w:t xml:space="preserve">some </w:t>
      </w:r>
      <w:r w:rsidRPr="007A59E6">
        <w:rPr>
          <w:i/>
          <w:iCs/>
        </w:rPr>
        <w:t xml:space="preserve">spillover units from the RA program are assumed to be part of the </w:t>
      </w:r>
      <w:proofErr w:type="gramStart"/>
      <w:r w:rsidR="00217C76" w:rsidRPr="007A59E6">
        <w:rPr>
          <w:i/>
          <w:iCs/>
        </w:rPr>
        <w:t xml:space="preserve">Adjusted  </w:t>
      </w:r>
      <w:r w:rsidRPr="007A59E6">
        <w:rPr>
          <w:i/>
          <w:iCs/>
        </w:rPr>
        <w:t>MT</w:t>
      </w:r>
      <w:proofErr w:type="gramEnd"/>
      <w:r w:rsidRPr="007A59E6">
        <w:rPr>
          <w:i/>
          <w:iCs/>
        </w:rPr>
        <w:t xml:space="preserve"> units</w:t>
      </w:r>
      <w:r w:rsidR="00217C76" w:rsidRPr="007A59E6">
        <w:rPr>
          <w:i/>
          <w:iCs/>
        </w:rPr>
        <w:t>.</w:t>
      </w:r>
      <w:r w:rsidRPr="007A59E6">
        <w:rPr>
          <w:i/>
          <w:iCs/>
        </w:rPr>
        <w:t xml:space="preserve"> The philosophical justification for </w:t>
      </w:r>
      <w:r w:rsidR="001C7CDC" w:rsidRPr="007A59E6">
        <w:rPr>
          <w:i/>
          <w:iCs/>
        </w:rPr>
        <w:t xml:space="preserve">melding the RA and MT frameworks </w:t>
      </w:r>
      <w:r w:rsidRPr="007A59E6">
        <w:rPr>
          <w:i/>
          <w:iCs/>
        </w:rPr>
        <w:t xml:space="preserve">is grounded in encouraging cooperation and joint operation between MT and RA programs to maximize combined savings above the Natural Market Baseline.  </w:t>
      </w:r>
      <w:r w:rsidR="00876155" w:rsidRPr="007A59E6">
        <w:rPr>
          <w:i/>
          <w:iCs/>
        </w:rPr>
        <w:t xml:space="preserve">There is no attribution statement about whether the RA or MT activities caused the spillover.  </w:t>
      </w:r>
    </w:p>
    <w:p w14:paraId="1C921AA0" w14:textId="3C429804" w:rsidR="00DD432A" w:rsidRPr="007A59E6" w:rsidRDefault="00DD432A" w:rsidP="00DD432A">
      <w:pPr>
        <w:rPr>
          <w:i/>
          <w:iCs/>
        </w:rPr>
      </w:pPr>
      <w:r w:rsidRPr="007A59E6">
        <w:rPr>
          <w:i/>
          <w:iCs/>
        </w:rPr>
        <w:t>Note that th</w:t>
      </w:r>
      <w:r w:rsidR="00217C76" w:rsidRPr="007A59E6">
        <w:rPr>
          <w:i/>
          <w:iCs/>
        </w:rPr>
        <w:t xml:space="preserve">is melded RA/MT </w:t>
      </w:r>
      <w:r w:rsidRPr="007A59E6">
        <w:rPr>
          <w:i/>
          <w:iCs/>
        </w:rPr>
        <w:t>approach does not attempt to fully reconcile traditional methods for adjustments in the RA methodology for free ridership and spillover in the RA program.  The process to get to net RA units above Natural Market Baseline is not the same method as a traditional RA net-to-gross ratio, even though it is conceptually similar in intent.</w:t>
      </w:r>
      <w:r w:rsidR="00512FE1" w:rsidRPr="007A59E6">
        <w:rPr>
          <w:i/>
          <w:iCs/>
        </w:rPr>
        <w:t>”</w:t>
      </w:r>
      <w:r w:rsidRPr="007A59E6">
        <w:rPr>
          <w:i/>
          <w:iCs/>
        </w:rPr>
        <w:t xml:space="preserve">  </w:t>
      </w:r>
    </w:p>
    <w:p w14:paraId="61CEB4BB" w14:textId="60B44F46" w:rsidR="00036BC4" w:rsidRPr="00036BC4" w:rsidRDefault="00036BC4" w:rsidP="00A4750D">
      <w:pPr>
        <w:pStyle w:val="Heading1"/>
      </w:pPr>
      <w:proofErr w:type="gramStart"/>
      <w:r w:rsidRPr="00036BC4">
        <w:t>2.0  How</w:t>
      </w:r>
      <w:proofErr w:type="gramEnd"/>
      <w:r w:rsidRPr="00036BC4">
        <w:t xml:space="preserve"> Codes and Standards Savings are treated in the IL TRM for MT</w:t>
      </w:r>
    </w:p>
    <w:p w14:paraId="0052265F" w14:textId="319B9544" w:rsidR="00036BC4" w:rsidRDefault="00794F30" w:rsidP="00DD432A">
      <w:r>
        <w:t>In the CPUC’s decision on MT, Conclusions of Law #28 states:  “the benefits and costs of activities related to codes and standards development should be included in the cost-effectiveness calculations for MTIs where they are logically related.”</w:t>
      </w:r>
      <w:r>
        <w:rPr>
          <w:rStyle w:val="FootnoteReference"/>
        </w:rPr>
        <w:footnoteReference w:id="3"/>
      </w:r>
      <w:r>
        <w:t xml:space="preserve">  While this specifically addresses cost-</w:t>
      </w:r>
      <w:r>
        <w:lastRenderedPageBreak/>
        <w:t xml:space="preserve">effectiveness calculations, </w:t>
      </w:r>
      <w:r w:rsidR="007647CF">
        <w:t xml:space="preserve">in other locales the savings from C&amp;S </w:t>
      </w:r>
      <w:r w:rsidR="007A59E6">
        <w:t>can be</w:t>
      </w:r>
      <w:r w:rsidR="007647CF">
        <w:t xml:space="preserve"> counted under the MT umbrella.  For example, the following is </w:t>
      </w:r>
      <w:r w:rsidR="00036BC4">
        <w:t>an excerpt from the IL TRM:</w:t>
      </w:r>
    </w:p>
    <w:p w14:paraId="1BF08B32" w14:textId="04CBAD47" w:rsidR="00036BC4" w:rsidRPr="007A59E6" w:rsidRDefault="00036BC4" w:rsidP="00036BC4">
      <w:pPr>
        <w:rPr>
          <w:rFonts w:cstheme="minorHAnsi"/>
          <w:i/>
          <w:iCs/>
        </w:rPr>
      </w:pPr>
      <w:r w:rsidRPr="007A59E6">
        <w:rPr>
          <w:rFonts w:cstheme="minorHAnsi"/>
          <w:i/>
          <w:iCs/>
        </w:rPr>
        <w:t>“Best practice in MT initiative design will identify applicable codes or standards early on and design interventions over the life of the initiative to accelerate early adoption of more efficient energy codes and standards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sidRPr="007A59E6">
        <w:rPr>
          <w:rStyle w:val="FootnoteReference"/>
          <w:rFonts w:cstheme="minorHAnsi"/>
          <w:i/>
          <w:iCs/>
        </w:rPr>
        <w:footnoteReference w:id="4"/>
      </w:r>
      <w:r w:rsidRPr="007A59E6">
        <w:rPr>
          <w:rFonts w:cstheme="minorHAnsi"/>
          <w:i/>
          <w:iCs/>
        </w:rPr>
        <w:t xml:space="preserve"> are often a significant portion of the energy savings claimed. In California</w:t>
      </w:r>
      <w:r w:rsidRPr="007A59E6">
        <w:rPr>
          <w:rStyle w:val="FootnoteReference"/>
          <w:rFonts w:cstheme="minorHAnsi"/>
          <w:i/>
          <w:iCs/>
        </w:rPr>
        <w:footnoteReference w:id="5"/>
      </w:r>
      <w:r w:rsidRPr="007A59E6">
        <w:rPr>
          <w:rFonts w:cstheme="minorHAnsi"/>
          <w:i/>
          <w:iCs/>
        </w:rPr>
        <w:t xml:space="preserve"> and the Northwest, savings from C&amp;S currently represent significant portions of the energy savings in their energy efficiency program portfolios.</w:t>
      </w:r>
    </w:p>
    <w:p w14:paraId="7618CEFC" w14:textId="77777777" w:rsidR="00036BC4" w:rsidRPr="007A59E6" w:rsidRDefault="00036BC4" w:rsidP="00036BC4">
      <w:pPr>
        <w:rPr>
          <w:rFonts w:cstheme="minorHAnsi"/>
          <w:i/>
          <w:iCs/>
        </w:rPr>
      </w:pPr>
      <w:r w:rsidRPr="007A59E6">
        <w:rPr>
          <w:rFonts w:cstheme="minorHAnsi"/>
          <w:i/>
          <w:iCs/>
        </w:rPr>
        <w:t>Illinois does not yet count savings from energy codes or increased compliance, but as of this writing is discussing possible activities to influence energy code compliance and potential adoption of higher efficiency levels in energy codes and standards. This Attachment describes savings estimates from energy codes adoption</w:t>
      </w:r>
      <w:r w:rsidRPr="007A59E6">
        <w:rPr>
          <w:rStyle w:val="FootnoteReference"/>
          <w:rFonts w:cstheme="minorHAnsi"/>
          <w:i/>
          <w:iCs/>
        </w:rPr>
        <w:footnoteReference w:id="6"/>
      </w:r>
      <w:r w:rsidRPr="007A59E6">
        <w:rPr>
          <w:rFonts w:cstheme="minorHAnsi"/>
          <w:i/>
          <w:iCs/>
        </w:rPr>
        <w:t xml:space="preserve"> because these are often part of MT efforts</w:t>
      </w:r>
      <w:r w:rsidRPr="007A59E6">
        <w:rPr>
          <w:rStyle w:val="FootnoteReference"/>
          <w:rFonts w:cstheme="minorHAnsi"/>
          <w:i/>
          <w:iCs/>
        </w:rPr>
        <w:footnoteReference w:id="7"/>
      </w:r>
      <w:r w:rsidRPr="007A59E6">
        <w:rPr>
          <w:rFonts w:cstheme="minorHAnsi"/>
          <w:i/>
          <w:iCs/>
        </w:rPr>
        <w:t xml:space="preserve"> and energy code compliance enhancement activities because they increase the effectiveness of the codes.    </w:t>
      </w:r>
    </w:p>
    <w:p w14:paraId="30C980E0" w14:textId="77777777" w:rsidR="00036BC4" w:rsidRPr="007A59E6" w:rsidRDefault="00036BC4" w:rsidP="00036BC4">
      <w:pPr>
        <w:rPr>
          <w:rFonts w:cstheme="minorHAnsi"/>
          <w:i/>
          <w:iCs/>
        </w:rPr>
      </w:pPr>
      <w:r w:rsidRPr="007A59E6">
        <w:rPr>
          <w:rFonts w:cstheme="minorHAnsi"/>
          <w:i/>
          <w:iCs/>
        </w:rPr>
        <w:t>Figure 4</w:t>
      </w:r>
      <w:r w:rsidRPr="007A59E6">
        <w:rPr>
          <w:rStyle w:val="FootnoteReference"/>
          <w:rFonts w:cstheme="minorHAnsi"/>
          <w:i/>
          <w:iCs/>
        </w:rPr>
        <w:footnoteReference w:id="8"/>
      </w:r>
      <w:r w:rsidRPr="007A59E6">
        <w:rPr>
          <w:rFonts w:cstheme="minorHAnsi"/>
          <w:i/>
          <w:iCs/>
        </w:rPr>
        <w:t xml:space="preserve"> depicts the course of an MT initiative with an emphasis on the portion that effects energy codes</w:t>
      </w:r>
      <w:r w:rsidRPr="007A59E6">
        <w:rPr>
          <w:rStyle w:val="FootnoteReference"/>
          <w:rFonts w:cstheme="minorHAnsi"/>
          <w:i/>
          <w:iCs/>
        </w:rPr>
        <w:footnoteReference w:id="9"/>
      </w:r>
      <w:r w:rsidRPr="007A59E6">
        <w:rPr>
          <w:rFonts w:cstheme="minorHAnsi"/>
          <w:i/>
          <w:iCs/>
        </w:rPr>
        <w:t xml:space="preserve">. This figure depicts a market where the natural market baseline does not have a regular code adoption cycle, but if that is the practice for the market being analyzed, anticipated energy code adoptions and their efficiency level would be included in the baseline.   Area A represents the savings that accrue to activities in an MT initiative that prepare the market before C&amp;S adoption and can include the wide variety of activities that are shown in Figure 1.   Area B represents the savings following adoption of a new C&amp;S.  There are many activities that could be sponsored by </w:t>
      </w:r>
      <w:r w:rsidRPr="007A59E6">
        <w:rPr>
          <w:rFonts w:cstheme="minorHAnsi"/>
          <w:i/>
          <w:iCs/>
        </w:rPr>
        <w:lastRenderedPageBreak/>
        <w:t xml:space="preserve">utilities at the point of adopting a code or standard (just before the “code effective” vertical line).   Some examples include developing model C&amp;S language, providing technical and economic analysis and support, or submittal of C&amp;S proposals. </w:t>
      </w:r>
    </w:p>
    <w:p w14:paraId="3D61D76F" w14:textId="77777777" w:rsidR="00036BC4" w:rsidRPr="007A59E6" w:rsidRDefault="00036BC4" w:rsidP="00036BC4">
      <w:pPr>
        <w:keepNext/>
        <w:jc w:val="center"/>
        <w:rPr>
          <w:rFonts w:cstheme="minorHAnsi"/>
          <w:b/>
          <w:i/>
          <w:iCs/>
        </w:rPr>
      </w:pPr>
      <w:r w:rsidRPr="007A59E6">
        <w:rPr>
          <w:rFonts w:cstheme="minorHAnsi"/>
          <w:b/>
          <w:i/>
          <w:iCs/>
        </w:rPr>
        <w:t>Figure 4:  The Effect of Energy Code Adoption</w:t>
      </w:r>
    </w:p>
    <w:p w14:paraId="6D9290CB" w14:textId="77777777" w:rsidR="00036BC4" w:rsidRPr="007A59E6" w:rsidRDefault="00036BC4" w:rsidP="00036BC4">
      <w:pPr>
        <w:keepNext/>
        <w:jc w:val="center"/>
        <w:rPr>
          <w:rFonts w:cstheme="minorHAnsi"/>
          <w:b/>
          <w:i/>
          <w:iCs/>
        </w:rPr>
      </w:pPr>
      <w:r w:rsidRPr="007A59E6">
        <w:rPr>
          <w:rFonts w:cstheme="minorHAnsi"/>
          <w:i/>
          <w:iCs/>
          <w:noProof/>
        </w:rPr>
        <w:drawing>
          <wp:inline distT="0" distB="0" distL="0" distR="0" wp14:anchorId="30D0D806" wp14:editId="4BFE971E">
            <wp:extent cx="4110824" cy="2312338"/>
            <wp:effectExtent l="0" t="0" r="444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280" cy="2341282"/>
                    </a:xfrm>
                    <a:prstGeom prst="rect">
                      <a:avLst/>
                    </a:prstGeom>
                    <a:noFill/>
                    <a:ln>
                      <a:noFill/>
                    </a:ln>
                  </pic:spPr>
                </pic:pic>
              </a:graphicData>
            </a:graphic>
          </wp:inline>
        </w:drawing>
      </w:r>
    </w:p>
    <w:p w14:paraId="2AC9A2ED" w14:textId="77777777" w:rsidR="00036BC4" w:rsidRPr="007A59E6" w:rsidRDefault="00036BC4" w:rsidP="00036BC4">
      <w:pPr>
        <w:jc w:val="center"/>
        <w:rPr>
          <w:rFonts w:eastAsia="Calibri" w:cstheme="minorHAnsi"/>
          <w:i/>
          <w:iCs/>
          <w:noProof/>
        </w:rPr>
      </w:pPr>
      <w:r w:rsidRPr="007A59E6">
        <w:rPr>
          <w:rFonts w:eastAsia="Calibri" w:cstheme="minorHAnsi"/>
          <w:i/>
          <w:iCs/>
        </w:rPr>
        <w:t xml:space="preserve"> </w:t>
      </w:r>
    </w:p>
    <w:p w14:paraId="147C1639" w14:textId="77777777" w:rsidR="00036BC4" w:rsidRPr="007A59E6" w:rsidRDefault="00036BC4" w:rsidP="00036BC4">
      <w:pPr>
        <w:rPr>
          <w:rFonts w:cstheme="minorHAnsi"/>
          <w:i/>
          <w:iCs/>
        </w:rPr>
      </w:pPr>
      <w:r w:rsidRPr="007A59E6">
        <w:rPr>
          <w:rFonts w:cstheme="minorHAnsi"/>
          <w:i/>
          <w:iCs/>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776D3E0E" w14:textId="77777777" w:rsidR="00036BC4" w:rsidRPr="007A59E6" w:rsidRDefault="00036BC4" w:rsidP="00036BC4">
      <w:pPr>
        <w:pStyle w:val="Heading3"/>
        <w:rPr>
          <w:rFonts w:asciiTheme="minorHAnsi" w:hAnsiTheme="minorHAnsi" w:cstheme="minorHAnsi"/>
          <w:i/>
          <w:iCs/>
        </w:rPr>
      </w:pPr>
      <w:bookmarkStart w:id="4" w:name="_Toc17451257"/>
      <w:r w:rsidRPr="007A59E6">
        <w:rPr>
          <w:i/>
          <w:iCs/>
        </w:rPr>
        <w:t>Additional Considerations for Savings from Codes and Standards</w:t>
      </w:r>
      <w:r w:rsidRPr="007A59E6" w:rsidDel="00083F04">
        <w:rPr>
          <w:rFonts w:asciiTheme="minorHAnsi" w:hAnsiTheme="minorHAnsi" w:cstheme="minorHAnsi"/>
          <w:i/>
          <w:iCs/>
        </w:rPr>
        <w:t xml:space="preserve"> </w:t>
      </w:r>
      <w:r w:rsidRPr="007A59E6">
        <w:rPr>
          <w:rStyle w:val="CommentSubjectChar"/>
          <w:rFonts w:asciiTheme="minorHAnsi" w:eastAsiaTheme="majorEastAsia" w:hAnsiTheme="minorHAnsi" w:cstheme="minorHAnsi"/>
          <w:i/>
          <w:iCs/>
        </w:rPr>
        <w:footnoteReference w:id="10"/>
      </w:r>
      <w:bookmarkEnd w:id="4"/>
    </w:p>
    <w:p w14:paraId="34F28584" w14:textId="77777777" w:rsidR="00036BC4" w:rsidRPr="007A59E6" w:rsidRDefault="00036BC4" w:rsidP="00036BC4">
      <w:pPr>
        <w:rPr>
          <w:rFonts w:cstheme="minorHAnsi"/>
          <w:i/>
          <w:iCs/>
        </w:rPr>
      </w:pPr>
      <w:r w:rsidRPr="007A59E6">
        <w:rPr>
          <w:rFonts w:cstheme="minorHAnsi"/>
          <w:i/>
          <w:iCs/>
        </w:rPr>
        <w:t xml:space="preserve">This section describes the additional items needed to calculate savings from Codes and Standards (C&amp;S).  Per unit savings and total market units are calculated as described above.  Additional factors that need consideration for C&amp;S include:  </w:t>
      </w:r>
    </w:p>
    <w:p w14:paraId="56F8D81E" w14:textId="77777777" w:rsidR="00036BC4" w:rsidRPr="007A59E6" w:rsidRDefault="00036BC4" w:rsidP="00036BC4">
      <w:pPr>
        <w:pStyle w:val="ListParagraph"/>
        <w:numPr>
          <w:ilvl w:val="0"/>
          <w:numId w:val="3"/>
        </w:numPr>
        <w:spacing w:after="120" w:line="240" w:lineRule="auto"/>
        <w:contextualSpacing w:val="0"/>
        <w:jc w:val="both"/>
        <w:rPr>
          <w:rFonts w:cstheme="minorHAnsi"/>
          <w:i/>
          <w:iCs/>
        </w:rPr>
      </w:pPr>
      <w:r w:rsidRPr="007A59E6">
        <w:rPr>
          <w:rFonts w:cstheme="minorHAnsi"/>
          <w:b/>
          <w:i/>
          <w:iCs/>
        </w:rPr>
        <w:t>Compliance when a new energy code is adopted:</w:t>
      </w:r>
      <w:r w:rsidRPr="007A59E6">
        <w:rPr>
          <w:rFonts w:cstheme="minorHAnsi"/>
          <w:i/>
          <w:iCs/>
        </w:rPr>
        <w:t xml:space="preserve">  Total Market Savings should be adjusted for measured or estimated compliance rates.  Measured compliance pre- and post-adoption of the new energy code is strongly preferred, but not always available.  In this case, a baseline compliance rate pre-adoption either measured or estimated is usually assumed to be the same post-adoption for purposes of energy savings estimation.    </w:t>
      </w:r>
    </w:p>
    <w:p w14:paraId="2387D576" w14:textId="77777777" w:rsidR="00036BC4" w:rsidRPr="007A59E6" w:rsidRDefault="00036BC4" w:rsidP="00036BC4">
      <w:pPr>
        <w:pStyle w:val="ListParagraph"/>
        <w:numPr>
          <w:ilvl w:val="0"/>
          <w:numId w:val="3"/>
        </w:numPr>
        <w:spacing w:after="120" w:line="240" w:lineRule="auto"/>
        <w:contextualSpacing w:val="0"/>
        <w:jc w:val="both"/>
        <w:rPr>
          <w:rFonts w:cstheme="minorHAnsi"/>
          <w:i/>
          <w:iCs/>
        </w:rPr>
      </w:pPr>
      <w:r w:rsidRPr="007A59E6">
        <w:rPr>
          <w:rFonts w:cstheme="minorHAnsi"/>
          <w:b/>
          <w:i/>
          <w:iCs/>
        </w:rPr>
        <w:t>Post-adoption Natural Market Baseline:</w:t>
      </w:r>
      <w:r w:rsidRPr="007A59E6">
        <w:rPr>
          <w:rFonts w:cstheme="minorHAnsi"/>
          <w:i/>
          <w:iCs/>
        </w:rPr>
        <w:t xml:space="preserve"> Special attention should be given to the segment of the Natural Market Baseline (from energy code adoption to the end of energy code credit).   The best representation of the counterfactual might be a fixed post-adoption baseline that changes to full adoption rates during the next scheduled change in the C&amp;S processes (e.g. </w:t>
      </w:r>
      <w:r w:rsidRPr="007A59E6">
        <w:rPr>
          <w:rFonts w:cstheme="minorHAnsi"/>
          <w:i/>
          <w:iCs/>
        </w:rPr>
        <w:lastRenderedPageBreak/>
        <w:t xml:space="preserve">3 years for the International Energy Conservation Code). Another option is some form of declining savings credit, such as a baseline that increases over time. </w:t>
      </w:r>
    </w:p>
    <w:p w14:paraId="2D14CC30" w14:textId="77777777" w:rsidR="00036BC4" w:rsidRPr="007A59E6" w:rsidRDefault="00036BC4" w:rsidP="00036BC4">
      <w:pPr>
        <w:pStyle w:val="ListParagraph"/>
        <w:numPr>
          <w:ilvl w:val="1"/>
          <w:numId w:val="3"/>
        </w:numPr>
        <w:spacing w:after="120" w:line="240" w:lineRule="auto"/>
        <w:jc w:val="both"/>
        <w:rPr>
          <w:rFonts w:cstheme="minorHAnsi"/>
          <w:i/>
          <w:iCs/>
        </w:rPr>
      </w:pPr>
      <w:r w:rsidRPr="007A59E6">
        <w:rPr>
          <w:rFonts w:cstheme="minorHAnsi"/>
          <w:i/>
          <w:iCs/>
        </w:rPr>
        <w:t>Determining the timing of this counter-factual movement in some alternate future has been difficult in those regions already counting savings from energy code adoption. One approach involves expert subject matter panels (Delphi panels)</w:t>
      </w:r>
      <w:r w:rsidRPr="007A59E6">
        <w:rPr>
          <w:rStyle w:val="CommentReference"/>
          <w:rFonts w:cstheme="minorHAnsi"/>
          <w:i/>
          <w:iCs/>
        </w:rPr>
        <w:t xml:space="preserve"> </w:t>
      </w:r>
      <w:r w:rsidRPr="007A59E6">
        <w:rPr>
          <w:rFonts w:cstheme="minorHAnsi"/>
          <w:i/>
          <w:iCs/>
        </w:rPr>
        <w:t>to establish this alternative future.  However, finding enough independent experts and achieving convergence of opinion can be challenging. Trending market data or comparison with other similar code provision adoptions may also be used as alternatives. Ultimately, as with all counterfactual baseline estimation, there will need to be an aspect of professional judgement to determine the appropriate treatment of post-adoption baseline.</w:t>
      </w:r>
    </w:p>
    <w:p w14:paraId="11EA0962" w14:textId="77777777" w:rsidR="00036BC4" w:rsidRPr="007A59E6" w:rsidRDefault="00036BC4" w:rsidP="00036BC4">
      <w:pPr>
        <w:pStyle w:val="ListParagraph"/>
        <w:numPr>
          <w:ilvl w:val="0"/>
          <w:numId w:val="3"/>
        </w:numPr>
        <w:spacing w:after="120" w:line="240" w:lineRule="auto"/>
        <w:contextualSpacing w:val="0"/>
        <w:jc w:val="both"/>
        <w:rPr>
          <w:rFonts w:cstheme="minorHAnsi"/>
          <w:i/>
          <w:iCs/>
        </w:rPr>
      </w:pPr>
      <w:r w:rsidRPr="007A59E6">
        <w:rPr>
          <w:rFonts w:cstheme="minorHAnsi"/>
          <w:b/>
          <w:i/>
          <w:iCs/>
        </w:rPr>
        <w:t>Accounting:</w:t>
      </w:r>
      <w:r w:rsidRPr="007A59E6">
        <w:rPr>
          <w:rFonts w:cstheme="minorHAnsi"/>
          <w:i/>
          <w:iCs/>
        </w:rPr>
        <w:t xml:space="preserve"> Accounting of savings between RA and MT programs is not generally used for C&amp;S.  This is because utility RA programs typically have ended operations before or at the point that the energy code adoption process takes place.  </w:t>
      </w:r>
    </w:p>
    <w:p w14:paraId="5A76B411" w14:textId="77777777" w:rsidR="00036BC4" w:rsidRPr="007A59E6" w:rsidRDefault="00036BC4" w:rsidP="00036BC4">
      <w:pPr>
        <w:pStyle w:val="ListParagraph"/>
        <w:numPr>
          <w:ilvl w:val="0"/>
          <w:numId w:val="3"/>
        </w:numPr>
        <w:spacing w:after="120" w:line="240" w:lineRule="auto"/>
        <w:contextualSpacing w:val="0"/>
        <w:jc w:val="both"/>
        <w:rPr>
          <w:rFonts w:cstheme="minorHAnsi"/>
          <w:i/>
          <w:iCs/>
        </w:rPr>
      </w:pPr>
      <w:r w:rsidRPr="007A59E6">
        <w:rPr>
          <w:rFonts w:cstheme="minorHAnsi"/>
          <w:b/>
          <w:i/>
          <w:iCs/>
        </w:rPr>
        <w:t>Allocation:</w:t>
      </w:r>
      <w:r w:rsidRPr="007A59E6">
        <w:rPr>
          <w:rFonts w:cstheme="minorHAnsi"/>
          <w:i/>
          <w:iCs/>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there may need to be a split between utilities and other parties working on code adoption.  This is often a negotiated number, sometimes informed by a Delphi panel, evaluators, stakeholders, or other entities.  </w:t>
      </w:r>
    </w:p>
    <w:p w14:paraId="16E6C440" w14:textId="77777777" w:rsidR="00036BC4" w:rsidRPr="007A59E6" w:rsidRDefault="00036BC4" w:rsidP="00036BC4">
      <w:pPr>
        <w:pStyle w:val="ListParagraph"/>
        <w:numPr>
          <w:ilvl w:val="0"/>
          <w:numId w:val="3"/>
        </w:numPr>
        <w:spacing w:after="120" w:line="240" w:lineRule="auto"/>
        <w:jc w:val="both"/>
        <w:rPr>
          <w:rFonts w:cstheme="minorHAnsi"/>
          <w:i/>
          <w:iCs/>
        </w:rPr>
      </w:pPr>
      <w:r w:rsidRPr="007A59E6">
        <w:rPr>
          <w:rFonts w:cstheme="minorHAnsi"/>
          <w:b/>
          <w:i/>
          <w:iCs/>
        </w:rPr>
        <w:t>Duration of Energy Savings Claims</w:t>
      </w:r>
      <w:r w:rsidRPr="007A59E6">
        <w:rPr>
          <w:rStyle w:val="FootnoteReference"/>
          <w:rFonts w:cstheme="minorHAnsi"/>
          <w:i/>
          <w:iCs/>
        </w:rPr>
        <w:footnoteReference w:id="11"/>
      </w:r>
      <w:r w:rsidRPr="007A59E6">
        <w:rPr>
          <w:rFonts w:cstheme="minorHAnsi"/>
          <w:b/>
          <w:i/>
          <w:iCs/>
        </w:rPr>
        <w:t>:</w:t>
      </w:r>
      <w:r w:rsidRPr="007A59E6">
        <w:rPr>
          <w:rFonts w:cstheme="minorHAnsi"/>
          <w:i/>
          <w:iCs/>
        </w:rPr>
        <w:t xml:space="preserve"> It is important to establish the length of time that savings will be credited to the utility for the new code or standard.   This is shown in Figure 4 as the time between “Code Effective” and “End of Code Credit”. This time period is separate from the lifetime of the measures embodied in the energy code. Instead it reflects the amount of time that a utility will receive credit for having changed the energy code.  </w:t>
      </w:r>
    </w:p>
    <w:p w14:paraId="2E037716" w14:textId="77777777" w:rsidR="00036BC4" w:rsidRPr="007A59E6" w:rsidRDefault="00036BC4" w:rsidP="00036BC4">
      <w:pPr>
        <w:pStyle w:val="ListParagraph"/>
        <w:numPr>
          <w:ilvl w:val="1"/>
          <w:numId w:val="3"/>
        </w:numPr>
        <w:spacing w:after="120" w:line="240" w:lineRule="auto"/>
        <w:jc w:val="both"/>
        <w:rPr>
          <w:rFonts w:cstheme="minorHAnsi"/>
          <w:i/>
          <w:iCs/>
        </w:rPr>
      </w:pPr>
      <w:r w:rsidRPr="007A59E6">
        <w:rPr>
          <w:rFonts w:cstheme="minorHAnsi"/>
          <w:i/>
          <w:iCs/>
        </w:rPr>
        <w:t>There is no quantitative analysis that can determine the duration of an energy code credit to the utilities; instead, it requires a policy  that  provides an appropriate level of credit to implementers that makes it worth the effort to support MT initiatives that target code changes, while not being so large as to be unfair to ratepayers. The policy call can be informed by when the code or standard would have been updated anyway to the level targeted in the MT initiative.  Given that this is a policy call, it is usually best to make this decision early in the MT initiative design process to provide certainty to the program designers and implementers. For example, the Northwest negotiated a standard policy that allows for claiming code savings for ten years post the code effective date.  For the residential code, NEEA does not report savings units six months after the code becomes effective, and then counts savings for a full ten years.   This was a negotiated number among the parties involved at the time. If a new, more efficient code comes into play during that period, the incremental savings for that change are also counted for ten years.</w:t>
      </w:r>
    </w:p>
    <w:p w14:paraId="55FC446F" w14:textId="7EDCD3DE" w:rsidR="00036BC4" w:rsidRPr="007A59E6" w:rsidRDefault="00A4750D" w:rsidP="00A4750D">
      <w:pPr>
        <w:pStyle w:val="Heading1"/>
      </w:pPr>
      <w:bookmarkStart w:id="5" w:name="_Toc17451258"/>
      <w:r>
        <w:lastRenderedPageBreak/>
        <w:t xml:space="preserve">2.1 </w:t>
      </w:r>
      <w:r w:rsidR="00036BC4" w:rsidRPr="007A59E6">
        <w:t>Energy Savings from Enhanced Energy Code Compliance Activities</w:t>
      </w:r>
      <w:bookmarkEnd w:id="5"/>
      <w:r w:rsidR="00036BC4" w:rsidRPr="007A59E6">
        <w:t xml:space="preserve"> </w:t>
      </w:r>
    </w:p>
    <w:p w14:paraId="49DA2E11" w14:textId="77777777" w:rsidR="00036BC4" w:rsidRPr="007A59E6" w:rsidRDefault="00036BC4" w:rsidP="00036BC4">
      <w:pPr>
        <w:rPr>
          <w:rFonts w:cstheme="minorHAnsi"/>
          <w:i/>
          <w:iCs/>
        </w:rPr>
      </w:pPr>
      <w:r w:rsidRPr="007A59E6">
        <w:rPr>
          <w:rFonts w:cstheme="minorHAnsi"/>
          <w:i/>
          <w:iCs/>
        </w:rPr>
        <w:t>From work in other regions, a number of activities such as training and education, increased support for enforcement, and third-party plan-review, have been shown to result in increased compliance of energy codes, which in turn results in energy savings</w:t>
      </w:r>
      <w:r w:rsidRPr="007A59E6">
        <w:rPr>
          <w:rStyle w:val="FootnoteReference"/>
          <w:rFonts w:cstheme="minorHAnsi"/>
          <w:i/>
          <w:iCs/>
        </w:rPr>
        <w:footnoteReference w:id="12"/>
      </w:r>
      <w:r w:rsidRPr="007A59E6">
        <w:rPr>
          <w:rFonts w:cstheme="minorHAnsi"/>
          <w:i/>
          <w:iCs/>
        </w:rPr>
        <w:t xml:space="preserve">.  Efforts are underway in Illinois to analyze and discuss activities for improving compliance with existing energy codes.  </w:t>
      </w:r>
    </w:p>
    <w:p w14:paraId="5226108D" w14:textId="77777777" w:rsidR="00036BC4" w:rsidRPr="007A59E6" w:rsidRDefault="00036BC4" w:rsidP="00036BC4">
      <w:pPr>
        <w:rPr>
          <w:rFonts w:cstheme="minorHAnsi"/>
          <w:i/>
          <w:iCs/>
        </w:rPr>
      </w:pPr>
      <w:r w:rsidRPr="007A59E6">
        <w:rPr>
          <w:rFonts w:cstheme="minorHAnsi"/>
          <w:i/>
          <w:iCs/>
        </w:rPr>
        <w:t>Savings from enhancing code compliance activities are derived by documenting compliance rates before the initiative starts</w:t>
      </w:r>
      <w:r w:rsidRPr="007A59E6">
        <w:rPr>
          <w:rStyle w:val="FootnoteReference"/>
          <w:rFonts w:cstheme="minorHAnsi"/>
          <w:i/>
          <w:iCs/>
        </w:rPr>
        <w:footnoteReference w:id="13"/>
      </w:r>
      <w:r w:rsidRPr="007A59E6">
        <w:rPr>
          <w:rFonts w:cstheme="minorHAnsi"/>
          <w:i/>
          <w:iCs/>
        </w:rPr>
        <w:t xml:space="preserve">, and compliance after the initiative has operated for a period of time.   See Figure 5.  </w:t>
      </w:r>
    </w:p>
    <w:p w14:paraId="1955CAEA" w14:textId="77777777" w:rsidR="00036BC4" w:rsidRPr="007A59E6" w:rsidRDefault="00036BC4" w:rsidP="00036BC4">
      <w:pPr>
        <w:jc w:val="center"/>
        <w:rPr>
          <w:rFonts w:cstheme="minorHAnsi"/>
          <w:i/>
          <w:iCs/>
        </w:rPr>
      </w:pPr>
      <w:r w:rsidRPr="007A59E6">
        <w:rPr>
          <w:rFonts w:cstheme="minorHAnsi"/>
          <w:i/>
          <w:iCs/>
        </w:rPr>
        <w:t>Figure 5: Savings from Enhancing Energy Code Compliance</w:t>
      </w:r>
      <w:r w:rsidRPr="007A59E6">
        <w:rPr>
          <w:rFonts w:cstheme="minorHAnsi"/>
          <w:i/>
          <w:iCs/>
          <w:noProof/>
        </w:rPr>
        <w:drawing>
          <wp:inline distT="0" distB="0" distL="0" distR="0" wp14:anchorId="235A3C5F" wp14:editId="15A873BF">
            <wp:extent cx="4460682" cy="2241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1739" cy="2252281"/>
                    </a:xfrm>
                    <a:prstGeom prst="rect">
                      <a:avLst/>
                    </a:prstGeom>
                    <a:noFill/>
                    <a:ln>
                      <a:noFill/>
                    </a:ln>
                  </pic:spPr>
                </pic:pic>
              </a:graphicData>
            </a:graphic>
          </wp:inline>
        </w:drawing>
      </w:r>
    </w:p>
    <w:p w14:paraId="0B5636BF" w14:textId="77777777" w:rsidR="00036BC4" w:rsidRPr="007A59E6" w:rsidRDefault="00036BC4" w:rsidP="00036BC4">
      <w:pPr>
        <w:rPr>
          <w:rFonts w:cstheme="minorHAnsi"/>
          <w:i/>
          <w:iCs/>
        </w:rPr>
      </w:pPr>
      <w:r w:rsidRPr="007A59E6">
        <w:rPr>
          <w:rFonts w:cstheme="minorHAnsi"/>
          <w:i/>
          <w:iCs/>
        </w:rPr>
        <w:t>Unit energy savings</w:t>
      </w:r>
      <w:r w:rsidRPr="007A59E6">
        <w:rPr>
          <w:rStyle w:val="FootnoteReference"/>
          <w:rFonts w:cstheme="minorHAnsi"/>
          <w:i/>
          <w:iCs/>
        </w:rPr>
        <w:footnoteReference w:id="14"/>
      </w:r>
      <w:r w:rsidRPr="007A59E6">
        <w:rPr>
          <w:rFonts w:cstheme="minorHAnsi"/>
          <w:i/>
          <w:iCs/>
        </w:rPr>
        <w:t xml:space="preserve"> is the difference between the average unit energy consumption in the pre-enhanced-compliance case compared to the post-case</w:t>
      </w:r>
      <w:r w:rsidRPr="007A59E6">
        <w:rPr>
          <w:rStyle w:val="FootnoteReference"/>
          <w:rFonts w:cstheme="minorHAnsi"/>
          <w:i/>
          <w:iCs/>
        </w:rPr>
        <w:footnoteReference w:id="15"/>
      </w:r>
      <w:r w:rsidRPr="007A59E6">
        <w:rPr>
          <w:rFonts w:cstheme="minorHAnsi"/>
          <w:i/>
          <w:iCs/>
        </w:rPr>
        <w:t xml:space="preserve"> multiplied by the number of new units each year in the market that are affected.  This is typically developed using building energy-use modeling of the baseline and post-compliance cases, and then subtracting the two.  The building energy modeling should follow the practices for new construction modeling in the TRM for residential or commercial buildings as appropriate.  </w:t>
      </w:r>
    </w:p>
    <w:p w14:paraId="057EF8A9" w14:textId="77777777" w:rsidR="00036BC4" w:rsidRPr="007A59E6" w:rsidRDefault="00036BC4" w:rsidP="00036BC4">
      <w:pPr>
        <w:rPr>
          <w:rFonts w:cstheme="minorHAnsi"/>
          <w:i/>
          <w:iCs/>
        </w:rPr>
      </w:pPr>
      <w:r w:rsidRPr="007A59E6">
        <w:rPr>
          <w:rFonts w:cstheme="minorHAnsi"/>
          <w:i/>
          <w:iCs/>
        </w:rPr>
        <w:lastRenderedPageBreak/>
        <w:t xml:space="preserve">The per unit energy consumption for the baseline case is computed based on total building energy consumption with either measured or assumed compliance for all energy-impacting measures in the building.  The per unit energy consumption for the post-compliance-enhancement activities is similarly calculated but using the energy-impacting measures of the post-compliance-enhancement building.  For example, per building energy savings for wall insulation would be calculated by subtracting the building energy use assuming post-compliance-activity insulation amounts in the walls from an equivalent building energy use with the baseline wall insulation amounts.   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73161281" w14:textId="46E977C6" w:rsidR="00036BC4" w:rsidRDefault="00036BC4" w:rsidP="00036BC4">
      <w:pPr>
        <w:rPr>
          <w:rFonts w:cstheme="minorHAnsi"/>
          <w:i/>
          <w:iCs/>
        </w:rPr>
      </w:pPr>
      <w:r w:rsidRPr="007A59E6">
        <w:rPr>
          <w:rFonts w:cstheme="minorHAnsi"/>
          <w:i/>
          <w:iCs/>
        </w:rPr>
        <w:t xml:space="preserve">Total savings are then reviewed for the savings directly resulting from the efforts of the utility, versus other causes.  Examples of other causes that can create enhanced code compliance include suppliers who might stock only “above code” materials or “spillover” from other larger jurisdictions that make it uneconomical for builders to change practices across jurisdictions.  Most often, the split between utilities and other causes is a negotiated number among utilities and stakeholders which is sometimes informed by a Delphi panel that gives input to a third-party evaluator on their opinion of the utility’s contribution if there are enough independent experts to form a Delphi panel.” </w:t>
      </w:r>
    </w:p>
    <w:p w14:paraId="05A4B1C9" w14:textId="1787F5E0" w:rsidR="007A59E6" w:rsidRDefault="00A4750D" w:rsidP="00A4750D">
      <w:pPr>
        <w:pStyle w:val="Heading1"/>
      </w:pPr>
      <w:r>
        <w:t>3.0 Draft Goals Setting for MT Initiatives in IL</w:t>
      </w:r>
    </w:p>
    <w:p w14:paraId="6A005325" w14:textId="04AD07FE" w:rsidR="00A4750D" w:rsidRDefault="00A4750D" w:rsidP="00036BC4">
      <w:pPr>
        <w:rPr>
          <w:rFonts w:cstheme="minorHAnsi"/>
        </w:rPr>
      </w:pPr>
      <w:r>
        <w:rPr>
          <w:rFonts w:cstheme="minorHAnsi"/>
        </w:rPr>
        <w:t>Illinois is currently in the process of developing policies to guide its MT work.  One of the questions raised during these discussions was: “how will MT savings be incorporated into utility goals”.  In</w:t>
      </w:r>
      <w:r w:rsidR="00F36312">
        <w:rPr>
          <w:rFonts w:cstheme="minorHAnsi"/>
        </w:rPr>
        <w:t xml:space="preserve"> IL, each utility decides how much to coordinate with other utilities for MT initiatives and chooses which MT initiatives to do, so goals are specific to each utility.  While draft, the current answer </w:t>
      </w:r>
      <w:proofErr w:type="gramStart"/>
      <w:r w:rsidR="00F36312">
        <w:rPr>
          <w:rFonts w:cstheme="minorHAnsi"/>
        </w:rPr>
        <w:t>is</w:t>
      </w:r>
      <w:r w:rsidR="008B1D8B">
        <w:rPr>
          <w:rFonts w:cstheme="minorHAnsi"/>
        </w:rPr>
        <w:t>:</w:t>
      </w:r>
      <w:proofErr w:type="gramEnd"/>
      <w:r w:rsidR="00F36312">
        <w:rPr>
          <w:rFonts w:cstheme="minorHAnsi"/>
        </w:rPr>
        <w:t xml:space="preserve"> goals will be resolved/developed as </w:t>
      </w:r>
      <w:r w:rsidR="008B1D8B">
        <w:rPr>
          <w:rFonts w:cstheme="minorHAnsi"/>
        </w:rPr>
        <w:t>each</w:t>
      </w:r>
      <w:r w:rsidR="00F36312">
        <w:rPr>
          <w:rFonts w:cstheme="minorHAnsi"/>
        </w:rPr>
        <w:t xml:space="preserve"> MT initiative is developed.  </w:t>
      </w:r>
      <w:r w:rsidR="008B1D8B">
        <w:rPr>
          <w:rFonts w:cstheme="minorHAnsi"/>
        </w:rPr>
        <w:t xml:space="preserve">The launch of MT initiatives is different in IL than in </w:t>
      </w:r>
      <w:proofErr w:type="gramStart"/>
      <w:r w:rsidR="008B1D8B">
        <w:rPr>
          <w:rFonts w:cstheme="minorHAnsi"/>
        </w:rPr>
        <w:t>CA, and</w:t>
      </w:r>
      <w:proofErr w:type="gramEnd"/>
      <w:r w:rsidR="008B1D8B">
        <w:rPr>
          <w:rFonts w:cstheme="minorHAnsi"/>
        </w:rPr>
        <w:t xml:space="preserve"> developing goals as the initiative is being finalized fit their situation.</w:t>
      </w:r>
    </w:p>
    <w:p w14:paraId="2054F8EE" w14:textId="2BBE2BEB" w:rsidR="00887A2B" w:rsidRDefault="00F36312" w:rsidP="00887A2B">
      <w:pPr>
        <w:rPr>
          <w:rFonts w:cstheme="minorHAnsi"/>
        </w:rPr>
      </w:pPr>
      <w:r w:rsidRPr="008B1D8B">
        <w:rPr>
          <w:rFonts w:cstheme="minorHAnsi"/>
          <w:u w:val="single"/>
        </w:rPr>
        <w:t>Comment</w:t>
      </w:r>
      <w:r>
        <w:rPr>
          <w:rFonts w:cstheme="minorHAnsi"/>
        </w:rPr>
        <w:t xml:space="preserve">:  In California’s situation, where resources are pooled statewide and dedicated to MT over multiple years, </w:t>
      </w:r>
      <w:r w:rsidR="00887A2B">
        <w:rPr>
          <w:rFonts w:cstheme="minorHAnsi"/>
        </w:rPr>
        <w:t>below are some thoughts</w:t>
      </w:r>
      <w:r w:rsidR="007A07E3">
        <w:rPr>
          <w:rFonts w:cstheme="minorHAnsi"/>
        </w:rPr>
        <w:t xml:space="preserve"> to consider</w:t>
      </w:r>
      <w:r w:rsidR="00887A2B">
        <w:rPr>
          <w:rFonts w:cstheme="minorHAnsi"/>
        </w:rPr>
        <w:t xml:space="preserve"> </w:t>
      </w:r>
      <w:r w:rsidR="007A07E3">
        <w:rPr>
          <w:rFonts w:cstheme="minorHAnsi"/>
        </w:rPr>
        <w:t>when</w:t>
      </w:r>
      <w:r w:rsidR="00887A2B">
        <w:rPr>
          <w:rFonts w:cstheme="minorHAnsi"/>
        </w:rPr>
        <w:t xml:space="preserve"> setting </w:t>
      </w:r>
      <w:r w:rsidR="007A07E3">
        <w:rPr>
          <w:rFonts w:cstheme="minorHAnsi"/>
        </w:rPr>
        <w:t xml:space="preserve">the process for developing </w:t>
      </w:r>
      <w:r w:rsidR="00887A2B">
        <w:rPr>
          <w:rFonts w:cstheme="minorHAnsi"/>
        </w:rPr>
        <w:t>savings goals for the MT Administrator (MTA):</w:t>
      </w:r>
    </w:p>
    <w:p w14:paraId="742AA9A2" w14:textId="2D304AC8" w:rsidR="00887A2B" w:rsidRDefault="002F2275" w:rsidP="00887A2B">
      <w:pPr>
        <w:pStyle w:val="ListParagraph"/>
        <w:numPr>
          <w:ilvl w:val="0"/>
          <w:numId w:val="5"/>
        </w:numPr>
        <w:rPr>
          <w:rFonts w:cstheme="minorHAnsi"/>
        </w:rPr>
      </w:pPr>
      <w:r>
        <w:rPr>
          <w:rFonts w:cstheme="minorHAnsi"/>
        </w:rPr>
        <w:t>Savings g</w:t>
      </w:r>
      <w:r w:rsidR="00887A2B">
        <w:rPr>
          <w:rFonts w:cstheme="minorHAnsi"/>
        </w:rPr>
        <w:t>oals should be set at the whole portfolio level rather than the initiative level to allow flexibility and management choice on the part of the MTA.  This is similar to</w:t>
      </w:r>
      <w:r w:rsidR="008B1D8B">
        <w:rPr>
          <w:rFonts w:cstheme="minorHAnsi"/>
        </w:rPr>
        <w:t xml:space="preserve"> setting</w:t>
      </w:r>
      <w:r w:rsidR="00887A2B">
        <w:rPr>
          <w:rFonts w:cstheme="minorHAnsi"/>
        </w:rPr>
        <w:t xml:space="preserve"> utility </w:t>
      </w:r>
      <w:r w:rsidR="008B1D8B">
        <w:rPr>
          <w:rFonts w:cstheme="minorHAnsi"/>
        </w:rPr>
        <w:t xml:space="preserve">savings </w:t>
      </w:r>
      <w:r w:rsidR="00887A2B">
        <w:rPr>
          <w:rFonts w:cstheme="minorHAnsi"/>
        </w:rPr>
        <w:t>goals for RA</w:t>
      </w:r>
      <w:r w:rsidR="008B1D8B">
        <w:rPr>
          <w:rFonts w:cstheme="minorHAnsi"/>
        </w:rPr>
        <w:t xml:space="preserve"> in CA</w:t>
      </w:r>
      <w:r w:rsidR="00887A2B">
        <w:rPr>
          <w:rFonts w:cstheme="minorHAnsi"/>
        </w:rPr>
        <w:t xml:space="preserve">.  </w:t>
      </w:r>
    </w:p>
    <w:p w14:paraId="0C9A2104" w14:textId="39A79DEE" w:rsidR="002F2275" w:rsidRPr="002F2275" w:rsidRDefault="00E051AD" w:rsidP="002F2275">
      <w:pPr>
        <w:pStyle w:val="ListParagraph"/>
        <w:numPr>
          <w:ilvl w:val="1"/>
          <w:numId w:val="5"/>
        </w:numPr>
        <w:rPr>
          <w:rFonts w:cstheme="minorHAnsi"/>
        </w:rPr>
      </w:pPr>
      <w:r>
        <w:rPr>
          <w:rFonts w:cstheme="minorHAnsi"/>
        </w:rPr>
        <w:t>Note that i</w:t>
      </w:r>
      <w:r w:rsidR="002F2275">
        <w:rPr>
          <w:rFonts w:cstheme="minorHAnsi"/>
        </w:rPr>
        <w:t xml:space="preserve">nitiatives will </w:t>
      </w:r>
      <w:r>
        <w:rPr>
          <w:rFonts w:cstheme="minorHAnsi"/>
        </w:rPr>
        <w:t>have</w:t>
      </w:r>
      <w:r w:rsidR="002F2275">
        <w:rPr>
          <w:rFonts w:cstheme="minorHAnsi"/>
        </w:rPr>
        <w:t xml:space="preserve"> “goals” </w:t>
      </w:r>
      <w:proofErr w:type="gramStart"/>
      <w:r>
        <w:rPr>
          <w:rFonts w:cstheme="minorHAnsi"/>
        </w:rPr>
        <w:t xml:space="preserve">--  </w:t>
      </w:r>
      <w:proofErr w:type="spellStart"/>
      <w:r w:rsidR="002F2275">
        <w:rPr>
          <w:rFonts w:cstheme="minorHAnsi"/>
        </w:rPr>
        <w:t>ike</w:t>
      </w:r>
      <w:proofErr w:type="spellEnd"/>
      <w:proofErr w:type="gramEnd"/>
      <w:r w:rsidR="002F2275">
        <w:rPr>
          <w:rFonts w:cstheme="minorHAnsi"/>
        </w:rPr>
        <w:t xml:space="preserve"> market progress indicators, outcomes and anticipated savings.  But </w:t>
      </w:r>
      <w:r>
        <w:rPr>
          <w:rFonts w:cstheme="minorHAnsi"/>
        </w:rPr>
        <w:t xml:space="preserve">savings from </w:t>
      </w:r>
      <w:r w:rsidR="002F2275">
        <w:rPr>
          <w:rFonts w:cstheme="minorHAnsi"/>
        </w:rPr>
        <w:t xml:space="preserve">the overall </w:t>
      </w:r>
      <w:r w:rsidR="008B1D8B">
        <w:rPr>
          <w:rFonts w:cstheme="minorHAnsi"/>
        </w:rPr>
        <w:t xml:space="preserve">MT </w:t>
      </w:r>
      <w:r w:rsidR="002F2275">
        <w:rPr>
          <w:rFonts w:cstheme="minorHAnsi"/>
        </w:rPr>
        <w:t xml:space="preserve">portfolio is what should be tracked </w:t>
      </w:r>
      <w:r>
        <w:rPr>
          <w:rFonts w:cstheme="minorHAnsi"/>
        </w:rPr>
        <w:t>in</w:t>
      </w:r>
      <w:r w:rsidR="002F2275">
        <w:rPr>
          <w:rFonts w:cstheme="minorHAnsi"/>
        </w:rPr>
        <w:t xml:space="preserve"> the regulator</w:t>
      </w:r>
      <w:r>
        <w:rPr>
          <w:rFonts w:cstheme="minorHAnsi"/>
        </w:rPr>
        <w:t>y system</w:t>
      </w:r>
      <w:r w:rsidR="002F2275">
        <w:rPr>
          <w:rFonts w:cstheme="minorHAnsi"/>
        </w:rPr>
        <w:t xml:space="preserve">.  </w:t>
      </w:r>
    </w:p>
    <w:p w14:paraId="5974DE55" w14:textId="77777777" w:rsidR="00E64129" w:rsidRDefault="00887A2B" w:rsidP="00887A2B">
      <w:pPr>
        <w:pStyle w:val="ListParagraph"/>
        <w:numPr>
          <w:ilvl w:val="0"/>
          <w:numId w:val="5"/>
        </w:numPr>
        <w:rPr>
          <w:rFonts w:cstheme="minorHAnsi"/>
        </w:rPr>
      </w:pPr>
      <w:r>
        <w:rPr>
          <w:rFonts w:cstheme="minorHAnsi"/>
        </w:rPr>
        <w:t>The set of MT initiatives making up the portfolio will determine the overall portfolio</w:t>
      </w:r>
      <w:r w:rsidR="002F2275">
        <w:rPr>
          <w:rFonts w:cstheme="minorHAnsi"/>
        </w:rPr>
        <w:t xml:space="preserve"> savings</w:t>
      </w:r>
      <w:r>
        <w:rPr>
          <w:rFonts w:cstheme="minorHAnsi"/>
        </w:rPr>
        <w:t xml:space="preserve"> goal, not the other way around.  </w:t>
      </w:r>
    </w:p>
    <w:p w14:paraId="6A31848B" w14:textId="77777777" w:rsidR="00E64129" w:rsidRDefault="00887A2B" w:rsidP="00E64129">
      <w:pPr>
        <w:pStyle w:val="ListParagraph"/>
        <w:numPr>
          <w:ilvl w:val="1"/>
          <w:numId w:val="5"/>
        </w:numPr>
        <w:rPr>
          <w:rFonts w:cstheme="minorHAnsi"/>
        </w:rPr>
      </w:pPr>
      <w:r>
        <w:rPr>
          <w:rFonts w:cstheme="minorHAnsi"/>
        </w:rPr>
        <w:lastRenderedPageBreak/>
        <w:t>For example, if a significant portion of the portfolio is made up of work that does not produce</w:t>
      </w:r>
      <w:r w:rsidR="002F2275">
        <w:rPr>
          <w:rFonts w:cstheme="minorHAnsi"/>
        </w:rPr>
        <w:t xml:space="preserve"> measurable</w:t>
      </w:r>
      <w:r>
        <w:rPr>
          <w:rFonts w:cstheme="minorHAnsi"/>
        </w:rPr>
        <w:t xml:space="preserve"> savings</w:t>
      </w:r>
      <w:r w:rsidR="002F2275">
        <w:rPr>
          <w:rFonts w:cstheme="minorHAnsi"/>
        </w:rPr>
        <w:t xml:space="preserve"> (education or trainings for example)</w:t>
      </w:r>
      <w:r>
        <w:rPr>
          <w:rFonts w:cstheme="minorHAnsi"/>
        </w:rPr>
        <w:t xml:space="preserve">, the goal will necessarily be lower.  </w:t>
      </w:r>
    </w:p>
    <w:p w14:paraId="090031A6" w14:textId="52C2D7F3" w:rsidR="00887A2B" w:rsidRDefault="00E051AD" w:rsidP="00E64129">
      <w:pPr>
        <w:pStyle w:val="ListParagraph"/>
        <w:numPr>
          <w:ilvl w:val="1"/>
          <w:numId w:val="5"/>
        </w:numPr>
        <w:rPr>
          <w:rFonts w:cstheme="minorHAnsi"/>
        </w:rPr>
      </w:pPr>
      <w:r>
        <w:rPr>
          <w:rFonts w:cstheme="minorHAnsi"/>
        </w:rPr>
        <w:t>In addition, currently there are no</w:t>
      </w:r>
      <w:r w:rsidR="007A07E3">
        <w:rPr>
          <w:rFonts w:cstheme="minorHAnsi"/>
        </w:rPr>
        <w:t>t</w:t>
      </w:r>
      <w:r>
        <w:rPr>
          <w:rFonts w:cstheme="minorHAnsi"/>
        </w:rPr>
        <w:t xml:space="preserve"> potential studies that have screened opportunities specifically for the MT approach. Scanning for opportunities and selecting the best fit for an MT approach as well as fitting any overall portfolio criteria will be the work of the MTA and MTAB</w:t>
      </w:r>
      <w:r w:rsidR="00E64129">
        <w:rPr>
          <w:rFonts w:cstheme="minorHAnsi"/>
        </w:rPr>
        <w:t xml:space="preserve">.  </w:t>
      </w:r>
      <w:r w:rsidR="008B1D8B">
        <w:rPr>
          <w:rFonts w:cstheme="minorHAnsi"/>
        </w:rPr>
        <w:t xml:space="preserve">It will be very hard to project possible savings (and goals) until more definition is known about potential initiatives and portfolio approach.  </w:t>
      </w:r>
    </w:p>
    <w:p w14:paraId="523A1EEA" w14:textId="1BDCC40D" w:rsidR="00F36312" w:rsidRPr="00E64129" w:rsidRDefault="00E64129" w:rsidP="00887A2B">
      <w:pPr>
        <w:pStyle w:val="ListParagraph"/>
        <w:numPr>
          <w:ilvl w:val="0"/>
          <w:numId w:val="5"/>
        </w:numPr>
        <w:rPr>
          <w:rFonts w:cstheme="minorHAnsi"/>
        </w:rPr>
      </w:pPr>
      <w:r w:rsidRPr="00E64129">
        <w:rPr>
          <w:rFonts w:cstheme="minorHAnsi"/>
        </w:rPr>
        <w:t xml:space="preserve">As a result, we’d </w:t>
      </w:r>
      <w:r>
        <w:rPr>
          <w:rFonts w:cstheme="minorHAnsi"/>
        </w:rPr>
        <w:t xml:space="preserve">recommend working </w:t>
      </w:r>
      <w:r w:rsidR="00F36312" w:rsidRPr="00E64129">
        <w:rPr>
          <w:rFonts w:cstheme="minorHAnsi"/>
        </w:rPr>
        <w:t>with the MT Administrator and MT Advisory Board once they are established</w:t>
      </w:r>
      <w:r>
        <w:rPr>
          <w:rFonts w:cstheme="minorHAnsi"/>
        </w:rPr>
        <w:t xml:space="preserve"> and the MT portfolio takes shape</w:t>
      </w:r>
      <w:r w:rsidR="00F36312" w:rsidRPr="00E64129">
        <w:rPr>
          <w:rFonts w:cstheme="minorHAnsi"/>
        </w:rPr>
        <w:t xml:space="preserve"> to develop </w:t>
      </w:r>
      <w:r>
        <w:rPr>
          <w:rFonts w:cstheme="minorHAnsi"/>
        </w:rPr>
        <w:t>specific</w:t>
      </w:r>
      <w:r w:rsidR="00F36312" w:rsidRPr="00E64129">
        <w:rPr>
          <w:rFonts w:cstheme="minorHAnsi"/>
        </w:rPr>
        <w:t xml:space="preserve"> goals</w:t>
      </w:r>
      <w:r w:rsidR="008B1D8B">
        <w:rPr>
          <w:rFonts w:cstheme="minorHAnsi"/>
        </w:rPr>
        <w:t xml:space="preserve"> for the MTA</w:t>
      </w:r>
      <w:r>
        <w:rPr>
          <w:rFonts w:cstheme="minorHAnsi"/>
        </w:rPr>
        <w:t xml:space="preserve">.  </w:t>
      </w:r>
    </w:p>
    <w:sectPr w:rsidR="00F36312" w:rsidRPr="00E64129" w:rsidSect="00863C7A">
      <w:headerReference w:type="default" r:id="rId11"/>
      <w:footerReference w:type="even" r:id="rId12"/>
      <w:footerReference w:type="default" r:id="rId13"/>
      <w:pgSz w:w="12240" w:h="15840"/>
      <w:pgMar w:top="1440" w:right="1260" w:bottom="1161"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F272F" w14:textId="77777777" w:rsidR="00984EBE" w:rsidRDefault="00984EBE" w:rsidP="003E67E9">
      <w:pPr>
        <w:spacing w:after="0" w:line="240" w:lineRule="auto"/>
      </w:pPr>
      <w:r>
        <w:separator/>
      </w:r>
    </w:p>
  </w:endnote>
  <w:endnote w:type="continuationSeparator" w:id="0">
    <w:p w14:paraId="5F19B1D1" w14:textId="77777777" w:rsidR="00984EBE" w:rsidRDefault="00984EBE" w:rsidP="003E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93575"/>
      <w:docPartObj>
        <w:docPartGallery w:val="Page Numbers (Bottom of Page)"/>
        <w:docPartUnique/>
      </w:docPartObj>
    </w:sdtPr>
    <w:sdtEndPr>
      <w:rPr>
        <w:rStyle w:val="PageNumber"/>
      </w:rPr>
    </w:sdtEndPr>
    <w:sdtContent>
      <w:p w14:paraId="421F8D06" w14:textId="638A798E" w:rsidR="00A70680" w:rsidRDefault="00A70680" w:rsidP="00224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21C215" w14:textId="77777777" w:rsidR="00A70680" w:rsidRDefault="00A70680" w:rsidP="00A706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0613044"/>
      <w:docPartObj>
        <w:docPartGallery w:val="Page Numbers (Bottom of Page)"/>
        <w:docPartUnique/>
      </w:docPartObj>
    </w:sdtPr>
    <w:sdtEndPr>
      <w:rPr>
        <w:rStyle w:val="PageNumber"/>
      </w:rPr>
    </w:sdtEndPr>
    <w:sdtContent>
      <w:p w14:paraId="58524C5C" w14:textId="0921FF53" w:rsidR="00A70680" w:rsidRDefault="00A70680" w:rsidP="00224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8C4C27" w14:textId="77777777" w:rsidR="00A70680" w:rsidRDefault="00A70680" w:rsidP="00A706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88DB56" w14:textId="77777777" w:rsidR="00984EBE" w:rsidRDefault="00984EBE" w:rsidP="003E67E9">
      <w:pPr>
        <w:spacing w:after="0" w:line="240" w:lineRule="auto"/>
      </w:pPr>
      <w:r>
        <w:separator/>
      </w:r>
    </w:p>
  </w:footnote>
  <w:footnote w:type="continuationSeparator" w:id="0">
    <w:p w14:paraId="04CC762B" w14:textId="77777777" w:rsidR="00984EBE" w:rsidRDefault="00984EBE" w:rsidP="003E67E9">
      <w:pPr>
        <w:spacing w:after="0" w:line="240" w:lineRule="auto"/>
      </w:pPr>
      <w:r>
        <w:continuationSeparator/>
      </w:r>
    </w:p>
  </w:footnote>
  <w:footnote w:id="1">
    <w:p w14:paraId="697543F7" w14:textId="1FF3F958" w:rsidR="00263737" w:rsidRDefault="00263737">
      <w:pPr>
        <w:pStyle w:val="FootnoteText"/>
      </w:pPr>
      <w:r>
        <w:rPr>
          <w:rStyle w:val="FootnoteReference"/>
        </w:rPr>
        <w:footnoteRef/>
      </w:r>
      <w:r>
        <w:t xml:space="preserve"> A link to the section of the IL TRM that contains the MT savings framework is here:  </w:t>
      </w:r>
      <w:hyperlink r:id="rId1" w:history="1">
        <w:r w:rsidRPr="007C752E">
          <w:rPr>
            <w:rStyle w:val="Hyperlink"/>
          </w:rPr>
          <w:t>https://s3.amazonaws.com/ilsag/IL-TRM_Effective_010121_v9.0_Vol_4_X-Cutting_Measures_and_Attach_06262020_DRAFT.docx</w:t>
        </w:r>
      </w:hyperlink>
      <w:r>
        <w:t xml:space="preserve"> </w:t>
      </w:r>
    </w:p>
  </w:footnote>
  <w:footnote w:id="2">
    <w:p w14:paraId="382CD42D" w14:textId="117E0FAE" w:rsidR="003E67E9" w:rsidRPr="002D77CD" w:rsidRDefault="003E67E9">
      <w:pPr>
        <w:pStyle w:val="FootnoteText"/>
        <w:rPr>
          <w:color w:val="FF0000"/>
        </w:rPr>
      </w:pPr>
      <w:r>
        <w:rPr>
          <w:rStyle w:val="FootnoteReference"/>
        </w:rPr>
        <w:footnoteRef/>
      </w:r>
      <w:r>
        <w:t xml:space="preserve"> Occasionally, UES for MT can vary from RA, especially in later phases of the MT activities.  Should this occur, the MT UES is used, since this is a calculation of MT savings.  </w:t>
      </w:r>
    </w:p>
  </w:footnote>
  <w:footnote w:id="3">
    <w:p w14:paraId="0FA11C71" w14:textId="30715E45" w:rsidR="00794F30" w:rsidRDefault="00794F30">
      <w:pPr>
        <w:pStyle w:val="FootnoteText"/>
      </w:pPr>
      <w:r>
        <w:rPr>
          <w:rStyle w:val="FootnoteReference"/>
        </w:rPr>
        <w:footnoteRef/>
      </w:r>
      <w:r>
        <w:t xml:space="preserve"> D19-12-021 “Decision Regarding Frameworks for Energy Efficiency Regional Energy Networks and Market Transformation</w:t>
      </w:r>
      <w:proofErr w:type="gramStart"/>
      <w:r>
        <w:t>”,  Conclusions</w:t>
      </w:r>
      <w:proofErr w:type="gramEnd"/>
      <w:r>
        <w:t xml:space="preserve"> of Law number 28, page 86.</w:t>
      </w:r>
    </w:p>
  </w:footnote>
  <w:footnote w:id="4">
    <w:p w14:paraId="1B777E19" w14:textId="77777777" w:rsidR="00036BC4" w:rsidRDefault="00036BC4" w:rsidP="00036BC4">
      <w:pPr>
        <w:pStyle w:val="FootnoteText"/>
      </w:pPr>
      <w:r>
        <w:rPr>
          <w:rStyle w:val="FootnoteReference"/>
        </w:rPr>
        <w:footnoteRef/>
      </w:r>
      <w:r>
        <w:t xml:space="preserve"> Energy code compliance is a key factor in the actual savings resulting from a code, and this is discussed in a later section.  </w:t>
      </w:r>
    </w:p>
  </w:footnote>
  <w:footnote w:id="5">
    <w:p w14:paraId="522D39E8" w14:textId="77777777" w:rsidR="00036BC4" w:rsidRDefault="00036BC4" w:rsidP="00036BC4">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6">
    <w:p w14:paraId="2C13554B" w14:textId="77777777" w:rsidR="00036BC4" w:rsidRDefault="00036BC4" w:rsidP="00036BC4">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7">
    <w:p w14:paraId="7CBBFA2E" w14:textId="77777777" w:rsidR="00036BC4" w:rsidRDefault="00036BC4" w:rsidP="00036BC4">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8">
    <w:p w14:paraId="5279B20B" w14:textId="77777777" w:rsidR="00036BC4" w:rsidRDefault="00036BC4" w:rsidP="00036BC4">
      <w:pPr>
        <w:pStyle w:val="FootnoteText"/>
      </w:pPr>
      <w:r>
        <w:rPr>
          <w:rStyle w:val="FootnoteReference"/>
        </w:rPr>
        <w:footnoteRef/>
      </w:r>
      <w:r>
        <w:t xml:space="preserve"> Note that compliance with the energy code is usually less than </w:t>
      </w:r>
      <w:proofErr w:type="gramStart"/>
      <w:r>
        <w:t>--  and</w:t>
      </w:r>
      <w:proofErr w:type="gramEnd"/>
      <w:r>
        <w:t xml:space="preserve"> can sometimes be greater than 100%.  Compliance greater than 100% can occur, for example, if the typical measure most readily available is more efficient than the code requirement; builders will simply use the available measure.  </w:t>
      </w:r>
    </w:p>
  </w:footnote>
  <w:footnote w:id="9">
    <w:p w14:paraId="21B0293D" w14:textId="77777777" w:rsidR="00036BC4" w:rsidRDefault="00036BC4" w:rsidP="00036BC4">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0">
    <w:p w14:paraId="7E2AC972" w14:textId="77777777" w:rsidR="00036BC4" w:rsidRDefault="00036BC4" w:rsidP="00036BC4">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1">
    <w:p w14:paraId="4A7F14C6" w14:textId="6EDA8985" w:rsidR="00036BC4" w:rsidRDefault="00036BC4" w:rsidP="00036BC4">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2">
    <w:p w14:paraId="084CBB3D" w14:textId="77777777" w:rsidR="00036BC4" w:rsidRPr="000978BA" w:rsidRDefault="00036BC4" w:rsidP="00036BC4">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2B7B555" w14:textId="77777777" w:rsidR="00036BC4" w:rsidRPr="000978BA" w:rsidRDefault="00036BC4" w:rsidP="00036BC4">
      <w:pPr>
        <w:pStyle w:val="FootnoteText"/>
      </w:pPr>
      <w:r w:rsidRPr="000978BA">
        <w:rPr>
          <w:rStyle w:val="FootnoteReference"/>
        </w:rPr>
        <w:t xml:space="preserve">NMR Group, Inc. 2018. Residential New Construction and CCSI Attribution Assessment (TXC48). </w:t>
      </w:r>
      <w:hyperlink r:id="rId2" w:history="1">
        <w:r w:rsidRPr="000978BA">
          <w:rPr>
            <w:rStyle w:val="FootnoteReference"/>
          </w:rPr>
          <w:t>http://ma-eeac.org/wordpress/wp-content/uploads/TXC_48_RNCAttribution_24AUG2018_Final.pdf</w:t>
        </w:r>
      </w:hyperlink>
      <w:r>
        <w:t xml:space="preserve"> </w:t>
      </w:r>
    </w:p>
    <w:p w14:paraId="5CB42AC2" w14:textId="77777777" w:rsidR="00036BC4" w:rsidRPr="000978BA" w:rsidRDefault="00036BC4" w:rsidP="00036BC4">
      <w:pPr>
        <w:pStyle w:val="FootnoteText"/>
      </w:pPr>
      <w:r w:rsidRPr="000978BA">
        <w:rPr>
          <w:rStyle w:val="FootnoteReference"/>
        </w:rPr>
        <w:t xml:space="preserve">NMR Group, Inc. and Cadmus. 2018. Massachusetts TXC47 Non-Residential Code Compliance Support Initiative Attribution and Net Savings Assessment. </w:t>
      </w:r>
      <w:hyperlink r:id="rId3"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3">
    <w:p w14:paraId="06D94D1E" w14:textId="77777777" w:rsidR="00036BC4" w:rsidRDefault="00036BC4" w:rsidP="00036BC4">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4">
    <w:p w14:paraId="59702CF2" w14:textId="77777777" w:rsidR="00036BC4" w:rsidRDefault="00036BC4" w:rsidP="00036BC4">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
    <w:p w14:paraId="3F7930D5" w14:textId="77777777" w:rsidR="00036BC4" w:rsidRDefault="00036BC4" w:rsidP="00036BC4">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62EB0" w14:textId="5C590792" w:rsidR="00263737" w:rsidRDefault="00E33861">
    <w:pPr>
      <w:pStyle w:val="Header"/>
    </w:pPr>
    <w:r>
      <w:rPr>
        <w:noProof/>
      </w:rPr>
      <w:drawing>
        <wp:inline distT="0" distB="0" distL="0" distR="0" wp14:anchorId="00D5EC70" wp14:editId="29DC292E">
          <wp:extent cx="1095375" cy="657225"/>
          <wp:effectExtent l="0" t="0" r="9525" b="9525"/>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_Logo_FullC_Stack_BlueType_RGB.png"/>
                  <pic:cNvPicPr/>
                </pic:nvPicPr>
                <pic:blipFill>
                  <a:blip r:embed="rId1">
                    <a:extLst>
                      <a:ext uri="{28A0092B-C50C-407E-A947-70E740481C1C}">
                        <a14:useLocalDpi xmlns:a14="http://schemas.microsoft.com/office/drawing/2010/main" val="0"/>
                      </a:ext>
                    </a:extLst>
                  </a:blip>
                  <a:stretch>
                    <a:fillRect/>
                  </a:stretch>
                </pic:blipFill>
                <pic:spPr>
                  <a:xfrm>
                    <a:off x="0" y="0"/>
                    <a:ext cx="1095375" cy="657225"/>
                  </a:xfrm>
                  <a:prstGeom prst="rect">
                    <a:avLst/>
                  </a:prstGeom>
                </pic:spPr>
              </pic:pic>
            </a:graphicData>
          </a:graphic>
        </wp:inline>
      </w:drawing>
    </w:r>
  </w:p>
  <w:p w14:paraId="1143007C" w14:textId="77777777" w:rsidR="00E33861" w:rsidRDefault="00E33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0705D"/>
    <w:multiLevelType w:val="hybridMultilevel"/>
    <w:tmpl w:val="D3E6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E2093"/>
    <w:multiLevelType w:val="multilevel"/>
    <w:tmpl w:val="844017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03E68F1"/>
    <w:multiLevelType w:val="hybridMultilevel"/>
    <w:tmpl w:val="69AC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C53A8"/>
    <w:multiLevelType w:val="hybridMultilevel"/>
    <w:tmpl w:val="240E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7C50CD"/>
    <w:multiLevelType w:val="hybridMultilevel"/>
    <w:tmpl w:val="2724D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2A"/>
    <w:rsid w:val="00036BC4"/>
    <w:rsid w:val="00067868"/>
    <w:rsid w:val="00083B99"/>
    <w:rsid w:val="000A510E"/>
    <w:rsid w:val="000B319F"/>
    <w:rsid w:val="00133294"/>
    <w:rsid w:val="001547D7"/>
    <w:rsid w:val="001712D8"/>
    <w:rsid w:val="001B0EF4"/>
    <w:rsid w:val="001B57B7"/>
    <w:rsid w:val="001C7CDC"/>
    <w:rsid w:val="00205B70"/>
    <w:rsid w:val="00217C76"/>
    <w:rsid w:val="00220F31"/>
    <w:rsid w:val="00241F02"/>
    <w:rsid w:val="00263737"/>
    <w:rsid w:val="002D5AE3"/>
    <w:rsid w:val="002D77CD"/>
    <w:rsid w:val="002F2275"/>
    <w:rsid w:val="002F5255"/>
    <w:rsid w:val="0034258B"/>
    <w:rsid w:val="00362658"/>
    <w:rsid w:val="003E05E6"/>
    <w:rsid w:val="003E67E9"/>
    <w:rsid w:val="00400BB8"/>
    <w:rsid w:val="00512FE1"/>
    <w:rsid w:val="00531B0F"/>
    <w:rsid w:val="005A198B"/>
    <w:rsid w:val="005E7547"/>
    <w:rsid w:val="005E778F"/>
    <w:rsid w:val="006B664B"/>
    <w:rsid w:val="006C344A"/>
    <w:rsid w:val="006D6E49"/>
    <w:rsid w:val="006F068B"/>
    <w:rsid w:val="00752915"/>
    <w:rsid w:val="007647CF"/>
    <w:rsid w:val="00767CEF"/>
    <w:rsid w:val="00782C9E"/>
    <w:rsid w:val="00785EF6"/>
    <w:rsid w:val="00794F30"/>
    <w:rsid w:val="007A07E3"/>
    <w:rsid w:val="007A59E6"/>
    <w:rsid w:val="007E08B5"/>
    <w:rsid w:val="00847065"/>
    <w:rsid w:val="008606C7"/>
    <w:rsid w:val="00863C7A"/>
    <w:rsid w:val="00876155"/>
    <w:rsid w:val="00887A2B"/>
    <w:rsid w:val="008B00B0"/>
    <w:rsid w:val="008B1D8B"/>
    <w:rsid w:val="008B4DFC"/>
    <w:rsid w:val="008F054F"/>
    <w:rsid w:val="009427AF"/>
    <w:rsid w:val="00984EBE"/>
    <w:rsid w:val="00991CFA"/>
    <w:rsid w:val="00A05E12"/>
    <w:rsid w:val="00A4750D"/>
    <w:rsid w:val="00A70680"/>
    <w:rsid w:val="00AD55EA"/>
    <w:rsid w:val="00B44890"/>
    <w:rsid w:val="00BB2DF6"/>
    <w:rsid w:val="00C209CF"/>
    <w:rsid w:val="00C44A6A"/>
    <w:rsid w:val="00C72103"/>
    <w:rsid w:val="00C751FC"/>
    <w:rsid w:val="00CC21D7"/>
    <w:rsid w:val="00CF528D"/>
    <w:rsid w:val="00D058DA"/>
    <w:rsid w:val="00D15767"/>
    <w:rsid w:val="00D61EBA"/>
    <w:rsid w:val="00DA33A2"/>
    <w:rsid w:val="00DC0FB1"/>
    <w:rsid w:val="00DD432A"/>
    <w:rsid w:val="00E051AD"/>
    <w:rsid w:val="00E33861"/>
    <w:rsid w:val="00E33A09"/>
    <w:rsid w:val="00E64129"/>
    <w:rsid w:val="00E725B7"/>
    <w:rsid w:val="00EA217C"/>
    <w:rsid w:val="00F36312"/>
    <w:rsid w:val="00F43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A5A4"/>
  <w14:defaultImageDpi w14:val="32767"/>
  <w15:chartTrackingRefBased/>
  <w15:docId w15:val="{52B5F3EA-B797-B34E-BA91-2AF3C5E4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432A"/>
    <w:pPr>
      <w:spacing w:after="240" w:line="264"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A475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432A"/>
    <w:pPr>
      <w:keepNext/>
      <w:keepLines/>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semiHidden/>
    <w:unhideWhenUsed/>
    <w:qFormat/>
    <w:rsid w:val="00036BC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432A"/>
    <w:rPr>
      <w:rFonts w:asciiTheme="majorHAnsi" w:eastAsiaTheme="majorEastAsia" w:hAnsiTheme="majorHAnsi" w:cstheme="majorBidi"/>
      <w:b/>
      <w:color w:val="2F5496" w:themeColor="accent1" w:themeShade="BF"/>
      <w:sz w:val="26"/>
      <w:szCs w:val="26"/>
    </w:rPr>
  </w:style>
  <w:style w:type="paragraph" w:styleId="BalloonText">
    <w:name w:val="Balloon Text"/>
    <w:basedOn w:val="Normal"/>
    <w:link w:val="BalloonTextChar"/>
    <w:uiPriority w:val="99"/>
    <w:semiHidden/>
    <w:unhideWhenUsed/>
    <w:rsid w:val="00DD432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D432A"/>
    <w:rPr>
      <w:rFonts w:ascii="Times New Roman" w:eastAsia="Times New Roman" w:hAnsi="Times New Roman" w:cs="Times New Roman"/>
      <w:sz w:val="18"/>
      <w:szCs w:val="18"/>
    </w:rPr>
  </w:style>
  <w:style w:type="paragraph" w:styleId="Revision">
    <w:name w:val="Revision"/>
    <w:hidden/>
    <w:uiPriority w:val="99"/>
    <w:semiHidden/>
    <w:rsid w:val="00CC21D7"/>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C21D7"/>
    <w:rPr>
      <w:sz w:val="16"/>
      <w:szCs w:val="16"/>
    </w:rPr>
  </w:style>
  <w:style w:type="paragraph" w:styleId="CommentText">
    <w:name w:val="annotation text"/>
    <w:basedOn w:val="Normal"/>
    <w:link w:val="CommentTextChar"/>
    <w:uiPriority w:val="99"/>
    <w:semiHidden/>
    <w:unhideWhenUsed/>
    <w:rsid w:val="00CC21D7"/>
    <w:pPr>
      <w:spacing w:line="240" w:lineRule="auto"/>
    </w:pPr>
    <w:rPr>
      <w:sz w:val="20"/>
      <w:szCs w:val="20"/>
    </w:rPr>
  </w:style>
  <w:style w:type="character" w:customStyle="1" w:styleId="CommentTextChar">
    <w:name w:val="Comment Text Char"/>
    <w:basedOn w:val="DefaultParagraphFont"/>
    <w:link w:val="CommentText"/>
    <w:uiPriority w:val="99"/>
    <w:semiHidden/>
    <w:rsid w:val="00CC21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21D7"/>
    <w:rPr>
      <w:b/>
      <w:bCs/>
    </w:rPr>
  </w:style>
  <w:style w:type="character" w:customStyle="1" w:styleId="CommentSubjectChar">
    <w:name w:val="Comment Subject Char"/>
    <w:basedOn w:val="CommentTextChar"/>
    <w:link w:val="CommentSubject"/>
    <w:uiPriority w:val="99"/>
    <w:semiHidden/>
    <w:rsid w:val="00CC21D7"/>
    <w:rPr>
      <w:rFonts w:ascii="Times New Roman" w:eastAsia="Times New Roman" w:hAnsi="Times New Roman" w:cs="Times New Roman"/>
      <w:b/>
      <w:bCs/>
      <w:sz w:val="20"/>
      <w:szCs w:val="20"/>
    </w:rPr>
  </w:style>
  <w:style w:type="paragraph" w:styleId="ListParagraph">
    <w:name w:val="List Paragraph"/>
    <w:basedOn w:val="Normal"/>
    <w:uiPriority w:val="34"/>
    <w:qFormat/>
    <w:rsid w:val="00133294"/>
    <w:pPr>
      <w:ind w:left="720"/>
      <w:contextualSpacing/>
    </w:p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unhideWhenUsed/>
    <w:qFormat/>
    <w:rsid w:val="003E67E9"/>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3E67E9"/>
    <w:rPr>
      <w:rFonts w:ascii="Times New Roman" w:eastAsia="Times New Roman" w:hAnsi="Times New Roman" w:cs="Times New Roman"/>
      <w:sz w:val="20"/>
      <w:szCs w:val="20"/>
    </w:rPr>
  </w:style>
  <w:style w:type="character" w:styleId="FootnoteReference">
    <w:name w:val="footnote reference"/>
    <w:aliases w:val="Footnote_Reference,o,fr,TT - Footnote Reference,Style 17,o + Times New Roman,FC,Style 9"/>
    <w:basedOn w:val="DefaultParagraphFont"/>
    <w:uiPriority w:val="99"/>
    <w:unhideWhenUsed/>
    <w:qFormat/>
    <w:rsid w:val="003E67E9"/>
    <w:rPr>
      <w:vertAlign w:val="superscript"/>
    </w:rPr>
  </w:style>
  <w:style w:type="paragraph" w:styleId="Footer">
    <w:name w:val="footer"/>
    <w:basedOn w:val="Normal"/>
    <w:link w:val="FooterChar"/>
    <w:uiPriority w:val="99"/>
    <w:unhideWhenUsed/>
    <w:rsid w:val="00A706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680"/>
    <w:rPr>
      <w:rFonts w:ascii="Times New Roman" w:eastAsia="Times New Roman" w:hAnsi="Times New Roman" w:cs="Times New Roman"/>
    </w:rPr>
  </w:style>
  <w:style w:type="character" w:styleId="PageNumber">
    <w:name w:val="page number"/>
    <w:basedOn w:val="DefaultParagraphFont"/>
    <w:uiPriority w:val="99"/>
    <w:semiHidden/>
    <w:unhideWhenUsed/>
    <w:rsid w:val="00A70680"/>
  </w:style>
  <w:style w:type="paragraph" w:customStyle="1" w:styleId="Captions">
    <w:name w:val="Captions"/>
    <w:basedOn w:val="Title"/>
    <w:link w:val="CaptionsChar"/>
    <w:autoRedefine/>
    <w:qFormat/>
    <w:rsid w:val="00AD55EA"/>
    <w:pPr>
      <w:keepNext/>
      <w:spacing w:after="60"/>
      <w:contextualSpacing w:val="0"/>
      <w:jc w:val="center"/>
    </w:pPr>
    <w:rPr>
      <w:rFonts w:ascii="Calibri" w:eastAsia="Times New Roman" w:hAnsi="Calibri" w:cs="Calibri"/>
      <w:b/>
      <w:color w:val="000000"/>
      <w:spacing w:val="5"/>
      <w:sz w:val="20"/>
      <w:szCs w:val="20"/>
    </w:rPr>
  </w:style>
  <w:style w:type="character" w:customStyle="1" w:styleId="CaptionsChar">
    <w:name w:val="Captions Char"/>
    <w:basedOn w:val="TitleChar"/>
    <w:link w:val="Captions"/>
    <w:rsid w:val="00AD55EA"/>
    <w:rPr>
      <w:rFonts w:ascii="Calibri" w:eastAsia="Times New Roman" w:hAnsi="Calibri" w:cs="Calibri"/>
      <w:b/>
      <w:color w:val="000000"/>
      <w:spacing w:val="5"/>
      <w:kern w:val="28"/>
      <w:sz w:val="20"/>
      <w:szCs w:val="20"/>
    </w:rPr>
  </w:style>
  <w:style w:type="paragraph" w:styleId="Title">
    <w:name w:val="Title"/>
    <w:basedOn w:val="Normal"/>
    <w:next w:val="Normal"/>
    <w:link w:val="TitleChar"/>
    <w:uiPriority w:val="10"/>
    <w:qFormat/>
    <w:rsid w:val="00AD55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5EA"/>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63737"/>
    <w:rPr>
      <w:color w:val="0563C1" w:themeColor="hyperlink"/>
      <w:u w:val="single"/>
    </w:rPr>
  </w:style>
  <w:style w:type="character" w:styleId="UnresolvedMention">
    <w:name w:val="Unresolved Mention"/>
    <w:basedOn w:val="DefaultParagraphFont"/>
    <w:uiPriority w:val="99"/>
    <w:rsid w:val="00263737"/>
    <w:rPr>
      <w:color w:val="605E5C"/>
      <w:shd w:val="clear" w:color="auto" w:fill="E1DFDD"/>
    </w:rPr>
  </w:style>
  <w:style w:type="character" w:styleId="FollowedHyperlink">
    <w:name w:val="FollowedHyperlink"/>
    <w:basedOn w:val="DefaultParagraphFont"/>
    <w:uiPriority w:val="99"/>
    <w:semiHidden/>
    <w:unhideWhenUsed/>
    <w:rsid w:val="00263737"/>
    <w:rPr>
      <w:color w:val="954F72" w:themeColor="followedHyperlink"/>
      <w:u w:val="single"/>
    </w:rPr>
  </w:style>
  <w:style w:type="paragraph" w:styleId="Header">
    <w:name w:val="header"/>
    <w:basedOn w:val="Normal"/>
    <w:link w:val="HeaderChar"/>
    <w:uiPriority w:val="99"/>
    <w:unhideWhenUsed/>
    <w:rsid w:val="00263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737"/>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36BC4"/>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A4750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ma-eeac.org/wordpress/wp-content/uploads/TXC_48_RNCAttribution_24AUG2018_Final.pdf" TargetMode="External"/><Relationship Id="rId1" Type="http://schemas.openxmlformats.org/officeDocument/2006/relationships/hyperlink" Target="https://s3.amazonaws.com/ilsag/IL-TRM_Effective_010121_v9.0_Vol_4_X-Cutting_Measures_and_Attach_06262020_DRAFT.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3217</Words>
  <Characters>17536</Characters>
  <Application>Microsoft Office Word</Application>
  <DocSecurity>0</DocSecurity>
  <Lines>240</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Gardner</dc:creator>
  <cp:keywords/>
  <dc:description/>
  <cp:lastModifiedBy>Susan Rivo</cp:lastModifiedBy>
  <cp:revision>2</cp:revision>
  <cp:lastPrinted>2019-06-13T16:35:00Z</cp:lastPrinted>
  <dcterms:created xsi:type="dcterms:W3CDTF">2020-07-23T18:03:00Z</dcterms:created>
  <dcterms:modified xsi:type="dcterms:W3CDTF">2020-07-23T18:03:00Z</dcterms:modified>
</cp:coreProperties>
</file>