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125E" w14:textId="77777777" w:rsidR="007D5BF7" w:rsidRPr="0083534C" w:rsidRDefault="007D5BF7" w:rsidP="00513677">
      <w:pPr>
        <w:jc w:val="center"/>
        <w:rPr>
          <w:rFonts w:ascii="Cambria" w:hAnsi="Cambria" w:cs="Calibri"/>
          <w:b/>
        </w:rPr>
      </w:pPr>
    </w:p>
    <w:p w14:paraId="0E312124" w14:textId="77777777" w:rsidR="007D5BF7" w:rsidRPr="0083534C" w:rsidRDefault="007D5BF7" w:rsidP="00513677">
      <w:pPr>
        <w:jc w:val="center"/>
        <w:rPr>
          <w:rFonts w:ascii="Cambria" w:hAnsi="Cambria"/>
          <w:b/>
        </w:rPr>
      </w:pPr>
      <w:r w:rsidRPr="0083534C">
        <w:rPr>
          <w:rFonts w:ascii="Cambria" w:hAnsi="Cambria"/>
          <w:b/>
        </w:rPr>
        <w:t>California Energy Efficiency Coordinating Committee-Hosted Working Group on Underserved Customers</w:t>
      </w:r>
    </w:p>
    <w:p w14:paraId="0DD12AB0" w14:textId="3510137B" w:rsidR="007D5BF7" w:rsidRPr="0083534C" w:rsidRDefault="007D5BF7" w:rsidP="00513677">
      <w:pPr>
        <w:jc w:val="center"/>
        <w:rPr>
          <w:rFonts w:ascii="Cambria" w:hAnsi="Cambria" w:cs="Calibri"/>
          <w:b/>
        </w:rPr>
      </w:pPr>
      <w:r w:rsidRPr="0083534C">
        <w:rPr>
          <w:rFonts w:ascii="Cambria" w:hAnsi="Cambria" w:cs="Calibri"/>
          <w:b/>
        </w:rPr>
        <w:t>5</w:t>
      </w:r>
      <w:r w:rsidRPr="0083534C">
        <w:rPr>
          <w:rFonts w:ascii="Cambria" w:hAnsi="Cambria" w:cs="Calibri"/>
          <w:b/>
          <w:vertAlign w:val="superscript"/>
        </w:rPr>
        <w:t>th</w:t>
      </w:r>
      <w:r w:rsidRPr="0083534C">
        <w:rPr>
          <w:rFonts w:ascii="Cambria" w:hAnsi="Cambria" w:cs="Calibri"/>
          <w:b/>
        </w:rPr>
        <w:t xml:space="preserve"> and Final </w:t>
      </w:r>
      <w:proofErr w:type="gramStart"/>
      <w:r w:rsidRPr="0083534C">
        <w:rPr>
          <w:rFonts w:ascii="Cambria" w:hAnsi="Cambria" w:cs="Calibri"/>
          <w:b/>
        </w:rPr>
        <w:t>Meeting</w:t>
      </w:r>
      <w:proofErr w:type="gramEnd"/>
      <w:r w:rsidRPr="0083534C">
        <w:rPr>
          <w:rFonts w:ascii="Cambria" w:hAnsi="Cambria" w:cs="Calibri"/>
          <w:b/>
        </w:rPr>
        <w:t xml:space="preserve"> of the Phase 1 WG</w:t>
      </w:r>
    </w:p>
    <w:p w14:paraId="2C5F55CA" w14:textId="34F5AAC8" w:rsidR="007D5BF7" w:rsidRPr="0083534C" w:rsidRDefault="007D5BF7" w:rsidP="00513677">
      <w:pPr>
        <w:jc w:val="center"/>
        <w:rPr>
          <w:rFonts w:ascii="Cambria" w:hAnsi="Cambria" w:cs="Calibri"/>
          <w:b/>
        </w:rPr>
      </w:pPr>
      <w:r w:rsidRPr="0083534C">
        <w:rPr>
          <w:rFonts w:ascii="Cambria" w:hAnsi="Cambria" w:cs="Calibri"/>
          <w:b/>
        </w:rPr>
        <w:t xml:space="preserve">July 12, </w:t>
      </w:r>
      <w:proofErr w:type="gramStart"/>
      <w:r w:rsidRPr="0083534C">
        <w:rPr>
          <w:rFonts w:ascii="Cambria" w:hAnsi="Cambria" w:cs="Calibri"/>
          <w:b/>
        </w:rPr>
        <w:t>2021</w:t>
      </w:r>
      <w:proofErr w:type="gramEnd"/>
      <w:r w:rsidRPr="0083534C">
        <w:rPr>
          <w:rFonts w:ascii="Cambria" w:hAnsi="Cambria" w:cs="Calibri"/>
          <w:b/>
        </w:rPr>
        <w:t xml:space="preserve"> 1:30-4:00pm</w:t>
      </w:r>
    </w:p>
    <w:p w14:paraId="606AF488" w14:textId="0926ED71" w:rsidR="007D5BF7" w:rsidRPr="0083534C" w:rsidRDefault="007D5BF7" w:rsidP="00513677">
      <w:pPr>
        <w:jc w:val="center"/>
        <w:rPr>
          <w:rFonts w:ascii="Cambria" w:hAnsi="Cambria" w:cs="Calibri"/>
          <w:bCs/>
          <w:i/>
          <w:iCs/>
        </w:rPr>
      </w:pPr>
      <w:r w:rsidRPr="0083534C">
        <w:rPr>
          <w:rFonts w:ascii="Cambria" w:hAnsi="Cambria" w:cs="Calibri"/>
          <w:bCs/>
          <w:i/>
          <w:iCs/>
        </w:rPr>
        <w:t xml:space="preserve">See Supporting Documents on </w:t>
      </w:r>
      <w:hyperlink r:id="rId7" w:history="1">
        <w:r w:rsidRPr="0083534C">
          <w:rPr>
            <w:rStyle w:val="Hyperlink"/>
            <w:rFonts w:ascii="Cambria" w:hAnsi="Cambria" w:cs="Calibri"/>
            <w:i/>
            <w:iCs/>
          </w:rPr>
          <w:t>Meeting Page</w:t>
        </w:r>
      </w:hyperlink>
    </w:p>
    <w:p w14:paraId="0233F08F" w14:textId="77777777" w:rsidR="007D5BF7" w:rsidRPr="0083534C" w:rsidRDefault="007D5BF7" w:rsidP="00513677">
      <w:pPr>
        <w:rPr>
          <w:rFonts w:ascii="Cambria" w:hAnsi="Cambria"/>
          <w:bCs/>
          <w:i/>
          <w:iCs/>
        </w:rPr>
      </w:pPr>
    </w:p>
    <w:p w14:paraId="1DA047B0" w14:textId="77777777" w:rsidR="007D5BF7" w:rsidRPr="0083534C" w:rsidRDefault="007D5BF7" w:rsidP="00513677">
      <w:pPr>
        <w:widowControl w:val="0"/>
        <w:pBdr>
          <w:bottom w:val="thickThinSmallGap" w:sz="24" w:space="1" w:color="C45911" w:themeColor="accent2" w:themeShade="BF"/>
        </w:pBdr>
        <w:autoSpaceDE w:val="0"/>
        <w:autoSpaceDN w:val="0"/>
        <w:adjustRightInd w:val="0"/>
        <w:jc w:val="center"/>
        <w:rPr>
          <w:rFonts w:ascii="Cambria" w:hAnsi="Cambria"/>
        </w:rPr>
      </w:pPr>
      <w:r w:rsidRPr="0083534C">
        <w:rPr>
          <w:rFonts w:ascii="Cambria" w:hAnsi="Cambria"/>
        </w:rPr>
        <w:t>Facilitators: Dr. Scott McCreary &amp; Katie Abrams, CONCUR Inc.</w:t>
      </w:r>
    </w:p>
    <w:p w14:paraId="28EAE516" w14:textId="77777777" w:rsidR="007D5BF7" w:rsidRPr="0083534C" w:rsidRDefault="007D5BF7" w:rsidP="00513677">
      <w:pPr>
        <w:rPr>
          <w:rFonts w:ascii="Cambria" w:hAnsi="Cambria"/>
          <w:sz w:val="22"/>
          <w:szCs w:val="22"/>
        </w:rPr>
      </w:pPr>
    </w:p>
    <w:p w14:paraId="566345AC" w14:textId="2DF94D45" w:rsidR="007D5BF7" w:rsidRPr="0083534C" w:rsidRDefault="007D5BF7" w:rsidP="00513677">
      <w:pPr>
        <w:widowControl w:val="0"/>
        <w:autoSpaceDE w:val="0"/>
        <w:autoSpaceDN w:val="0"/>
        <w:adjustRightInd w:val="0"/>
        <w:rPr>
          <w:rFonts w:ascii="Cambria" w:hAnsi="Cambria"/>
          <w:sz w:val="22"/>
          <w:szCs w:val="22"/>
        </w:rPr>
      </w:pPr>
      <w:r w:rsidRPr="0083534C">
        <w:rPr>
          <w:rFonts w:ascii="Cambria" w:hAnsi="Cambria"/>
          <w:sz w:val="22"/>
          <w:szCs w:val="22"/>
        </w:rPr>
        <w:t xml:space="preserve">On July 12, 2021, the CAEECC hosted its fifth and final </w:t>
      </w:r>
      <w:proofErr w:type="gramStart"/>
      <w:r w:rsidRPr="0083534C">
        <w:rPr>
          <w:rFonts w:ascii="Cambria" w:hAnsi="Cambria"/>
          <w:sz w:val="22"/>
          <w:szCs w:val="22"/>
        </w:rPr>
        <w:t>meeting</w:t>
      </w:r>
      <w:proofErr w:type="gramEnd"/>
      <w:r w:rsidRPr="0083534C">
        <w:rPr>
          <w:rFonts w:ascii="Cambria" w:hAnsi="Cambria"/>
          <w:sz w:val="22"/>
          <w:szCs w:val="22"/>
        </w:rPr>
        <w:t xml:space="preserve"> of the phase 1 Underserved Working Group (UWG or WG) via WebEx. </w:t>
      </w:r>
      <w:r w:rsidR="005C190B" w:rsidRPr="0083534C">
        <w:rPr>
          <w:rFonts w:ascii="Cambria" w:hAnsi="Cambria"/>
          <w:sz w:val="22"/>
          <w:szCs w:val="22"/>
        </w:rPr>
        <w:t>29</w:t>
      </w:r>
      <w:r w:rsidR="00E22164" w:rsidRPr="0083534C">
        <w:rPr>
          <w:rFonts w:ascii="Cambria" w:hAnsi="Cambria"/>
          <w:sz w:val="22"/>
          <w:szCs w:val="22"/>
        </w:rPr>
        <w:t xml:space="preserve"> </w:t>
      </w:r>
      <w:r w:rsidRPr="0083534C">
        <w:rPr>
          <w:rFonts w:ascii="Cambria" w:hAnsi="Cambria"/>
          <w:sz w:val="22"/>
          <w:szCs w:val="22"/>
        </w:rPr>
        <w:t xml:space="preserve">WG Members (including Leads, Proxies and Ex Officio) and members of the public participated. A full list of meeting registrants is provided in Appendix A. </w:t>
      </w:r>
    </w:p>
    <w:p w14:paraId="3C3F9754" w14:textId="77777777" w:rsidR="007D5BF7" w:rsidRPr="0083534C" w:rsidRDefault="007D5BF7" w:rsidP="00513677">
      <w:pPr>
        <w:rPr>
          <w:rFonts w:ascii="Cambria" w:eastAsia="Times New Roman" w:hAnsi="Cambria" w:cs="Calibri"/>
          <w:sz w:val="22"/>
          <w:szCs w:val="22"/>
        </w:rPr>
      </w:pPr>
    </w:p>
    <w:p w14:paraId="6E9D3E17" w14:textId="77777777" w:rsidR="007D5BF7" w:rsidRPr="0083534C" w:rsidRDefault="007D5BF7" w:rsidP="00513677">
      <w:pPr>
        <w:rPr>
          <w:rFonts w:ascii="Cambria" w:eastAsia="Times New Roman" w:hAnsi="Cambria" w:cs="Calibri"/>
          <w:sz w:val="22"/>
          <w:szCs w:val="22"/>
        </w:rPr>
      </w:pPr>
      <w:r w:rsidRPr="0083534C">
        <w:rPr>
          <w:rFonts w:ascii="Cambria" w:eastAsia="Times New Roman" w:hAnsi="Cambria" w:cs="Calibri"/>
          <w:sz w:val="22"/>
          <w:szCs w:val="22"/>
        </w:rPr>
        <w:t xml:space="preserve">For each sub-section below, key discussion points and agreements are summarized. The “Next Steps and Wrap Up” section below, captures next steps discussed throughout the meeting. </w:t>
      </w:r>
    </w:p>
    <w:p w14:paraId="2163EAA0" w14:textId="77777777" w:rsidR="007D5BF7" w:rsidRPr="0083534C" w:rsidRDefault="007D5BF7" w:rsidP="00513677">
      <w:pPr>
        <w:rPr>
          <w:rFonts w:ascii="Cambria" w:hAnsi="Cambria" w:cs="Calibri"/>
          <w:sz w:val="22"/>
          <w:szCs w:val="22"/>
        </w:rPr>
      </w:pPr>
    </w:p>
    <w:p w14:paraId="112CAFC1" w14:textId="54404B2E" w:rsidR="007D5BF7" w:rsidRPr="0083534C" w:rsidRDefault="007D5BF7" w:rsidP="00513677">
      <w:pPr>
        <w:rPr>
          <w:rFonts w:ascii="Cambria" w:hAnsi="Cambria" w:cs="Times New Roman (Body CS)"/>
          <w:b/>
          <w:smallCaps/>
          <w:sz w:val="22"/>
          <w:szCs w:val="22"/>
        </w:rPr>
      </w:pPr>
      <w:r w:rsidRPr="0083534C">
        <w:rPr>
          <w:rFonts w:ascii="Cambria" w:hAnsi="Cambria" w:cs="Times New Roman (Body CS)"/>
          <w:b/>
          <w:smallCaps/>
          <w:sz w:val="22"/>
          <w:szCs w:val="22"/>
        </w:rPr>
        <w:t>Agenda Review, Goals for the Day, and Equity Metrics WG Announcement</w:t>
      </w:r>
    </w:p>
    <w:p w14:paraId="7A5F385B" w14:textId="57AE7528" w:rsidR="007D5BF7" w:rsidRDefault="007D5BF7" w:rsidP="00513677">
      <w:pPr>
        <w:shd w:val="clear" w:color="auto" w:fill="FFFFFF"/>
        <w:rPr>
          <w:rFonts w:ascii="Cambria" w:eastAsia="Times New Roman" w:hAnsi="Cambria" w:cs="Calibri"/>
          <w:sz w:val="22"/>
          <w:szCs w:val="22"/>
        </w:rPr>
      </w:pPr>
      <w:r w:rsidRPr="0083534C">
        <w:rPr>
          <w:rFonts w:ascii="Cambria" w:eastAsia="Times New Roman" w:hAnsi="Cambria" w:cs="Calibri"/>
          <w:sz w:val="22"/>
          <w:szCs w:val="22"/>
        </w:rPr>
        <w:t xml:space="preserve">Scott walked through the agenda and meeting goals. He reiterated that the goal of the Working Group is to identify who is underserved (in </w:t>
      </w:r>
      <w:r w:rsidR="005C190B" w:rsidRPr="0083534C">
        <w:rPr>
          <w:rFonts w:ascii="Cambria" w:eastAsia="Times New Roman" w:hAnsi="Cambria" w:cs="Calibri"/>
          <w:sz w:val="22"/>
          <w:szCs w:val="22"/>
        </w:rPr>
        <w:t>Residential</w:t>
      </w:r>
      <w:r w:rsidRPr="0083534C">
        <w:rPr>
          <w:rFonts w:ascii="Cambria" w:eastAsia="Times New Roman" w:hAnsi="Cambria" w:cs="Calibri"/>
          <w:sz w:val="22"/>
          <w:szCs w:val="22"/>
        </w:rPr>
        <w:t xml:space="preserve">, </w:t>
      </w:r>
      <w:r w:rsidR="005C190B" w:rsidRPr="0083534C">
        <w:rPr>
          <w:rFonts w:ascii="Cambria" w:eastAsia="Times New Roman" w:hAnsi="Cambria" w:cs="Calibri"/>
          <w:sz w:val="22"/>
          <w:szCs w:val="22"/>
        </w:rPr>
        <w:t>Small-medium business (SMB)</w:t>
      </w:r>
      <w:r w:rsidRPr="0083534C">
        <w:rPr>
          <w:rFonts w:ascii="Cambria" w:eastAsia="Times New Roman" w:hAnsi="Cambria" w:cs="Calibri"/>
          <w:sz w:val="22"/>
          <w:szCs w:val="22"/>
        </w:rPr>
        <w:t xml:space="preserve">, and </w:t>
      </w:r>
      <w:proofErr w:type="gramStart"/>
      <w:r w:rsidRPr="0083534C">
        <w:rPr>
          <w:rFonts w:ascii="Cambria" w:eastAsia="Times New Roman" w:hAnsi="Cambria" w:cs="Calibri"/>
          <w:sz w:val="22"/>
          <w:szCs w:val="22"/>
        </w:rPr>
        <w:t>Public</w:t>
      </w:r>
      <w:proofErr w:type="gramEnd"/>
      <w:r w:rsidR="005C190B" w:rsidRPr="0083534C">
        <w:rPr>
          <w:rFonts w:ascii="Cambria" w:eastAsia="Times New Roman" w:hAnsi="Cambria" w:cs="Calibri"/>
          <w:sz w:val="22"/>
          <w:szCs w:val="22"/>
        </w:rPr>
        <w:t xml:space="preserve"> sectors</w:t>
      </w:r>
      <w:r w:rsidRPr="0083534C">
        <w:rPr>
          <w:rFonts w:ascii="Cambria" w:eastAsia="Times New Roman" w:hAnsi="Cambria" w:cs="Calibri"/>
          <w:sz w:val="22"/>
          <w:szCs w:val="22"/>
        </w:rPr>
        <w:t xml:space="preserve">) and ways to address it (e.g., through definition of Underserved, reframing </w:t>
      </w:r>
      <w:r w:rsidR="005C190B" w:rsidRPr="0083534C">
        <w:rPr>
          <w:rFonts w:ascii="Cambria" w:eastAsia="Times New Roman" w:hAnsi="Cambria" w:cs="Calibri"/>
          <w:sz w:val="22"/>
          <w:szCs w:val="22"/>
        </w:rPr>
        <w:t>hard-to-reach (HTR)</w:t>
      </w:r>
      <w:r w:rsidRPr="0083534C">
        <w:rPr>
          <w:rFonts w:ascii="Cambria" w:eastAsia="Times New Roman" w:hAnsi="Cambria" w:cs="Calibri"/>
          <w:sz w:val="22"/>
          <w:szCs w:val="22"/>
        </w:rPr>
        <w:t>, or other means). He reiterated that per the Prospectus, the approach involves conducting analyses to identify underserved customers in the three sectors; identify root causes; and develop recommendations for forum/process to address each type of Underserved customer.</w:t>
      </w:r>
      <w:r w:rsidR="001C54BF" w:rsidRPr="0083534C">
        <w:rPr>
          <w:rFonts w:ascii="Cambria" w:eastAsia="Times New Roman" w:hAnsi="Cambria" w:cs="Calibri"/>
          <w:sz w:val="22"/>
          <w:szCs w:val="22"/>
        </w:rPr>
        <w:t xml:space="preserve"> </w:t>
      </w:r>
    </w:p>
    <w:p w14:paraId="5AD16FC6" w14:textId="2FB9DC84" w:rsidR="00BE3F21" w:rsidRDefault="00BE3F21" w:rsidP="00513677">
      <w:pPr>
        <w:shd w:val="clear" w:color="auto" w:fill="FFFFFF"/>
        <w:rPr>
          <w:rFonts w:ascii="Cambria" w:eastAsia="Times New Roman" w:hAnsi="Cambria" w:cs="Calibri"/>
          <w:sz w:val="22"/>
          <w:szCs w:val="22"/>
        </w:rPr>
      </w:pPr>
    </w:p>
    <w:p w14:paraId="084D88C7" w14:textId="146B1C47" w:rsidR="00BE3F21" w:rsidRPr="0083534C" w:rsidRDefault="00BE3F21" w:rsidP="00513677">
      <w:pPr>
        <w:shd w:val="clear" w:color="auto" w:fill="FFFFFF"/>
        <w:rPr>
          <w:rFonts w:ascii="Cambria" w:eastAsia="Times New Roman" w:hAnsi="Cambria" w:cs="Calibri"/>
          <w:sz w:val="22"/>
          <w:szCs w:val="22"/>
        </w:rPr>
      </w:pPr>
      <w:r>
        <w:rPr>
          <w:rFonts w:ascii="Cambria" w:eastAsia="Times New Roman" w:hAnsi="Cambria" w:cs="Calibri"/>
          <w:sz w:val="22"/>
          <w:szCs w:val="22"/>
        </w:rPr>
        <w:t>He noted that this would be the final meeting of the Working Group – that due to data limitations a Phase II was not warranted and that the findings of the WG would inform the Equity WG launching July-September 2021.</w:t>
      </w:r>
    </w:p>
    <w:p w14:paraId="1AF932C8" w14:textId="77777777" w:rsidR="007D5BF7" w:rsidRPr="0083534C" w:rsidRDefault="007D5BF7" w:rsidP="00513677">
      <w:pPr>
        <w:shd w:val="clear" w:color="auto" w:fill="FFFFFF"/>
        <w:rPr>
          <w:rFonts w:ascii="Cambria" w:eastAsia="Times New Roman" w:hAnsi="Cambria" w:cs="Calibri"/>
          <w:sz w:val="22"/>
          <w:szCs w:val="22"/>
        </w:rPr>
      </w:pPr>
    </w:p>
    <w:p w14:paraId="477BB05B" w14:textId="0458AD1C" w:rsidR="007D5BF7" w:rsidRPr="0083534C" w:rsidRDefault="007D5BF7" w:rsidP="00513677">
      <w:pPr>
        <w:rPr>
          <w:rFonts w:ascii="Cambria" w:hAnsi="Cambria" w:cs="Calibri"/>
          <w:b/>
          <w:bCs/>
          <w:sz w:val="22"/>
          <w:szCs w:val="22"/>
        </w:rPr>
      </w:pPr>
      <w:r w:rsidRPr="0083534C">
        <w:rPr>
          <w:rFonts w:ascii="Cambria" w:hAnsi="Cambria" w:cs="Times New Roman (Body CS)"/>
          <w:b/>
          <w:smallCaps/>
          <w:sz w:val="22"/>
          <w:szCs w:val="22"/>
        </w:rPr>
        <w:t>Small-Medium Business Sector</w:t>
      </w:r>
    </w:p>
    <w:p w14:paraId="34528730" w14:textId="2EB0265F" w:rsidR="007D5BF7" w:rsidRPr="0083534C" w:rsidRDefault="007D5BF7" w:rsidP="00513677">
      <w:pPr>
        <w:rPr>
          <w:rFonts w:ascii="Cambria" w:hAnsi="Cambria"/>
          <w:sz w:val="22"/>
          <w:szCs w:val="22"/>
        </w:rPr>
      </w:pPr>
      <w:r w:rsidRPr="0083534C">
        <w:rPr>
          <w:rFonts w:ascii="Cambria" w:hAnsi="Cambria"/>
          <w:sz w:val="22"/>
          <w:szCs w:val="22"/>
        </w:rPr>
        <w:t>Theo Love</w:t>
      </w:r>
      <w:r w:rsidR="005C190B" w:rsidRPr="0083534C">
        <w:rPr>
          <w:rFonts w:ascii="Cambria" w:hAnsi="Cambria"/>
          <w:sz w:val="22"/>
          <w:szCs w:val="22"/>
        </w:rPr>
        <w:t xml:space="preserve"> (Green Energy Economics)</w:t>
      </w:r>
      <w:r w:rsidRPr="0083534C">
        <w:rPr>
          <w:rFonts w:ascii="Cambria" w:hAnsi="Cambria"/>
          <w:sz w:val="22"/>
          <w:szCs w:val="22"/>
        </w:rPr>
        <w:t xml:space="preserve"> presented the final analysis, </w:t>
      </w:r>
      <w:r w:rsidRPr="005027F4">
        <w:rPr>
          <w:rFonts w:ascii="Cambria" w:hAnsi="Cambria"/>
          <w:sz w:val="22"/>
          <w:szCs w:val="22"/>
        </w:rPr>
        <w:t>findings and conclusions on the SMB sector research being led by UC Irvine and Green Energy Economics. Th</w:t>
      </w:r>
      <w:r w:rsidR="001C54BF" w:rsidRPr="005027F4">
        <w:rPr>
          <w:rFonts w:ascii="Cambria" w:hAnsi="Cambria"/>
          <w:sz w:val="22"/>
          <w:szCs w:val="22"/>
        </w:rPr>
        <w:t xml:space="preserve">e report </w:t>
      </w:r>
      <w:r w:rsidRPr="005027F4">
        <w:rPr>
          <w:rFonts w:ascii="Cambria" w:hAnsi="Cambria"/>
          <w:sz w:val="22"/>
          <w:szCs w:val="22"/>
        </w:rPr>
        <w:t xml:space="preserve">is available on the meeting webpage (see link above, </w:t>
      </w:r>
      <w:r w:rsidR="001C54BF" w:rsidRPr="005027F4">
        <w:rPr>
          <w:rFonts w:ascii="Cambria" w:hAnsi="Cambria"/>
          <w:i/>
          <w:iCs/>
          <w:sz w:val="22"/>
          <w:szCs w:val="22"/>
        </w:rPr>
        <w:t>Small-Medium Business Underserved WG report 7.2.21 (7.12.21</w:t>
      </w:r>
      <w:r w:rsidRPr="005027F4">
        <w:rPr>
          <w:rFonts w:ascii="Cambria" w:hAnsi="Cambria"/>
          <w:i/>
          <w:iCs/>
          <w:sz w:val="22"/>
          <w:szCs w:val="22"/>
        </w:rPr>
        <w:t xml:space="preserve">), </w:t>
      </w:r>
      <w:r w:rsidRPr="005027F4">
        <w:rPr>
          <w:rFonts w:ascii="Cambria" w:hAnsi="Cambria"/>
          <w:sz w:val="22"/>
          <w:szCs w:val="22"/>
        </w:rPr>
        <w:t xml:space="preserve">under “Documents Posted </w:t>
      </w:r>
      <w:r w:rsidR="005027F4" w:rsidRPr="00DE351B">
        <w:rPr>
          <w:rFonts w:ascii="Cambria" w:hAnsi="Cambria"/>
          <w:sz w:val="22"/>
          <w:szCs w:val="22"/>
        </w:rPr>
        <w:t>Before</w:t>
      </w:r>
      <w:r w:rsidR="005027F4" w:rsidRPr="005027F4">
        <w:rPr>
          <w:rFonts w:ascii="Cambria" w:hAnsi="Cambria"/>
          <w:sz w:val="22"/>
          <w:szCs w:val="22"/>
        </w:rPr>
        <w:t xml:space="preserve"> </w:t>
      </w:r>
      <w:r w:rsidRPr="005027F4">
        <w:rPr>
          <w:rFonts w:ascii="Cambria" w:hAnsi="Cambria"/>
          <w:sz w:val="22"/>
          <w:szCs w:val="22"/>
        </w:rPr>
        <w:t>the Meeting”).</w:t>
      </w:r>
    </w:p>
    <w:p w14:paraId="41230A9D" w14:textId="77777777" w:rsidR="007D5BF7" w:rsidRPr="0083534C" w:rsidRDefault="007D5BF7" w:rsidP="00513677">
      <w:pPr>
        <w:rPr>
          <w:rFonts w:ascii="Cambria" w:hAnsi="Cambria"/>
          <w:sz w:val="22"/>
          <w:szCs w:val="22"/>
        </w:rPr>
      </w:pPr>
    </w:p>
    <w:p w14:paraId="785AFC0D" w14:textId="79B9A002" w:rsidR="007D5BF7" w:rsidRPr="0083534C" w:rsidRDefault="007D5BF7" w:rsidP="00513677">
      <w:pPr>
        <w:rPr>
          <w:rFonts w:ascii="Cambria" w:hAnsi="Cambria"/>
          <w:sz w:val="22"/>
          <w:szCs w:val="22"/>
        </w:rPr>
      </w:pPr>
      <w:r w:rsidRPr="0083534C">
        <w:rPr>
          <w:rFonts w:ascii="Cambria" w:hAnsi="Cambria"/>
          <w:sz w:val="22"/>
          <w:szCs w:val="22"/>
        </w:rPr>
        <w:t xml:space="preserve">Following the presentation, Members posed the following clarifying questions and </w:t>
      </w:r>
      <w:r w:rsidR="00513677" w:rsidRPr="0083534C">
        <w:rPr>
          <w:rFonts w:ascii="Cambria" w:hAnsi="Cambria"/>
          <w:sz w:val="22"/>
          <w:szCs w:val="22"/>
        </w:rPr>
        <w:t>comments</w:t>
      </w:r>
      <w:r w:rsidRPr="0083534C">
        <w:rPr>
          <w:rFonts w:ascii="Cambria" w:hAnsi="Cambria"/>
          <w:sz w:val="22"/>
          <w:szCs w:val="22"/>
        </w:rPr>
        <w:t>:</w:t>
      </w:r>
    </w:p>
    <w:p w14:paraId="2D3BBE35" w14:textId="244DBB28" w:rsidR="00513677" w:rsidRPr="0083534C" w:rsidRDefault="007D5BF7" w:rsidP="00513677">
      <w:pPr>
        <w:pStyle w:val="ListParagraph"/>
        <w:numPr>
          <w:ilvl w:val="0"/>
          <w:numId w:val="8"/>
        </w:numPr>
        <w:rPr>
          <w:rFonts w:ascii="Cambria" w:eastAsia="Times New Roman" w:hAnsi="Cambria" w:cs="Calibri"/>
          <w:sz w:val="22"/>
          <w:szCs w:val="22"/>
        </w:rPr>
      </w:pPr>
      <w:r w:rsidRPr="0083534C">
        <w:rPr>
          <w:rFonts w:ascii="Cambria" w:eastAsia="Times New Roman" w:hAnsi="Cambria" w:cs="Calibri"/>
          <w:sz w:val="22"/>
          <w:szCs w:val="22"/>
        </w:rPr>
        <w:t>L</w:t>
      </w:r>
      <w:r w:rsidR="005C190B" w:rsidRPr="0083534C">
        <w:rPr>
          <w:rFonts w:ascii="Cambria" w:eastAsia="Times New Roman" w:hAnsi="Cambria" w:cs="Calibri"/>
          <w:sz w:val="22"/>
          <w:szCs w:val="22"/>
        </w:rPr>
        <w:t>.</w:t>
      </w:r>
      <w:r w:rsidR="00D14404" w:rsidRPr="0083534C">
        <w:rPr>
          <w:rFonts w:ascii="Cambria" w:eastAsia="Times New Roman" w:hAnsi="Cambria" w:cs="Calibri"/>
          <w:sz w:val="22"/>
          <w:szCs w:val="22"/>
        </w:rPr>
        <w:t xml:space="preserve"> Jacobson</w:t>
      </w:r>
      <w:r w:rsidRPr="0083534C">
        <w:rPr>
          <w:rFonts w:ascii="Cambria" w:eastAsia="Times New Roman" w:hAnsi="Cambria" w:cs="Calibri"/>
          <w:sz w:val="22"/>
          <w:szCs w:val="22"/>
        </w:rPr>
        <w:t xml:space="preserve">: </w:t>
      </w:r>
      <w:r w:rsidR="00D14404" w:rsidRPr="0083534C">
        <w:rPr>
          <w:rFonts w:ascii="Cambria" w:eastAsia="Times New Roman" w:hAnsi="Cambria" w:cs="Calibri"/>
          <w:sz w:val="22"/>
          <w:szCs w:val="22"/>
        </w:rPr>
        <w:t>Focusing in on Rurality, can you provide the source</w:t>
      </w:r>
      <w:r w:rsidRPr="0083534C">
        <w:rPr>
          <w:rFonts w:ascii="Cambria" w:eastAsia="Times New Roman" w:hAnsi="Cambria" w:cs="Calibri"/>
          <w:sz w:val="22"/>
          <w:szCs w:val="22"/>
        </w:rPr>
        <w:t xml:space="preserve">? </w:t>
      </w:r>
      <w:r w:rsidR="00D14404" w:rsidRPr="0083534C">
        <w:rPr>
          <w:rFonts w:ascii="Cambria" w:eastAsia="Times New Roman" w:hAnsi="Cambria" w:cs="Calibri"/>
          <w:sz w:val="22"/>
          <w:szCs w:val="22"/>
        </w:rPr>
        <w:t>If you have an urban-rural connected community, did you look at penetration rates in those zip codes as compared to rural communities that don’t border urban communities?</w:t>
      </w:r>
    </w:p>
    <w:p w14:paraId="342F5BD1" w14:textId="36BCC568" w:rsidR="007D5BF7" w:rsidRPr="0083534C" w:rsidRDefault="007D5BF7" w:rsidP="00513677">
      <w:pPr>
        <w:pStyle w:val="ListParagraph"/>
        <w:numPr>
          <w:ilvl w:val="1"/>
          <w:numId w:val="8"/>
        </w:numPr>
        <w:rPr>
          <w:rFonts w:ascii="Cambria" w:eastAsia="Times New Roman" w:hAnsi="Cambria" w:cs="Calibri"/>
          <w:sz w:val="22"/>
          <w:szCs w:val="22"/>
        </w:rPr>
      </w:pPr>
      <w:r w:rsidRPr="0083534C">
        <w:rPr>
          <w:rFonts w:ascii="Cambria" w:eastAsia="Times New Roman" w:hAnsi="Cambria" w:cs="Calibri"/>
          <w:sz w:val="22"/>
          <w:szCs w:val="22"/>
        </w:rPr>
        <w:t xml:space="preserve">T. Love: </w:t>
      </w:r>
      <w:r w:rsidR="00D14404" w:rsidRPr="0083534C">
        <w:rPr>
          <w:rFonts w:ascii="Cambria" w:eastAsia="Times New Roman" w:hAnsi="Cambria" w:cs="Calibri"/>
          <w:sz w:val="22"/>
          <w:szCs w:val="22"/>
        </w:rPr>
        <w:t xml:space="preserve">We used the 2010 IRR (Index of Relative Rurality) – see Figure 10 in the report. The greater the density, the lower the incentives – this may make sense when one large project can skew </w:t>
      </w:r>
      <w:r w:rsidR="008B2A92">
        <w:rPr>
          <w:rFonts w:ascii="Cambria" w:eastAsia="Times New Roman" w:hAnsi="Cambria" w:cs="Calibri"/>
          <w:sz w:val="22"/>
          <w:szCs w:val="22"/>
        </w:rPr>
        <w:t xml:space="preserve">the results for a </w:t>
      </w:r>
      <w:proofErr w:type="spellStart"/>
      <w:r w:rsidR="00D14404" w:rsidRPr="0083534C">
        <w:rPr>
          <w:rFonts w:ascii="Cambria" w:eastAsia="Times New Roman" w:hAnsi="Cambria" w:cs="Calibri"/>
          <w:sz w:val="22"/>
          <w:szCs w:val="22"/>
        </w:rPr>
        <w:t>zipcode</w:t>
      </w:r>
      <w:proofErr w:type="spellEnd"/>
      <w:r w:rsidR="00D14404" w:rsidRPr="0083534C">
        <w:rPr>
          <w:rFonts w:ascii="Cambria" w:eastAsia="Times New Roman" w:hAnsi="Cambria" w:cs="Calibri"/>
          <w:sz w:val="22"/>
          <w:szCs w:val="22"/>
        </w:rPr>
        <w:t xml:space="preserve">. </w:t>
      </w:r>
      <w:r w:rsidR="002627FA" w:rsidRPr="0083534C">
        <w:rPr>
          <w:rFonts w:ascii="Cambria" w:eastAsia="Times New Roman" w:hAnsi="Cambria" w:cs="Calibri"/>
          <w:sz w:val="22"/>
          <w:szCs w:val="22"/>
        </w:rPr>
        <w:t xml:space="preserve">We’re happy to talk about this offline. </w:t>
      </w:r>
    </w:p>
    <w:p w14:paraId="13F33D11" w14:textId="02EDF7C8" w:rsidR="002627FA" w:rsidRPr="0083534C" w:rsidRDefault="00D14404" w:rsidP="002627FA">
      <w:pPr>
        <w:pStyle w:val="ListParagraph"/>
        <w:numPr>
          <w:ilvl w:val="0"/>
          <w:numId w:val="8"/>
        </w:numPr>
        <w:rPr>
          <w:rFonts w:ascii="Cambria" w:eastAsia="Times New Roman" w:hAnsi="Cambria" w:cs="Calibri"/>
          <w:sz w:val="22"/>
          <w:szCs w:val="22"/>
        </w:rPr>
      </w:pPr>
      <w:r w:rsidRPr="0083534C">
        <w:rPr>
          <w:rFonts w:ascii="Cambria" w:eastAsia="Times New Roman" w:hAnsi="Cambria" w:cs="Calibri"/>
          <w:sz w:val="22"/>
          <w:szCs w:val="22"/>
        </w:rPr>
        <w:t xml:space="preserve">M. </w:t>
      </w:r>
      <w:r w:rsidR="002627FA" w:rsidRPr="0083534C">
        <w:rPr>
          <w:rFonts w:ascii="Cambria" w:eastAsia="Times New Roman" w:hAnsi="Cambria" w:cs="Calibri"/>
          <w:sz w:val="22"/>
          <w:szCs w:val="22"/>
        </w:rPr>
        <w:t>Garcia Paine</w:t>
      </w:r>
      <w:r w:rsidRPr="0083534C">
        <w:rPr>
          <w:rFonts w:ascii="Cambria" w:eastAsia="Times New Roman" w:hAnsi="Cambria" w:cs="Calibri"/>
          <w:sz w:val="22"/>
          <w:szCs w:val="22"/>
        </w:rPr>
        <w:t xml:space="preserve">: Can you </w:t>
      </w:r>
      <w:r w:rsidR="008B2A92">
        <w:rPr>
          <w:rFonts w:ascii="Cambria" w:eastAsia="Times New Roman" w:hAnsi="Cambria" w:cs="Calibri"/>
          <w:sz w:val="22"/>
          <w:szCs w:val="22"/>
        </w:rPr>
        <w:t xml:space="preserve">elaborate on your observations relative to </w:t>
      </w:r>
      <w:r w:rsidRPr="0083534C">
        <w:rPr>
          <w:rFonts w:ascii="Cambria" w:eastAsia="Times New Roman" w:hAnsi="Cambria" w:cs="Calibri"/>
          <w:sz w:val="22"/>
          <w:szCs w:val="22"/>
        </w:rPr>
        <w:t>“noisy” data? We were all concerned about data quality and would love to hear more about what you learned.</w:t>
      </w:r>
    </w:p>
    <w:p w14:paraId="715C364A" w14:textId="4F798D10" w:rsidR="00D14404" w:rsidRPr="0083534C" w:rsidRDefault="00D14404" w:rsidP="002627FA">
      <w:pPr>
        <w:pStyle w:val="ListParagraph"/>
        <w:numPr>
          <w:ilvl w:val="1"/>
          <w:numId w:val="8"/>
        </w:numPr>
        <w:rPr>
          <w:rFonts w:ascii="Cambria" w:eastAsia="Times New Roman" w:hAnsi="Cambria" w:cs="Calibri"/>
          <w:sz w:val="22"/>
          <w:szCs w:val="22"/>
        </w:rPr>
      </w:pPr>
      <w:r w:rsidRPr="0083534C">
        <w:rPr>
          <w:rFonts w:ascii="Cambria" w:eastAsia="Times New Roman" w:hAnsi="Cambria" w:cs="Calibri"/>
          <w:sz w:val="22"/>
          <w:szCs w:val="22"/>
        </w:rPr>
        <w:t>T. Love: We’re comparing two datasets, so already doing an abstraction, with some tricks to reduce the noise. That said, there were some outliers and other data processing that we needed to do</w:t>
      </w:r>
      <w:r w:rsidR="00960578" w:rsidRPr="0083534C">
        <w:rPr>
          <w:rFonts w:ascii="Cambria" w:eastAsia="Times New Roman" w:hAnsi="Cambria" w:cs="Calibri"/>
          <w:sz w:val="22"/>
          <w:szCs w:val="22"/>
        </w:rPr>
        <w:t xml:space="preserve">. </w:t>
      </w:r>
      <w:proofErr w:type="gramStart"/>
      <w:r w:rsidR="00960578" w:rsidRPr="0083534C">
        <w:rPr>
          <w:rFonts w:ascii="Cambria" w:eastAsia="Times New Roman" w:hAnsi="Cambria" w:cs="Calibri"/>
          <w:sz w:val="22"/>
          <w:szCs w:val="22"/>
        </w:rPr>
        <w:t>Fortunately</w:t>
      </w:r>
      <w:proofErr w:type="gramEnd"/>
      <w:r w:rsidR="00960578" w:rsidRPr="0083534C">
        <w:rPr>
          <w:rFonts w:ascii="Cambria" w:eastAsia="Times New Roman" w:hAnsi="Cambria" w:cs="Calibri"/>
          <w:sz w:val="22"/>
          <w:szCs w:val="22"/>
        </w:rPr>
        <w:t xml:space="preserve"> the data set is large, somewhere around 4M claims that we ended up reducing to less than 1M.</w:t>
      </w:r>
      <w:r w:rsidR="002627FA" w:rsidRPr="0083534C">
        <w:rPr>
          <w:rFonts w:ascii="Cambria" w:eastAsia="Times New Roman" w:hAnsi="Cambria" w:cs="Calibri"/>
          <w:sz w:val="22"/>
          <w:szCs w:val="22"/>
        </w:rPr>
        <w:t xml:space="preserve"> </w:t>
      </w:r>
      <w:r w:rsidR="002627FA" w:rsidRPr="0083534C">
        <w:rPr>
          <w:rFonts w:ascii="Cambria" w:eastAsia="Times New Roman" w:hAnsi="Cambria" w:cs="Times New Roman"/>
          <w:sz w:val="22"/>
          <w:szCs w:val="22"/>
        </w:rPr>
        <w:t xml:space="preserve">We </w:t>
      </w:r>
      <w:r w:rsidR="002627FA" w:rsidRPr="0083534C">
        <w:rPr>
          <w:rFonts w:ascii="Cambria" w:eastAsia="Times New Roman" w:hAnsi="Cambria" w:cs="Times New Roman"/>
          <w:sz w:val="22"/>
          <w:szCs w:val="22"/>
        </w:rPr>
        <w:lastRenderedPageBreak/>
        <w:t xml:space="preserve">removed all zip codes that had 10 or </w:t>
      </w:r>
      <w:r w:rsidR="005C190B" w:rsidRPr="0083534C">
        <w:rPr>
          <w:rFonts w:ascii="Cambria" w:eastAsia="Times New Roman" w:hAnsi="Cambria" w:cs="Times New Roman"/>
          <w:sz w:val="22"/>
          <w:szCs w:val="22"/>
        </w:rPr>
        <w:t>fewer</w:t>
      </w:r>
      <w:r w:rsidR="002627FA" w:rsidRPr="0083534C">
        <w:rPr>
          <w:rFonts w:ascii="Cambria" w:eastAsia="Times New Roman" w:hAnsi="Cambria" w:cs="Times New Roman"/>
          <w:sz w:val="22"/>
          <w:szCs w:val="22"/>
        </w:rPr>
        <w:t xml:space="preserve"> unique participants, because that was really leading to a lot more noise in the data</w:t>
      </w:r>
      <w:r w:rsidR="005C190B" w:rsidRPr="0083534C">
        <w:rPr>
          <w:rFonts w:ascii="Cambria" w:eastAsia="Times New Roman" w:hAnsi="Cambria" w:cs="Times New Roman"/>
          <w:sz w:val="22"/>
          <w:szCs w:val="22"/>
        </w:rPr>
        <w:t>. Also hypothesize that population business density in smaller zip codes could create noisy data.</w:t>
      </w:r>
    </w:p>
    <w:p w14:paraId="07B53F81" w14:textId="66D86F6E" w:rsidR="008D0838" w:rsidRPr="0083534C" w:rsidRDefault="008D0838" w:rsidP="008D0838">
      <w:pPr>
        <w:pStyle w:val="ListParagraph"/>
        <w:numPr>
          <w:ilvl w:val="0"/>
          <w:numId w:val="8"/>
        </w:numPr>
        <w:rPr>
          <w:rFonts w:ascii="Cambria" w:eastAsia="Times New Roman" w:hAnsi="Cambria" w:cs="Calibri"/>
          <w:sz w:val="22"/>
          <w:szCs w:val="22"/>
        </w:rPr>
      </w:pPr>
      <w:r w:rsidRPr="0083534C">
        <w:rPr>
          <w:rFonts w:ascii="Cambria" w:eastAsia="Times New Roman" w:hAnsi="Cambria" w:cs="Calibri"/>
          <w:sz w:val="22"/>
          <w:szCs w:val="22"/>
        </w:rPr>
        <w:t xml:space="preserve">J. Dodenhoff: </w:t>
      </w:r>
      <w:r w:rsidR="005C190B" w:rsidRPr="0083534C">
        <w:rPr>
          <w:rFonts w:ascii="Cambria" w:hAnsi="Cambria" w:cs="Helvetica Neue"/>
          <w:color w:val="1F1F1F"/>
          <w:sz w:val="22"/>
          <w:szCs w:val="22"/>
        </w:rPr>
        <w:t>Might</w:t>
      </w:r>
      <w:r w:rsidRPr="0083534C">
        <w:rPr>
          <w:rFonts w:ascii="Cambria" w:hAnsi="Cambria" w:cs="Helvetica Neue"/>
          <w:color w:val="1F1F1F"/>
          <w:sz w:val="22"/>
          <w:szCs w:val="22"/>
        </w:rPr>
        <w:t xml:space="preserve"> </w:t>
      </w:r>
      <w:proofErr w:type="spellStart"/>
      <w:r w:rsidRPr="0083534C">
        <w:rPr>
          <w:rFonts w:ascii="Cambria" w:hAnsi="Cambria" w:cs="Helvetica Neue"/>
          <w:color w:val="1F1F1F"/>
          <w:sz w:val="22"/>
          <w:szCs w:val="22"/>
        </w:rPr>
        <w:t>Enviroscreen</w:t>
      </w:r>
      <w:proofErr w:type="spellEnd"/>
      <w:r w:rsidRPr="0083534C">
        <w:rPr>
          <w:rFonts w:ascii="Cambria" w:hAnsi="Cambria" w:cs="Helvetica Neue"/>
          <w:color w:val="1F1F1F"/>
          <w:sz w:val="22"/>
          <w:szCs w:val="22"/>
        </w:rPr>
        <w:t xml:space="preserve"> 4.0 have any effect on this analysis?</w:t>
      </w:r>
    </w:p>
    <w:p w14:paraId="68E12459" w14:textId="5EE80FAE" w:rsidR="008D0838" w:rsidRPr="0083534C" w:rsidRDefault="008D0838" w:rsidP="00513677">
      <w:pPr>
        <w:pStyle w:val="ListParagraph"/>
        <w:numPr>
          <w:ilvl w:val="1"/>
          <w:numId w:val="8"/>
        </w:numPr>
        <w:rPr>
          <w:rFonts w:ascii="Cambria" w:eastAsia="Times New Roman" w:hAnsi="Cambria" w:cs="Calibri"/>
          <w:sz w:val="22"/>
          <w:szCs w:val="22"/>
        </w:rPr>
      </w:pPr>
      <w:r w:rsidRPr="0083534C">
        <w:rPr>
          <w:rFonts w:ascii="Cambria" w:eastAsia="Times New Roman" w:hAnsi="Cambria" w:cs="Calibri"/>
          <w:sz w:val="22"/>
          <w:szCs w:val="22"/>
        </w:rPr>
        <w:t xml:space="preserve">T. Love: It </w:t>
      </w:r>
      <w:r w:rsidR="00B67BB5" w:rsidRPr="0083534C">
        <w:rPr>
          <w:rFonts w:ascii="Cambria" w:eastAsia="Times New Roman" w:hAnsi="Cambria" w:cs="Calibri"/>
          <w:sz w:val="22"/>
          <w:szCs w:val="22"/>
        </w:rPr>
        <w:t>may</w:t>
      </w:r>
      <w:r w:rsidRPr="0083534C">
        <w:rPr>
          <w:rFonts w:ascii="Cambria" w:eastAsia="Times New Roman" w:hAnsi="Cambria" w:cs="Calibri"/>
          <w:sz w:val="22"/>
          <w:szCs w:val="22"/>
        </w:rPr>
        <w:t xml:space="preserve">. Can’t recall if this would cover the same </w:t>
      </w:r>
      <w:proofErr w:type="gramStart"/>
      <w:r w:rsidRPr="0083534C">
        <w:rPr>
          <w:rFonts w:ascii="Cambria" w:eastAsia="Times New Roman" w:hAnsi="Cambria" w:cs="Calibri"/>
          <w:sz w:val="22"/>
          <w:szCs w:val="22"/>
        </w:rPr>
        <w:t>time period</w:t>
      </w:r>
      <w:proofErr w:type="gramEnd"/>
      <w:r w:rsidRPr="0083534C">
        <w:rPr>
          <w:rFonts w:ascii="Cambria" w:eastAsia="Times New Roman" w:hAnsi="Cambria" w:cs="Calibri"/>
          <w:sz w:val="22"/>
          <w:szCs w:val="22"/>
        </w:rPr>
        <w:t>. It was released in the middle of our analysis, and I believe it’s still in draft</w:t>
      </w:r>
      <w:r w:rsidR="0001163C" w:rsidRPr="0083534C">
        <w:rPr>
          <w:rFonts w:ascii="Cambria" w:eastAsia="Times New Roman" w:hAnsi="Cambria" w:cs="Calibri"/>
          <w:sz w:val="22"/>
          <w:szCs w:val="22"/>
        </w:rPr>
        <w:t xml:space="preserve"> form</w:t>
      </w:r>
    </w:p>
    <w:p w14:paraId="5C237C2A" w14:textId="16549D9F" w:rsidR="00E52016" w:rsidRPr="00DE351B" w:rsidRDefault="00E52016" w:rsidP="00E52016">
      <w:pPr>
        <w:pStyle w:val="ListParagraph"/>
        <w:numPr>
          <w:ilvl w:val="0"/>
          <w:numId w:val="8"/>
        </w:numPr>
        <w:rPr>
          <w:rFonts w:ascii="Cambria" w:eastAsia="Times New Roman" w:hAnsi="Cambria" w:cs="Calibri"/>
          <w:sz w:val="22"/>
          <w:szCs w:val="22"/>
        </w:rPr>
      </w:pPr>
      <w:r w:rsidRPr="0083534C">
        <w:rPr>
          <w:rFonts w:ascii="Cambria" w:eastAsia="Times New Roman" w:hAnsi="Cambria" w:cs="Calibri"/>
          <w:sz w:val="22"/>
          <w:szCs w:val="22"/>
        </w:rPr>
        <w:t xml:space="preserve">J. Dodenhoff: </w:t>
      </w:r>
      <w:r w:rsidR="008B2A92">
        <w:rPr>
          <w:rFonts w:ascii="Cambria" w:eastAsia="Times New Roman" w:hAnsi="Cambria" w:cs="Calibri"/>
          <w:sz w:val="22"/>
          <w:szCs w:val="22"/>
        </w:rPr>
        <w:t xml:space="preserve"> How would you sum up the </w:t>
      </w:r>
      <w:r w:rsidRPr="0083534C">
        <w:rPr>
          <w:rFonts w:ascii="Cambria" w:hAnsi="Cambria" w:cs="Helvetica Neue"/>
          <w:color w:val="1F1F1F"/>
          <w:sz w:val="22"/>
          <w:szCs w:val="22"/>
        </w:rPr>
        <w:t>SMB</w:t>
      </w:r>
      <w:r w:rsidR="008B2A92">
        <w:rPr>
          <w:rFonts w:ascii="Cambria" w:hAnsi="Cambria" w:cs="Helvetica Neue"/>
          <w:color w:val="1F1F1F"/>
          <w:sz w:val="22"/>
          <w:szCs w:val="22"/>
        </w:rPr>
        <w:t xml:space="preserve"> investigation’</w:t>
      </w:r>
      <w:r w:rsidRPr="0083534C">
        <w:rPr>
          <w:rFonts w:ascii="Cambria" w:hAnsi="Cambria" w:cs="Helvetica Neue"/>
          <w:color w:val="1F1F1F"/>
          <w:sz w:val="22"/>
          <w:szCs w:val="22"/>
        </w:rPr>
        <w:t>s bottom line with respect to reporting out to the CPUC? I did not see a lot of information that provided clear indication that we (CAEECC) came up with significant findings that would clearly show a HTR definition which is significantly different than the CPUC's</w:t>
      </w:r>
      <w:r w:rsidR="0001163C" w:rsidRPr="0083534C">
        <w:rPr>
          <w:rFonts w:ascii="Cambria" w:hAnsi="Cambria" w:cs="Helvetica Neue"/>
          <w:color w:val="1F1F1F"/>
          <w:sz w:val="22"/>
          <w:szCs w:val="22"/>
        </w:rPr>
        <w:t xml:space="preserve">, </w:t>
      </w:r>
      <w:r w:rsidRPr="0083534C">
        <w:rPr>
          <w:rFonts w:ascii="Cambria" w:hAnsi="Cambria" w:cs="Helvetica Neue"/>
          <w:color w:val="1F1F1F"/>
          <w:sz w:val="22"/>
          <w:szCs w:val="22"/>
        </w:rPr>
        <w:t>which is really at the heart of this work.</w:t>
      </w:r>
    </w:p>
    <w:p w14:paraId="2DDA2013" w14:textId="77777777" w:rsidR="008B2A92" w:rsidRPr="0083534C" w:rsidRDefault="008B2A92" w:rsidP="00E52016">
      <w:pPr>
        <w:pStyle w:val="ListParagraph"/>
        <w:numPr>
          <w:ilvl w:val="0"/>
          <w:numId w:val="8"/>
        </w:numPr>
        <w:rPr>
          <w:rFonts w:ascii="Cambria" w:eastAsia="Times New Roman" w:hAnsi="Cambria" w:cs="Calibri"/>
          <w:sz w:val="22"/>
          <w:szCs w:val="22"/>
        </w:rPr>
      </w:pPr>
    </w:p>
    <w:p w14:paraId="2D7AEE24" w14:textId="472F95C8" w:rsidR="008D0838" w:rsidRPr="0083534C" w:rsidRDefault="008D0838" w:rsidP="00513677">
      <w:pPr>
        <w:pStyle w:val="ListParagraph"/>
        <w:numPr>
          <w:ilvl w:val="1"/>
          <w:numId w:val="8"/>
        </w:numPr>
        <w:rPr>
          <w:rFonts w:ascii="Cambria" w:eastAsia="Times New Roman" w:hAnsi="Cambria" w:cs="Calibri"/>
          <w:sz w:val="22"/>
          <w:szCs w:val="22"/>
        </w:rPr>
      </w:pPr>
      <w:r w:rsidRPr="0083534C">
        <w:rPr>
          <w:rFonts w:ascii="Cambria" w:eastAsia="Times New Roman" w:hAnsi="Cambria" w:cs="Calibri"/>
          <w:sz w:val="22"/>
          <w:szCs w:val="22"/>
        </w:rPr>
        <w:t xml:space="preserve">T. Love: </w:t>
      </w:r>
      <w:r w:rsidR="008B2A92">
        <w:rPr>
          <w:rFonts w:ascii="Cambria" w:eastAsia="Times New Roman" w:hAnsi="Cambria" w:cs="Calibri"/>
          <w:sz w:val="22"/>
          <w:szCs w:val="22"/>
        </w:rPr>
        <w:t>The n</w:t>
      </w:r>
      <w:r w:rsidRPr="0083534C">
        <w:rPr>
          <w:rFonts w:ascii="Cambria" w:eastAsia="Times New Roman" w:hAnsi="Cambria" w:cs="Calibri"/>
          <w:sz w:val="22"/>
          <w:szCs w:val="22"/>
        </w:rPr>
        <w:t>umber of employees plays a significant role, but the results are nuanced. It’s hard to say definit</w:t>
      </w:r>
      <w:r w:rsidR="0001163C" w:rsidRPr="0083534C">
        <w:rPr>
          <w:rFonts w:ascii="Cambria" w:eastAsia="Times New Roman" w:hAnsi="Cambria" w:cs="Calibri"/>
          <w:sz w:val="22"/>
          <w:szCs w:val="22"/>
        </w:rPr>
        <w:t>iv</w:t>
      </w:r>
      <w:r w:rsidRPr="0083534C">
        <w:rPr>
          <w:rFonts w:ascii="Cambria" w:eastAsia="Times New Roman" w:hAnsi="Cambria" w:cs="Calibri"/>
          <w:sz w:val="22"/>
          <w:szCs w:val="22"/>
        </w:rPr>
        <w:t xml:space="preserve">ely that a definition is incorrect, but findings could support shifts in program design. I believe it’s part of one definition used. Also, note that we’re working with </w:t>
      </w:r>
      <w:r w:rsidR="00E52016" w:rsidRPr="0083534C">
        <w:rPr>
          <w:rFonts w:ascii="Cambria" w:eastAsia="Times New Roman" w:hAnsi="Cambria" w:cs="Calibri"/>
          <w:sz w:val="22"/>
          <w:szCs w:val="22"/>
        </w:rPr>
        <w:t>correlations</w:t>
      </w:r>
      <w:r w:rsidRPr="0083534C">
        <w:rPr>
          <w:rFonts w:ascii="Cambria" w:eastAsia="Times New Roman" w:hAnsi="Cambria" w:cs="Calibri"/>
          <w:sz w:val="22"/>
          <w:szCs w:val="22"/>
        </w:rPr>
        <w:t xml:space="preserve">; we didn’t know the actual size of </w:t>
      </w:r>
      <w:r w:rsidR="00E52016" w:rsidRPr="0083534C">
        <w:rPr>
          <w:rFonts w:ascii="Cambria" w:eastAsia="Times New Roman" w:hAnsi="Cambria" w:cs="Calibri"/>
          <w:sz w:val="22"/>
          <w:szCs w:val="22"/>
        </w:rPr>
        <w:t xml:space="preserve">the businesses. </w:t>
      </w:r>
    </w:p>
    <w:p w14:paraId="5F0E2B77" w14:textId="187A1203" w:rsidR="007D5BF7" w:rsidRPr="0083534C" w:rsidRDefault="007D5BF7" w:rsidP="00513677">
      <w:pPr>
        <w:rPr>
          <w:rFonts w:ascii="Cambria" w:hAnsi="Cambria" w:cs="Calibri"/>
          <w:sz w:val="22"/>
          <w:szCs w:val="22"/>
        </w:rPr>
      </w:pPr>
    </w:p>
    <w:p w14:paraId="1F6956A4" w14:textId="7B0679C7" w:rsidR="00E52016" w:rsidRPr="0083534C" w:rsidRDefault="00E52016" w:rsidP="00E52016">
      <w:pPr>
        <w:rPr>
          <w:rFonts w:ascii="Cambria" w:hAnsi="Cambria" w:cs="Calibri"/>
          <w:sz w:val="22"/>
          <w:szCs w:val="22"/>
          <w:highlight w:val="yellow"/>
        </w:rPr>
      </w:pPr>
      <w:r w:rsidRPr="0083534C">
        <w:rPr>
          <w:rFonts w:ascii="Cambria" w:hAnsi="Cambria" w:cs="Calibri"/>
          <w:sz w:val="22"/>
          <w:szCs w:val="22"/>
        </w:rPr>
        <w:t>T. Love concluded that the SMB research team is o</w:t>
      </w:r>
      <w:r w:rsidRPr="0083534C">
        <w:rPr>
          <w:rFonts w:ascii="Cambria" w:eastAsia="Times New Roman" w:hAnsi="Cambria" w:cs="Calibri"/>
          <w:sz w:val="22"/>
          <w:szCs w:val="22"/>
        </w:rPr>
        <w:t>pen to additional comments on the report. S. McCreary thanked the team for their</w:t>
      </w:r>
      <w:r w:rsidR="0001163C" w:rsidRPr="0083534C">
        <w:rPr>
          <w:rFonts w:ascii="Cambria" w:eastAsia="Times New Roman" w:hAnsi="Cambria" w:cs="Calibri"/>
          <w:sz w:val="22"/>
          <w:szCs w:val="22"/>
        </w:rPr>
        <w:t xml:space="preserve"> hard work over many months. </w:t>
      </w:r>
      <w:r w:rsidRPr="0083534C">
        <w:rPr>
          <w:rFonts w:ascii="Cambria" w:eastAsia="Times New Roman" w:hAnsi="Cambria" w:cs="Calibri"/>
          <w:sz w:val="22"/>
          <w:szCs w:val="22"/>
        </w:rPr>
        <w:t xml:space="preserve"> </w:t>
      </w:r>
    </w:p>
    <w:p w14:paraId="7BA62306" w14:textId="77777777" w:rsidR="007D5BF7" w:rsidRPr="0083534C" w:rsidRDefault="007D5BF7" w:rsidP="00513677">
      <w:pPr>
        <w:shd w:val="clear" w:color="auto" w:fill="FFFFFF"/>
        <w:rPr>
          <w:rFonts w:ascii="Cambria" w:eastAsia="Times New Roman" w:hAnsi="Cambria" w:cs="Calibri"/>
          <w:b/>
          <w:bCs/>
          <w:sz w:val="22"/>
          <w:szCs w:val="22"/>
        </w:rPr>
      </w:pPr>
    </w:p>
    <w:p w14:paraId="25E708C8" w14:textId="705BCDC4" w:rsidR="007D5BF7" w:rsidRPr="0083534C" w:rsidRDefault="007D5BF7" w:rsidP="00513677">
      <w:pPr>
        <w:rPr>
          <w:rFonts w:ascii="Cambria" w:hAnsi="Cambria" w:cs="Calibri"/>
          <w:b/>
          <w:bCs/>
          <w:sz w:val="22"/>
          <w:szCs w:val="22"/>
        </w:rPr>
      </w:pPr>
      <w:r w:rsidRPr="0083534C">
        <w:rPr>
          <w:rFonts w:ascii="Cambria" w:hAnsi="Cambria" w:cs="Times New Roman (Body CS)"/>
          <w:b/>
          <w:smallCaps/>
          <w:sz w:val="22"/>
          <w:szCs w:val="22"/>
        </w:rPr>
        <w:t>Public Sector</w:t>
      </w:r>
    </w:p>
    <w:p w14:paraId="17237E5D" w14:textId="2AA753D8" w:rsidR="00513677" w:rsidRPr="0083534C" w:rsidRDefault="00B67BB5" w:rsidP="00513677">
      <w:pPr>
        <w:rPr>
          <w:rFonts w:ascii="Cambria" w:hAnsi="Cambria"/>
          <w:sz w:val="22"/>
          <w:szCs w:val="22"/>
        </w:rPr>
      </w:pPr>
      <w:r w:rsidRPr="0083534C">
        <w:rPr>
          <w:rFonts w:ascii="Cambria" w:hAnsi="Cambria"/>
          <w:sz w:val="22"/>
          <w:szCs w:val="22"/>
        </w:rPr>
        <w:t xml:space="preserve">University of California Santa Barbara (UCSB) </w:t>
      </w:r>
      <w:r w:rsidR="002627FA" w:rsidRPr="0083534C">
        <w:rPr>
          <w:rFonts w:ascii="Cambria" w:hAnsi="Cambria"/>
          <w:sz w:val="22"/>
          <w:szCs w:val="22"/>
        </w:rPr>
        <w:t xml:space="preserve">Professor Ranjit Deshmukh introduced his student team: </w:t>
      </w:r>
      <w:r w:rsidR="00513677" w:rsidRPr="0083534C">
        <w:rPr>
          <w:rFonts w:ascii="Cambria" w:hAnsi="Cambria"/>
          <w:sz w:val="22"/>
          <w:szCs w:val="22"/>
        </w:rPr>
        <w:t xml:space="preserve">Michelle Le, </w:t>
      </w:r>
      <w:r w:rsidR="002627FA" w:rsidRPr="0083534C">
        <w:rPr>
          <w:rFonts w:ascii="Cambria" w:hAnsi="Cambria" w:cs="Calibri"/>
          <w:sz w:val="22"/>
          <w:szCs w:val="22"/>
        </w:rPr>
        <w:t xml:space="preserve">Audrey Meiman, Austin Covey, </w:t>
      </w:r>
      <w:proofErr w:type="spellStart"/>
      <w:r w:rsidR="00513677" w:rsidRPr="0083534C">
        <w:rPr>
          <w:rFonts w:ascii="Cambria" w:hAnsi="Cambria" w:cs="Calibri"/>
          <w:sz w:val="22"/>
          <w:szCs w:val="22"/>
        </w:rPr>
        <w:t>Atherv</w:t>
      </w:r>
      <w:proofErr w:type="spellEnd"/>
      <w:r w:rsidR="00513677" w:rsidRPr="0083534C">
        <w:rPr>
          <w:rFonts w:ascii="Cambria" w:hAnsi="Cambria" w:cs="Calibri"/>
          <w:sz w:val="22"/>
          <w:szCs w:val="22"/>
        </w:rPr>
        <w:t xml:space="preserve"> </w:t>
      </w:r>
      <w:proofErr w:type="spellStart"/>
      <w:r w:rsidR="00513677" w:rsidRPr="0083534C">
        <w:rPr>
          <w:rFonts w:ascii="Cambria" w:hAnsi="Cambria" w:cs="Calibri"/>
          <w:sz w:val="22"/>
          <w:szCs w:val="22"/>
        </w:rPr>
        <w:t>Gole</w:t>
      </w:r>
      <w:proofErr w:type="spellEnd"/>
      <w:r w:rsidR="00513677" w:rsidRPr="0083534C">
        <w:rPr>
          <w:rFonts w:ascii="Cambria" w:hAnsi="Cambria" w:cs="Calibri"/>
          <w:sz w:val="22"/>
          <w:szCs w:val="22"/>
        </w:rPr>
        <w:t xml:space="preserve">, </w:t>
      </w:r>
      <w:r w:rsidR="002627FA" w:rsidRPr="0083534C">
        <w:rPr>
          <w:rFonts w:ascii="Cambria" w:hAnsi="Cambria" w:cs="Calibri"/>
          <w:sz w:val="22"/>
          <w:szCs w:val="22"/>
        </w:rPr>
        <w:t xml:space="preserve">Measrainsey Meng, Nathaniel Villa, </w:t>
      </w:r>
      <w:r w:rsidR="00513677" w:rsidRPr="0083534C">
        <w:rPr>
          <w:rFonts w:ascii="Cambria" w:hAnsi="Cambria" w:cs="Calibri"/>
          <w:sz w:val="22"/>
          <w:szCs w:val="22"/>
        </w:rPr>
        <w:t>and Sydney Litvin</w:t>
      </w:r>
      <w:r w:rsidR="002627FA" w:rsidRPr="0083534C">
        <w:rPr>
          <w:rFonts w:ascii="Cambria" w:hAnsi="Cambria" w:cs="Calibri"/>
          <w:sz w:val="22"/>
          <w:szCs w:val="22"/>
        </w:rPr>
        <w:t xml:space="preserve">. The Public sector report (not the </w:t>
      </w:r>
      <w:proofErr w:type="gramStart"/>
      <w:r w:rsidR="002627FA" w:rsidRPr="0083534C">
        <w:rPr>
          <w:rFonts w:ascii="Cambria" w:hAnsi="Cambria" w:cs="Calibri"/>
          <w:sz w:val="22"/>
          <w:szCs w:val="22"/>
        </w:rPr>
        <w:t xml:space="preserve">presentation) </w:t>
      </w:r>
      <w:r w:rsidR="00513677" w:rsidRPr="0083534C">
        <w:rPr>
          <w:rFonts w:ascii="Cambria" w:hAnsi="Cambria"/>
          <w:sz w:val="22"/>
          <w:szCs w:val="22"/>
        </w:rPr>
        <w:t xml:space="preserve"> is</w:t>
      </w:r>
      <w:proofErr w:type="gramEnd"/>
      <w:r w:rsidR="00513677" w:rsidRPr="0083534C">
        <w:rPr>
          <w:rFonts w:ascii="Cambria" w:hAnsi="Cambria"/>
          <w:sz w:val="22"/>
          <w:szCs w:val="22"/>
        </w:rPr>
        <w:t xml:space="preserve"> available on the meeting webpage (see link above, </w:t>
      </w:r>
      <w:r w:rsidR="00513677" w:rsidRPr="0083534C">
        <w:rPr>
          <w:rFonts w:ascii="Cambria" w:hAnsi="Cambria"/>
          <w:i/>
          <w:iCs/>
          <w:sz w:val="22"/>
          <w:szCs w:val="22"/>
        </w:rPr>
        <w:t xml:space="preserve">UCSB </w:t>
      </w:r>
      <w:r w:rsidR="002627FA" w:rsidRPr="0083534C">
        <w:rPr>
          <w:rFonts w:ascii="Cambria" w:hAnsi="Cambria"/>
          <w:i/>
          <w:iCs/>
          <w:sz w:val="22"/>
          <w:szCs w:val="22"/>
        </w:rPr>
        <w:t xml:space="preserve">Report – Public Sector – draft 7.8.21 </w:t>
      </w:r>
      <w:r w:rsidR="00513677" w:rsidRPr="0083534C">
        <w:rPr>
          <w:rFonts w:ascii="Cambria" w:hAnsi="Cambria"/>
          <w:i/>
          <w:iCs/>
          <w:sz w:val="22"/>
          <w:szCs w:val="22"/>
        </w:rPr>
        <w:t>(</w:t>
      </w:r>
      <w:r w:rsidR="002627FA" w:rsidRPr="0083534C">
        <w:rPr>
          <w:rFonts w:ascii="Cambria" w:hAnsi="Cambria"/>
          <w:i/>
          <w:iCs/>
          <w:sz w:val="22"/>
          <w:szCs w:val="22"/>
        </w:rPr>
        <w:t>7.8</w:t>
      </w:r>
      <w:r w:rsidR="00513677" w:rsidRPr="0083534C">
        <w:rPr>
          <w:rFonts w:ascii="Cambria" w:hAnsi="Cambria"/>
          <w:i/>
          <w:iCs/>
          <w:sz w:val="22"/>
          <w:szCs w:val="22"/>
        </w:rPr>
        <w:t xml:space="preserve">.21), </w:t>
      </w:r>
      <w:r w:rsidR="00513677" w:rsidRPr="0083534C">
        <w:rPr>
          <w:rFonts w:ascii="Cambria" w:hAnsi="Cambria"/>
          <w:sz w:val="22"/>
          <w:szCs w:val="22"/>
        </w:rPr>
        <w:t>under “Documents Posted After the Meeting”).</w:t>
      </w:r>
    </w:p>
    <w:p w14:paraId="47B38655" w14:textId="77777777" w:rsidR="00513677" w:rsidRPr="0083534C" w:rsidRDefault="00513677" w:rsidP="00513677">
      <w:pPr>
        <w:rPr>
          <w:rFonts w:ascii="Cambria" w:hAnsi="Cambria"/>
          <w:sz w:val="22"/>
          <w:szCs w:val="22"/>
        </w:rPr>
      </w:pPr>
    </w:p>
    <w:p w14:paraId="4D354ED5" w14:textId="2C0F1CC6" w:rsidR="00513677" w:rsidRPr="0083534C" w:rsidRDefault="00513677" w:rsidP="00513677">
      <w:pPr>
        <w:rPr>
          <w:rFonts w:ascii="Cambria" w:hAnsi="Cambria"/>
          <w:sz w:val="22"/>
          <w:szCs w:val="22"/>
        </w:rPr>
      </w:pPr>
      <w:r w:rsidRPr="0083534C">
        <w:rPr>
          <w:rFonts w:ascii="Cambria" w:hAnsi="Cambria"/>
          <w:sz w:val="22"/>
          <w:szCs w:val="22"/>
        </w:rPr>
        <w:t xml:space="preserve">Following the presentation, Members posed the following clarifying questions and </w:t>
      </w:r>
      <w:r w:rsidR="00E22164" w:rsidRPr="0083534C">
        <w:rPr>
          <w:rFonts w:ascii="Cambria" w:hAnsi="Cambria"/>
          <w:sz w:val="22"/>
          <w:szCs w:val="22"/>
        </w:rPr>
        <w:t>comments</w:t>
      </w:r>
      <w:r w:rsidRPr="0083534C">
        <w:rPr>
          <w:rFonts w:ascii="Cambria" w:hAnsi="Cambria"/>
          <w:sz w:val="22"/>
          <w:szCs w:val="22"/>
        </w:rPr>
        <w:t>:</w:t>
      </w:r>
    </w:p>
    <w:p w14:paraId="111E270F" w14:textId="3D82DC15" w:rsidR="00513677" w:rsidRPr="0083534C" w:rsidRDefault="008D0838" w:rsidP="00513677">
      <w:pPr>
        <w:pStyle w:val="CommentText"/>
        <w:numPr>
          <w:ilvl w:val="0"/>
          <w:numId w:val="4"/>
        </w:numPr>
        <w:rPr>
          <w:rFonts w:ascii="Cambria" w:hAnsi="Cambria" w:cs="Calibri"/>
          <w:sz w:val="22"/>
          <w:szCs w:val="22"/>
        </w:rPr>
      </w:pPr>
      <w:r w:rsidRPr="0083534C">
        <w:rPr>
          <w:rFonts w:ascii="Cambria" w:hAnsi="Cambria" w:cs="Calibri"/>
          <w:sz w:val="22"/>
          <w:szCs w:val="22"/>
        </w:rPr>
        <w:t>C. Malotte</w:t>
      </w:r>
      <w:r w:rsidR="00513677" w:rsidRPr="0083534C">
        <w:rPr>
          <w:rFonts w:ascii="Cambria" w:hAnsi="Cambria" w:cs="Calibri"/>
          <w:sz w:val="22"/>
          <w:szCs w:val="22"/>
        </w:rPr>
        <w:t>:</w:t>
      </w:r>
      <w:r w:rsidR="0001163C" w:rsidRPr="0083534C">
        <w:rPr>
          <w:rFonts w:ascii="Cambria" w:hAnsi="Cambria" w:cs="Calibri"/>
          <w:sz w:val="22"/>
          <w:szCs w:val="22"/>
        </w:rPr>
        <w:t xml:space="preserve"> Is it true that </w:t>
      </w:r>
      <w:r w:rsidRPr="0083534C">
        <w:rPr>
          <w:rFonts w:ascii="Cambria" w:hAnsi="Cambria" w:cs="Calibri"/>
          <w:sz w:val="22"/>
          <w:szCs w:val="22"/>
        </w:rPr>
        <w:t xml:space="preserve">there was significant impact of rurality for </w:t>
      </w:r>
      <w:r w:rsidR="0001163C" w:rsidRPr="0083534C">
        <w:rPr>
          <w:rFonts w:ascii="Cambria" w:hAnsi="Cambria" w:cs="Calibri"/>
          <w:sz w:val="22"/>
          <w:szCs w:val="22"/>
        </w:rPr>
        <w:t xml:space="preserve">the </w:t>
      </w:r>
      <w:proofErr w:type="gramStart"/>
      <w:r w:rsidR="0001163C" w:rsidRPr="0083534C">
        <w:rPr>
          <w:rFonts w:ascii="Cambria" w:hAnsi="Cambria" w:cs="Calibri"/>
          <w:sz w:val="22"/>
          <w:szCs w:val="22"/>
        </w:rPr>
        <w:t>Public</w:t>
      </w:r>
      <w:proofErr w:type="gramEnd"/>
      <w:r w:rsidR="0001163C" w:rsidRPr="0083534C">
        <w:rPr>
          <w:rFonts w:ascii="Cambria" w:hAnsi="Cambria" w:cs="Calibri"/>
          <w:sz w:val="22"/>
          <w:szCs w:val="22"/>
        </w:rPr>
        <w:t xml:space="preserve"> sector</w:t>
      </w:r>
      <w:r w:rsidRPr="0083534C">
        <w:rPr>
          <w:rFonts w:ascii="Cambria" w:hAnsi="Cambria" w:cs="Calibri"/>
          <w:sz w:val="22"/>
          <w:szCs w:val="22"/>
        </w:rPr>
        <w:t xml:space="preserve"> but not in </w:t>
      </w:r>
      <w:r w:rsidR="0001163C" w:rsidRPr="0083534C">
        <w:rPr>
          <w:rFonts w:ascii="Cambria" w:hAnsi="Cambria" w:cs="Calibri"/>
          <w:sz w:val="22"/>
          <w:szCs w:val="22"/>
        </w:rPr>
        <w:t>the SMB</w:t>
      </w:r>
      <w:r w:rsidRPr="0083534C">
        <w:rPr>
          <w:rFonts w:ascii="Cambria" w:hAnsi="Cambria" w:cs="Calibri"/>
          <w:sz w:val="22"/>
          <w:szCs w:val="22"/>
        </w:rPr>
        <w:t xml:space="preserve"> sector analysis?</w:t>
      </w:r>
    </w:p>
    <w:p w14:paraId="54903F26" w14:textId="1520E3CD" w:rsidR="008D0838" w:rsidRPr="0083534C" w:rsidRDefault="0001163C" w:rsidP="008D0838">
      <w:pPr>
        <w:pStyle w:val="CommentText"/>
        <w:numPr>
          <w:ilvl w:val="1"/>
          <w:numId w:val="4"/>
        </w:numPr>
        <w:rPr>
          <w:rFonts w:ascii="Cambria" w:hAnsi="Cambria" w:cs="Calibri"/>
          <w:sz w:val="22"/>
          <w:szCs w:val="22"/>
        </w:rPr>
      </w:pPr>
      <w:r w:rsidRPr="0083534C">
        <w:rPr>
          <w:rFonts w:ascii="Cambria" w:hAnsi="Cambria" w:cs="Calibri"/>
          <w:sz w:val="22"/>
          <w:szCs w:val="22"/>
        </w:rPr>
        <w:t xml:space="preserve">R. Deshmukh: </w:t>
      </w:r>
      <w:r w:rsidR="005027F4">
        <w:rPr>
          <w:rFonts w:ascii="Cambria" w:hAnsi="Cambria" w:cs="Calibri"/>
          <w:sz w:val="22"/>
          <w:szCs w:val="22"/>
        </w:rPr>
        <w:t>I’m curious,</w:t>
      </w:r>
      <w:r w:rsidR="008B2A92">
        <w:rPr>
          <w:rFonts w:ascii="Cambria" w:hAnsi="Cambria" w:cs="Calibri"/>
          <w:sz w:val="22"/>
          <w:szCs w:val="22"/>
        </w:rPr>
        <w:t xml:space="preserve"> d</w:t>
      </w:r>
      <w:r w:rsidR="008D0838" w:rsidRPr="0083534C">
        <w:rPr>
          <w:rFonts w:ascii="Cambria" w:hAnsi="Cambria" w:cs="Calibri"/>
          <w:sz w:val="22"/>
          <w:szCs w:val="22"/>
        </w:rPr>
        <w:t xml:space="preserve">id </w:t>
      </w:r>
      <w:r w:rsidRPr="0083534C">
        <w:rPr>
          <w:rFonts w:ascii="Cambria" w:hAnsi="Cambria" w:cs="Calibri"/>
          <w:sz w:val="22"/>
          <w:szCs w:val="22"/>
        </w:rPr>
        <w:t>the SMB team</w:t>
      </w:r>
      <w:r w:rsidR="008D0838" w:rsidRPr="0083534C">
        <w:rPr>
          <w:rFonts w:ascii="Cambria" w:hAnsi="Cambria" w:cs="Calibri"/>
          <w:sz w:val="22"/>
          <w:szCs w:val="22"/>
        </w:rPr>
        <w:t xml:space="preserve"> look at co-linearity with </w:t>
      </w:r>
      <w:r w:rsidRPr="0083534C">
        <w:rPr>
          <w:rFonts w:ascii="Cambria" w:hAnsi="Cambria" w:cs="Calibri"/>
          <w:sz w:val="22"/>
          <w:szCs w:val="22"/>
        </w:rPr>
        <w:t>its</w:t>
      </w:r>
      <w:r w:rsidR="008D0838" w:rsidRPr="0083534C">
        <w:rPr>
          <w:rFonts w:ascii="Cambria" w:hAnsi="Cambria" w:cs="Calibri"/>
          <w:sz w:val="22"/>
          <w:szCs w:val="22"/>
        </w:rPr>
        <w:t xml:space="preserve"> variables? Business density with rurality may show up as significant</w:t>
      </w:r>
    </w:p>
    <w:p w14:paraId="1D9E0E78" w14:textId="77777777" w:rsidR="0001163C" w:rsidRPr="0083534C" w:rsidRDefault="008D0838" w:rsidP="0001163C">
      <w:pPr>
        <w:pStyle w:val="CommentText"/>
        <w:numPr>
          <w:ilvl w:val="1"/>
          <w:numId w:val="4"/>
        </w:numPr>
        <w:rPr>
          <w:rFonts w:ascii="Cambria" w:hAnsi="Cambria" w:cs="Calibri"/>
          <w:sz w:val="22"/>
          <w:szCs w:val="22"/>
        </w:rPr>
      </w:pPr>
      <w:r w:rsidRPr="0083534C">
        <w:rPr>
          <w:rFonts w:ascii="Cambria" w:hAnsi="Cambria" w:cs="Calibri"/>
          <w:sz w:val="22"/>
          <w:szCs w:val="22"/>
        </w:rPr>
        <w:t xml:space="preserve">T. Love: We didn’t do a multi-variate analysis for this set of variables; density is not the same as </w:t>
      </w:r>
      <w:r w:rsidR="0001163C" w:rsidRPr="0083534C">
        <w:rPr>
          <w:rFonts w:ascii="Cambria" w:hAnsi="Cambria" w:cs="Calibri"/>
          <w:sz w:val="22"/>
          <w:szCs w:val="22"/>
        </w:rPr>
        <w:t>geography</w:t>
      </w:r>
      <w:r w:rsidRPr="0083534C">
        <w:rPr>
          <w:rFonts w:ascii="Cambria" w:hAnsi="Cambria" w:cs="Calibri"/>
          <w:sz w:val="22"/>
          <w:szCs w:val="22"/>
        </w:rPr>
        <w:t xml:space="preserve">. </w:t>
      </w:r>
      <w:r w:rsidR="0001163C" w:rsidRPr="0083534C">
        <w:rPr>
          <w:rFonts w:ascii="Cambria" w:hAnsi="Cambria" w:cs="Calibri"/>
          <w:sz w:val="22"/>
          <w:szCs w:val="22"/>
        </w:rPr>
        <w:t>Did the</w:t>
      </w:r>
      <w:r w:rsidRPr="0083534C">
        <w:rPr>
          <w:rFonts w:ascii="Cambria" w:hAnsi="Cambria" w:cs="Calibri"/>
          <w:sz w:val="22"/>
          <w:szCs w:val="22"/>
        </w:rPr>
        <w:t xml:space="preserve"> Public sector</w:t>
      </w:r>
      <w:r w:rsidR="0001163C" w:rsidRPr="0083534C">
        <w:rPr>
          <w:rFonts w:ascii="Cambria" w:hAnsi="Cambria" w:cs="Calibri"/>
          <w:sz w:val="22"/>
          <w:szCs w:val="22"/>
        </w:rPr>
        <w:t xml:space="preserve"> use</w:t>
      </w:r>
      <w:r w:rsidRPr="0083534C">
        <w:rPr>
          <w:rFonts w:ascii="Cambria" w:hAnsi="Cambria" w:cs="Calibri"/>
          <w:sz w:val="22"/>
          <w:szCs w:val="22"/>
        </w:rPr>
        <w:t xml:space="preserve"> RUCA at </w:t>
      </w:r>
      <w:r w:rsidR="0001163C" w:rsidRPr="0083534C">
        <w:rPr>
          <w:rFonts w:ascii="Cambria" w:hAnsi="Cambria" w:cs="Calibri"/>
          <w:sz w:val="22"/>
          <w:szCs w:val="22"/>
        </w:rPr>
        <w:t xml:space="preserve">the </w:t>
      </w:r>
      <w:proofErr w:type="spellStart"/>
      <w:r w:rsidRPr="0083534C">
        <w:rPr>
          <w:rFonts w:ascii="Cambria" w:hAnsi="Cambria" w:cs="Calibri"/>
          <w:sz w:val="22"/>
          <w:szCs w:val="22"/>
        </w:rPr>
        <w:t>zipcode</w:t>
      </w:r>
      <w:proofErr w:type="spellEnd"/>
      <w:r w:rsidRPr="0083534C">
        <w:rPr>
          <w:rFonts w:ascii="Cambria" w:hAnsi="Cambria" w:cs="Calibri"/>
          <w:sz w:val="22"/>
          <w:szCs w:val="22"/>
        </w:rPr>
        <w:t xml:space="preserve"> or census </w:t>
      </w:r>
      <w:r w:rsidR="0001163C" w:rsidRPr="0083534C">
        <w:rPr>
          <w:rFonts w:ascii="Cambria" w:hAnsi="Cambria" w:cs="Calibri"/>
          <w:sz w:val="22"/>
          <w:szCs w:val="22"/>
        </w:rPr>
        <w:t xml:space="preserve">tract </w:t>
      </w:r>
      <w:r w:rsidRPr="0083534C">
        <w:rPr>
          <w:rFonts w:ascii="Cambria" w:hAnsi="Cambria" w:cs="Calibri"/>
          <w:sz w:val="22"/>
          <w:szCs w:val="22"/>
        </w:rPr>
        <w:t>level</w:t>
      </w:r>
      <w:r w:rsidR="0001163C" w:rsidRPr="0083534C">
        <w:rPr>
          <w:rFonts w:ascii="Cambria" w:hAnsi="Cambria" w:cs="Calibri"/>
          <w:sz w:val="22"/>
          <w:szCs w:val="22"/>
        </w:rPr>
        <w:t>?</w:t>
      </w:r>
    </w:p>
    <w:p w14:paraId="62E59FD1" w14:textId="29CFDCCE" w:rsidR="0001163C" w:rsidRPr="0083534C" w:rsidRDefault="008D0838" w:rsidP="0001163C">
      <w:pPr>
        <w:pStyle w:val="CommentText"/>
        <w:numPr>
          <w:ilvl w:val="1"/>
          <w:numId w:val="4"/>
        </w:numPr>
        <w:rPr>
          <w:rFonts w:ascii="Cambria" w:hAnsi="Cambria" w:cs="Calibri"/>
          <w:sz w:val="22"/>
          <w:szCs w:val="22"/>
        </w:rPr>
      </w:pPr>
      <w:r w:rsidRPr="0083534C">
        <w:rPr>
          <w:rFonts w:ascii="Cambria" w:hAnsi="Cambria" w:cs="Calibri"/>
          <w:sz w:val="22"/>
          <w:szCs w:val="22"/>
        </w:rPr>
        <w:t xml:space="preserve">M. Le: </w:t>
      </w:r>
      <w:r w:rsidR="008B2A92">
        <w:rPr>
          <w:rFonts w:ascii="Cambria" w:hAnsi="Cambria" w:cs="Calibri"/>
          <w:sz w:val="22"/>
          <w:szCs w:val="22"/>
        </w:rPr>
        <w:t>Our SMB analysis</w:t>
      </w:r>
      <w:r w:rsidR="0001163C" w:rsidRPr="0083534C">
        <w:rPr>
          <w:rFonts w:ascii="Cambria" w:hAnsi="Cambria" w:cs="Calibri"/>
          <w:sz w:val="22"/>
          <w:szCs w:val="22"/>
        </w:rPr>
        <w:t xml:space="preserve"> </w:t>
      </w:r>
      <w:r w:rsidR="0001163C" w:rsidRPr="0083534C">
        <w:rPr>
          <w:rFonts w:ascii="Cambria" w:hAnsi="Cambria"/>
          <w:sz w:val="22"/>
          <w:szCs w:val="22"/>
        </w:rPr>
        <w:t>aggregated all the census tracks within a specific city boundary</w:t>
      </w:r>
    </w:p>
    <w:p w14:paraId="574DC257" w14:textId="08F52E9A" w:rsidR="008D0838" w:rsidRPr="0083534C" w:rsidRDefault="008D0838" w:rsidP="008D0838">
      <w:pPr>
        <w:pStyle w:val="CommentText"/>
        <w:numPr>
          <w:ilvl w:val="1"/>
          <w:numId w:val="4"/>
        </w:numPr>
        <w:rPr>
          <w:rFonts w:ascii="Cambria" w:hAnsi="Cambria" w:cs="Calibri"/>
          <w:sz w:val="22"/>
          <w:szCs w:val="22"/>
        </w:rPr>
      </w:pPr>
      <w:r w:rsidRPr="0083534C">
        <w:rPr>
          <w:rFonts w:ascii="Cambria" w:hAnsi="Cambria" w:cs="Calibri"/>
          <w:sz w:val="22"/>
          <w:szCs w:val="22"/>
        </w:rPr>
        <w:t xml:space="preserve">T. Love: </w:t>
      </w:r>
      <w:r w:rsidR="0001163C" w:rsidRPr="0083534C">
        <w:rPr>
          <w:rFonts w:ascii="Cambria" w:hAnsi="Cambria" w:cs="Calibri"/>
          <w:sz w:val="22"/>
          <w:szCs w:val="22"/>
        </w:rPr>
        <w:t>Note that w</w:t>
      </w:r>
      <w:r w:rsidRPr="0083534C">
        <w:rPr>
          <w:rFonts w:ascii="Cambria" w:hAnsi="Cambria" w:cs="Calibri"/>
          <w:sz w:val="22"/>
          <w:szCs w:val="22"/>
        </w:rPr>
        <w:t xml:space="preserve">e removed K-12 data </w:t>
      </w:r>
      <w:r w:rsidR="008B2A92">
        <w:rPr>
          <w:rFonts w:ascii="Cambria" w:hAnsi="Cambria" w:cs="Calibri"/>
          <w:sz w:val="22"/>
          <w:szCs w:val="22"/>
        </w:rPr>
        <w:t xml:space="preserve">from our data set </w:t>
      </w:r>
      <w:r w:rsidRPr="0083534C">
        <w:rPr>
          <w:rFonts w:ascii="Cambria" w:hAnsi="Cambria" w:cs="Calibri"/>
          <w:sz w:val="22"/>
          <w:szCs w:val="22"/>
        </w:rPr>
        <w:t>but there may be overlap with other programs</w:t>
      </w:r>
    </w:p>
    <w:p w14:paraId="1E14A5F9" w14:textId="645A39A1" w:rsidR="008D0838" w:rsidRPr="0083534C" w:rsidRDefault="008D0838" w:rsidP="0001163C">
      <w:pPr>
        <w:pStyle w:val="ListParagraph"/>
        <w:numPr>
          <w:ilvl w:val="0"/>
          <w:numId w:val="4"/>
        </w:numPr>
        <w:rPr>
          <w:rFonts w:ascii="Cambria" w:eastAsia="Times New Roman" w:hAnsi="Cambria" w:cs="Times New Roman"/>
          <w:sz w:val="22"/>
          <w:szCs w:val="22"/>
        </w:rPr>
      </w:pPr>
      <w:r w:rsidRPr="0083534C">
        <w:rPr>
          <w:rFonts w:ascii="Cambria" w:eastAsia="Times New Roman" w:hAnsi="Cambria" w:cs="Calibri"/>
          <w:sz w:val="22"/>
          <w:szCs w:val="22"/>
        </w:rPr>
        <w:t xml:space="preserve">L. </w:t>
      </w:r>
      <w:r w:rsidR="001E61BF" w:rsidRPr="0083534C">
        <w:rPr>
          <w:rFonts w:ascii="Cambria" w:eastAsia="Times New Roman" w:hAnsi="Cambria" w:cs="Calibri"/>
          <w:sz w:val="22"/>
          <w:szCs w:val="22"/>
        </w:rPr>
        <w:t>Rothschild</w:t>
      </w:r>
      <w:r w:rsidRPr="0083534C">
        <w:rPr>
          <w:rFonts w:ascii="Cambria" w:eastAsia="Times New Roman" w:hAnsi="Cambria" w:cs="Calibri"/>
          <w:sz w:val="22"/>
          <w:szCs w:val="22"/>
        </w:rPr>
        <w:t>: Would you say that the results were statistically significant</w:t>
      </w:r>
      <w:r w:rsidR="0001163C" w:rsidRPr="0083534C">
        <w:rPr>
          <w:rFonts w:ascii="Cambria" w:eastAsia="Times New Roman" w:hAnsi="Cambria" w:cs="Calibri"/>
          <w:sz w:val="22"/>
          <w:szCs w:val="22"/>
        </w:rPr>
        <w:t xml:space="preserve">, or that </w:t>
      </w:r>
      <w:r w:rsidR="0001163C" w:rsidRPr="0083534C">
        <w:rPr>
          <w:rFonts w:ascii="Cambria" w:eastAsia="Times New Roman" w:hAnsi="Cambria" w:cs="Times New Roman"/>
          <w:sz w:val="22"/>
          <w:szCs w:val="22"/>
        </w:rPr>
        <w:t xml:space="preserve">some limitations on the datasets that made it difficult to </w:t>
      </w:r>
      <w:r w:rsidR="008B2A92">
        <w:rPr>
          <w:rFonts w:ascii="Cambria" w:eastAsia="Times New Roman" w:hAnsi="Cambria" w:cs="Times New Roman"/>
          <w:sz w:val="22"/>
          <w:szCs w:val="22"/>
        </w:rPr>
        <w:t xml:space="preserve">reach a definitive </w:t>
      </w:r>
      <w:r w:rsidR="0001163C" w:rsidRPr="0083534C">
        <w:rPr>
          <w:rFonts w:ascii="Cambria" w:eastAsia="Times New Roman" w:hAnsi="Cambria" w:cs="Times New Roman"/>
          <w:sz w:val="22"/>
          <w:szCs w:val="22"/>
        </w:rPr>
        <w:t>conclusion?</w:t>
      </w:r>
    </w:p>
    <w:p w14:paraId="7CECB151" w14:textId="52414201" w:rsidR="0001163C" w:rsidRPr="0083534C" w:rsidRDefault="008D0838" w:rsidP="0001163C">
      <w:pPr>
        <w:pStyle w:val="ListParagraph"/>
        <w:numPr>
          <w:ilvl w:val="1"/>
          <w:numId w:val="4"/>
        </w:numPr>
        <w:rPr>
          <w:rFonts w:ascii="Cambria" w:eastAsia="Times New Roman" w:hAnsi="Cambria" w:cs="Calibri"/>
          <w:sz w:val="22"/>
          <w:szCs w:val="22"/>
        </w:rPr>
      </w:pPr>
      <w:r w:rsidRPr="0083534C">
        <w:rPr>
          <w:rFonts w:ascii="Cambria" w:eastAsia="Times New Roman" w:hAnsi="Cambria" w:cs="Calibri"/>
          <w:sz w:val="22"/>
          <w:szCs w:val="22"/>
        </w:rPr>
        <w:t xml:space="preserve">M. Le: </w:t>
      </w:r>
      <w:r w:rsidR="0001163C" w:rsidRPr="0083534C">
        <w:rPr>
          <w:rFonts w:ascii="Cambria" w:eastAsia="Times New Roman" w:hAnsi="Cambria" w:cs="Calibri"/>
          <w:sz w:val="22"/>
          <w:szCs w:val="22"/>
        </w:rPr>
        <w:t>We</w:t>
      </w:r>
      <w:r w:rsidRPr="0083534C">
        <w:rPr>
          <w:rFonts w:ascii="Cambria" w:eastAsia="Times New Roman" w:hAnsi="Cambria" w:cs="Calibri"/>
          <w:sz w:val="22"/>
          <w:szCs w:val="22"/>
        </w:rPr>
        <w:t xml:space="preserve"> can definit</w:t>
      </w:r>
      <w:r w:rsidR="0001163C" w:rsidRPr="0083534C">
        <w:rPr>
          <w:rFonts w:ascii="Cambria" w:eastAsia="Times New Roman" w:hAnsi="Cambria" w:cs="Calibri"/>
          <w:sz w:val="22"/>
          <w:szCs w:val="22"/>
        </w:rPr>
        <w:t>iv</w:t>
      </w:r>
      <w:r w:rsidRPr="0083534C">
        <w:rPr>
          <w:rFonts w:ascii="Cambria" w:eastAsia="Times New Roman" w:hAnsi="Cambria" w:cs="Calibri"/>
          <w:sz w:val="22"/>
          <w:szCs w:val="22"/>
        </w:rPr>
        <w:t xml:space="preserve">ely say that rurality plays a significant role. </w:t>
      </w:r>
      <w:r w:rsidR="0001163C" w:rsidRPr="0083534C">
        <w:rPr>
          <w:rFonts w:ascii="Cambria" w:eastAsia="Times New Roman" w:hAnsi="Cambria" w:cs="Calibri"/>
          <w:sz w:val="22"/>
          <w:szCs w:val="22"/>
        </w:rPr>
        <w:t>S</w:t>
      </w:r>
      <w:r w:rsidR="0001163C" w:rsidRPr="0083534C">
        <w:rPr>
          <w:rFonts w:ascii="Cambria" w:eastAsia="Times New Roman" w:hAnsi="Cambria" w:cs="Times New Roman"/>
          <w:sz w:val="22"/>
          <w:szCs w:val="22"/>
        </w:rPr>
        <w:t>howing those regressions side by side is a significant result in</w:t>
      </w:r>
      <w:r w:rsidR="002627FA" w:rsidRPr="0083534C">
        <w:rPr>
          <w:rFonts w:ascii="Cambria" w:eastAsia="Times New Roman" w:hAnsi="Cambria" w:cs="Times New Roman"/>
          <w:sz w:val="22"/>
          <w:szCs w:val="22"/>
        </w:rPr>
        <w:t xml:space="preserve"> of</w:t>
      </w:r>
      <w:r w:rsidR="0001163C" w:rsidRPr="0083534C">
        <w:rPr>
          <w:rFonts w:ascii="Cambria" w:eastAsia="Times New Roman" w:hAnsi="Cambria" w:cs="Times New Roman"/>
          <w:sz w:val="22"/>
          <w:szCs w:val="22"/>
        </w:rPr>
        <w:t xml:space="preserve"> itself, showing us that IRR does show up in the T test results for all three different groups, as well as the regressions for counties. And I think that's an important takeaway for our research. </w:t>
      </w:r>
    </w:p>
    <w:p w14:paraId="024BCD3E" w14:textId="77777777" w:rsidR="007D5BF7" w:rsidRPr="0083534C" w:rsidRDefault="007D5BF7" w:rsidP="00E22164">
      <w:pPr>
        <w:pStyle w:val="ListParagraph"/>
        <w:rPr>
          <w:rFonts w:ascii="Cambria" w:eastAsia="Times New Roman" w:hAnsi="Cambria" w:cs="Calibri"/>
          <w:sz w:val="22"/>
          <w:szCs w:val="22"/>
        </w:rPr>
      </w:pPr>
    </w:p>
    <w:p w14:paraId="416CF921" w14:textId="7565EEF2" w:rsidR="007D5BF7" w:rsidRPr="0083534C" w:rsidRDefault="007D5BF7" w:rsidP="00513677">
      <w:pPr>
        <w:rPr>
          <w:rFonts w:ascii="Cambria" w:hAnsi="Cambria" w:cs="Calibri"/>
          <w:b/>
          <w:bCs/>
          <w:sz w:val="22"/>
          <w:szCs w:val="22"/>
        </w:rPr>
      </w:pPr>
      <w:r w:rsidRPr="0083534C">
        <w:rPr>
          <w:rFonts w:ascii="Cambria" w:hAnsi="Cambria" w:cs="Times New Roman (Body CS)"/>
          <w:b/>
          <w:smallCaps/>
          <w:sz w:val="22"/>
          <w:szCs w:val="22"/>
        </w:rPr>
        <w:t>Residential Sector</w:t>
      </w:r>
    </w:p>
    <w:p w14:paraId="4CAA389D" w14:textId="749E4685" w:rsidR="007D5BF7" w:rsidRPr="0083534C" w:rsidRDefault="007D5BF7" w:rsidP="00513677">
      <w:pPr>
        <w:rPr>
          <w:rFonts w:ascii="Cambria" w:hAnsi="Cambria" w:cs="Calibri"/>
          <w:sz w:val="22"/>
          <w:szCs w:val="22"/>
        </w:rPr>
      </w:pPr>
      <w:r w:rsidRPr="0083534C">
        <w:rPr>
          <w:rFonts w:ascii="Cambria" w:hAnsi="Cambria" w:cs="Calibri"/>
          <w:sz w:val="22"/>
          <w:szCs w:val="22"/>
        </w:rPr>
        <w:t>Co-Chair Jenny Berg (BayREN) present</w:t>
      </w:r>
      <w:r w:rsidR="00513677" w:rsidRPr="0083534C">
        <w:rPr>
          <w:rFonts w:ascii="Cambria" w:hAnsi="Cambria" w:cs="Calibri"/>
          <w:sz w:val="22"/>
          <w:szCs w:val="22"/>
        </w:rPr>
        <w:t>ed</w:t>
      </w:r>
      <w:r w:rsidRPr="0083534C">
        <w:rPr>
          <w:rFonts w:ascii="Cambria" w:hAnsi="Cambria" w:cs="Calibri"/>
          <w:sz w:val="22"/>
          <w:szCs w:val="22"/>
        </w:rPr>
        <w:t xml:space="preserve"> key findings and conclusions from</w:t>
      </w:r>
      <w:r w:rsidR="00513677" w:rsidRPr="0083534C">
        <w:rPr>
          <w:rFonts w:ascii="Cambria" w:hAnsi="Cambria" w:cs="Calibri"/>
          <w:sz w:val="22"/>
          <w:szCs w:val="22"/>
        </w:rPr>
        <w:t xml:space="preserve"> the Residential sector</w:t>
      </w:r>
      <w:r w:rsidRPr="0083534C">
        <w:rPr>
          <w:rFonts w:ascii="Cambria" w:hAnsi="Cambria" w:cs="Calibri"/>
          <w:sz w:val="22"/>
          <w:szCs w:val="22"/>
        </w:rPr>
        <w:t xml:space="preserve"> report finalized in Jan</w:t>
      </w:r>
      <w:r w:rsidR="00513677" w:rsidRPr="0083534C">
        <w:rPr>
          <w:rFonts w:ascii="Cambria" w:hAnsi="Cambria" w:cs="Calibri"/>
          <w:sz w:val="22"/>
          <w:szCs w:val="22"/>
        </w:rPr>
        <w:t>uary</w:t>
      </w:r>
      <w:r w:rsidRPr="0083534C">
        <w:rPr>
          <w:rFonts w:ascii="Cambria" w:hAnsi="Cambria" w:cs="Calibri"/>
          <w:sz w:val="22"/>
          <w:szCs w:val="22"/>
        </w:rPr>
        <w:t xml:space="preserve"> 2021</w:t>
      </w:r>
      <w:r w:rsidR="00513677" w:rsidRPr="0083534C">
        <w:rPr>
          <w:rFonts w:ascii="Cambria" w:hAnsi="Cambria" w:cs="Calibri"/>
          <w:sz w:val="22"/>
          <w:szCs w:val="22"/>
        </w:rPr>
        <w:t xml:space="preserve">. </w:t>
      </w:r>
      <w:r w:rsidR="00B67BB5" w:rsidRPr="0083534C">
        <w:rPr>
          <w:rFonts w:ascii="Cambria" w:hAnsi="Cambria" w:cs="Calibri"/>
          <w:sz w:val="22"/>
          <w:szCs w:val="22"/>
        </w:rPr>
        <w:t xml:space="preserve">J. Berg acknowledged she would not solicit questions or comments </w:t>
      </w:r>
      <w:r w:rsidR="00B67BB5" w:rsidRPr="0083534C">
        <w:rPr>
          <w:rFonts w:ascii="Cambria" w:hAnsi="Cambria" w:cs="Calibri"/>
          <w:sz w:val="22"/>
          <w:szCs w:val="22"/>
        </w:rPr>
        <w:lastRenderedPageBreak/>
        <w:t xml:space="preserve">on the analysis since she was summarizing the findings submitted in </w:t>
      </w:r>
      <w:proofErr w:type="gramStart"/>
      <w:r w:rsidR="00B67BB5" w:rsidRPr="0083534C">
        <w:rPr>
          <w:rFonts w:ascii="Cambria" w:hAnsi="Cambria" w:cs="Calibri"/>
          <w:sz w:val="22"/>
          <w:szCs w:val="22"/>
        </w:rPr>
        <w:t>January, and</w:t>
      </w:r>
      <w:proofErr w:type="gramEnd"/>
      <w:r w:rsidR="00B67BB5" w:rsidRPr="0083534C">
        <w:rPr>
          <w:rFonts w:ascii="Cambria" w:hAnsi="Cambria" w:cs="Calibri"/>
          <w:sz w:val="22"/>
          <w:szCs w:val="22"/>
        </w:rPr>
        <w:t xml:space="preserve"> could not represent the Residential sector team (who was unable to attend the meeting due to scheduling conflicts). </w:t>
      </w:r>
      <w:r w:rsidR="00513677" w:rsidRPr="0083534C">
        <w:rPr>
          <w:rFonts w:ascii="Cambria" w:hAnsi="Cambria"/>
          <w:sz w:val="22"/>
          <w:szCs w:val="22"/>
        </w:rPr>
        <w:t xml:space="preserve">J. Berg did not provide a presentation; however, the Residential sector report is available on the meeting webpage (see link above, </w:t>
      </w:r>
      <w:r w:rsidR="00513677" w:rsidRPr="0083534C">
        <w:rPr>
          <w:rFonts w:ascii="Cambria" w:hAnsi="Cambria"/>
          <w:i/>
          <w:iCs/>
          <w:sz w:val="22"/>
          <w:szCs w:val="22"/>
        </w:rPr>
        <w:t xml:space="preserve">UC Davis report – Residential sector 1.4.20 (7.2.21), </w:t>
      </w:r>
      <w:r w:rsidR="00513677" w:rsidRPr="0083534C">
        <w:rPr>
          <w:rFonts w:ascii="Cambria" w:hAnsi="Cambria"/>
          <w:sz w:val="22"/>
          <w:szCs w:val="22"/>
        </w:rPr>
        <w:t>under “Documents Posted Before the Meeting”).</w:t>
      </w:r>
      <w:r w:rsidR="00B67BB5" w:rsidRPr="0083534C">
        <w:rPr>
          <w:rFonts w:ascii="Cambria" w:hAnsi="Cambria"/>
          <w:sz w:val="22"/>
          <w:szCs w:val="22"/>
        </w:rPr>
        <w:t xml:space="preserve"> </w:t>
      </w:r>
    </w:p>
    <w:p w14:paraId="2409C550" w14:textId="32EAE236" w:rsidR="007D5BF7" w:rsidRPr="0083534C" w:rsidRDefault="007D5BF7" w:rsidP="00513677">
      <w:pPr>
        <w:shd w:val="clear" w:color="auto" w:fill="FFFFFF"/>
        <w:rPr>
          <w:rFonts w:ascii="Cambria" w:eastAsia="Times New Roman" w:hAnsi="Cambria" w:cs="Calibri"/>
          <w:b/>
          <w:bCs/>
          <w:sz w:val="22"/>
          <w:szCs w:val="22"/>
        </w:rPr>
      </w:pPr>
    </w:p>
    <w:p w14:paraId="6A275C37" w14:textId="76270BC6" w:rsidR="00513677" w:rsidRPr="0083534C" w:rsidRDefault="00513677" w:rsidP="00513677">
      <w:pPr>
        <w:rPr>
          <w:rFonts w:ascii="Cambria" w:hAnsi="Cambria"/>
          <w:sz w:val="22"/>
          <w:szCs w:val="22"/>
        </w:rPr>
      </w:pPr>
      <w:r w:rsidRPr="0083534C">
        <w:rPr>
          <w:rFonts w:ascii="Cambria" w:hAnsi="Cambria"/>
          <w:sz w:val="22"/>
          <w:szCs w:val="22"/>
        </w:rPr>
        <w:t>Highlights from J. Berg’s verbal overview of the Residential analysis are as follows:</w:t>
      </w:r>
    </w:p>
    <w:p w14:paraId="65359DB3" w14:textId="77777777" w:rsidR="00513677" w:rsidRPr="0083534C" w:rsidRDefault="00513677" w:rsidP="00513677">
      <w:pPr>
        <w:pStyle w:val="ListParagraph"/>
        <w:numPr>
          <w:ilvl w:val="0"/>
          <w:numId w:val="4"/>
        </w:numPr>
        <w:rPr>
          <w:rFonts w:ascii="Cambria" w:hAnsi="Cambria" w:cs="Calibri"/>
          <w:sz w:val="22"/>
          <w:szCs w:val="22"/>
        </w:rPr>
      </w:pPr>
      <w:r w:rsidRPr="0083534C">
        <w:rPr>
          <w:rFonts w:ascii="Cambria" w:hAnsi="Cambria" w:cs="Calibri"/>
          <w:b/>
          <w:bCs/>
          <w:sz w:val="22"/>
          <w:szCs w:val="22"/>
        </w:rPr>
        <w:t>Background</w:t>
      </w:r>
      <w:r w:rsidRPr="0083534C">
        <w:rPr>
          <w:rFonts w:ascii="Cambria" w:hAnsi="Cambria" w:cs="Calibri"/>
          <w:sz w:val="22"/>
          <w:szCs w:val="22"/>
        </w:rPr>
        <w:t>:</w:t>
      </w:r>
    </w:p>
    <w:p w14:paraId="54EFD556" w14:textId="28D4DC3B" w:rsidR="00513677" w:rsidRPr="0083534C" w:rsidRDefault="00513677" w:rsidP="00513677">
      <w:pPr>
        <w:pStyle w:val="ListParagraph"/>
        <w:numPr>
          <w:ilvl w:val="0"/>
          <w:numId w:val="11"/>
        </w:numPr>
        <w:rPr>
          <w:rFonts w:ascii="Cambria" w:hAnsi="Cambria" w:cs="Calibri"/>
          <w:sz w:val="22"/>
          <w:szCs w:val="22"/>
        </w:rPr>
      </w:pPr>
      <w:r w:rsidRPr="0083534C">
        <w:rPr>
          <w:rFonts w:ascii="Cambria" w:hAnsi="Cambria" w:cs="Calibri"/>
          <w:sz w:val="22"/>
          <w:szCs w:val="22"/>
        </w:rPr>
        <w:t>Lead by Professor Alissa Kendall and a bright and energetic team of students at UC Davis; completed analysis in December 2020; report posted to CAEECC website Jan</w:t>
      </w:r>
      <w:r w:rsidR="00EE0D64" w:rsidRPr="0083534C">
        <w:rPr>
          <w:rFonts w:ascii="Cambria" w:hAnsi="Cambria" w:cs="Calibri"/>
          <w:sz w:val="22"/>
          <w:szCs w:val="22"/>
        </w:rPr>
        <w:t>uary</w:t>
      </w:r>
      <w:r w:rsidRPr="0083534C">
        <w:rPr>
          <w:rFonts w:ascii="Cambria" w:hAnsi="Cambria" w:cs="Calibri"/>
          <w:sz w:val="22"/>
          <w:szCs w:val="22"/>
        </w:rPr>
        <w:t xml:space="preserve"> 2021</w:t>
      </w:r>
    </w:p>
    <w:p w14:paraId="0FD82102" w14:textId="77777777" w:rsidR="00513677" w:rsidRPr="0083534C" w:rsidRDefault="00513677" w:rsidP="00513677">
      <w:pPr>
        <w:pStyle w:val="ListParagraph"/>
        <w:numPr>
          <w:ilvl w:val="0"/>
          <w:numId w:val="11"/>
        </w:numPr>
        <w:rPr>
          <w:rFonts w:ascii="Cambria" w:hAnsi="Cambria" w:cs="Calibri"/>
          <w:sz w:val="22"/>
          <w:szCs w:val="22"/>
        </w:rPr>
      </w:pPr>
      <w:r w:rsidRPr="0083534C">
        <w:rPr>
          <w:rFonts w:ascii="Cambria" w:hAnsi="Cambria" w:cs="Calibri"/>
          <w:sz w:val="22"/>
          <w:szCs w:val="22"/>
        </w:rPr>
        <w:t xml:space="preserve">USC’s prior analysis summarized earlier this year focused more on a simpler correlation coefficient, and the UCD team considerably expanded the statistical and analytical approach </w:t>
      </w:r>
    </w:p>
    <w:p w14:paraId="7C1ECE18" w14:textId="60DD950B" w:rsidR="00513677" w:rsidRPr="0083534C" w:rsidRDefault="00513677" w:rsidP="00513677">
      <w:pPr>
        <w:pStyle w:val="ListParagraph"/>
        <w:numPr>
          <w:ilvl w:val="0"/>
          <w:numId w:val="11"/>
        </w:numPr>
        <w:rPr>
          <w:rFonts w:ascii="Cambria" w:hAnsi="Cambria" w:cs="Calibri"/>
          <w:sz w:val="22"/>
          <w:szCs w:val="22"/>
        </w:rPr>
      </w:pPr>
      <w:r w:rsidRPr="0083534C">
        <w:rPr>
          <w:rFonts w:ascii="Cambria" w:hAnsi="Cambria" w:cs="Calibri"/>
          <w:sz w:val="22"/>
          <w:szCs w:val="22"/>
        </w:rPr>
        <w:t xml:space="preserve">Will present a few key findings today; note that the report is </w:t>
      </w:r>
      <w:proofErr w:type="gramStart"/>
      <w:r w:rsidRPr="0083534C">
        <w:rPr>
          <w:rFonts w:ascii="Cambria" w:hAnsi="Cambria" w:cs="Calibri"/>
          <w:sz w:val="22"/>
          <w:szCs w:val="22"/>
        </w:rPr>
        <w:t>final</w:t>
      </w:r>
      <w:proofErr w:type="gramEnd"/>
      <w:r w:rsidRPr="0083534C">
        <w:rPr>
          <w:rFonts w:ascii="Cambria" w:hAnsi="Cambria" w:cs="Calibri"/>
          <w:sz w:val="22"/>
          <w:szCs w:val="22"/>
        </w:rPr>
        <w:t xml:space="preserve"> and the research team is not available to make revisions (in contrast to the Public and SMB sectors, where CAEECC members’ can make suggestions to inform potential revisions for the research team’s consideration). Also note that Carol Edwards, SCE, provided feedback after the report had been finalized; her comments will be referenced in the WG final transmittal to the CPUC</w:t>
      </w:r>
    </w:p>
    <w:p w14:paraId="44D571EB" w14:textId="77777777" w:rsidR="00513677" w:rsidRPr="0083534C" w:rsidRDefault="00513677" w:rsidP="00513677">
      <w:pPr>
        <w:pStyle w:val="ListParagraph"/>
        <w:numPr>
          <w:ilvl w:val="0"/>
          <w:numId w:val="4"/>
        </w:numPr>
        <w:rPr>
          <w:rFonts w:ascii="Cambria" w:hAnsi="Cambria" w:cs="Calibri"/>
          <w:b/>
          <w:bCs/>
          <w:sz w:val="22"/>
          <w:szCs w:val="22"/>
        </w:rPr>
      </w:pPr>
      <w:r w:rsidRPr="0083534C">
        <w:rPr>
          <w:rFonts w:ascii="Cambria" w:hAnsi="Cambria" w:cs="Calibri"/>
          <w:b/>
          <w:bCs/>
          <w:sz w:val="22"/>
          <w:szCs w:val="22"/>
        </w:rPr>
        <w:t>Key Findings:</w:t>
      </w:r>
    </w:p>
    <w:p w14:paraId="4B80204F" w14:textId="77777777" w:rsidR="00513677" w:rsidRPr="0083534C" w:rsidRDefault="00513677" w:rsidP="00513677">
      <w:pPr>
        <w:pStyle w:val="ListParagraph"/>
        <w:numPr>
          <w:ilvl w:val="0"/>
          <w:numId w:val="9"/>
        </w:numPr>
        <w:rPr>
          <w:rFonts w:ascii="Cambria" w:hAnsi="Cambria" w:cs="Calibri"/>
          <w:sz w:val="22"/>
          <w:szCs w:val="22"/>
        </w:rPr>
      </w:pPr>
      <w:r w:rsidRPr="0083534C">
        <w:rPr>
          <w:rFonts w:ascii="Cambria" w:hAnsi="Cambria" w:cs="Calibri"/>
          <w:sz w:val="22"/>
          <w:szCs w:val="22"/>
        </w:rPr>
        <w:t xml:space="preserve">Overall, the statistical analyses by zip code demonstrate that populations underserved by energy efficiency programs are within zip codes that have this array of characteristics: older housing stock, lower income residents, a higher proportion of renters, and a higher population of Native Americans. </w:t>
      </w:r>
    </w:p>
    <w:p w14:paraId="7B6C411D" w14:textId="1EE99F67" w:rsidR="00513677" w:rsidRPr="0083534C" w:rsidRDefault="00513677" w:rsidP="00EE0D64">
      <w:pPr>
        <w:pStyle w:val="ListParagraph"/>
        <w:numPr>
          <w:ilvl w:val="0"/>
          <w:numId w:val="9"/>
        </w:numPr>
        <w:rPr>
          <w:rFonts w:ascii="Cambria" w:hAnsi="Cambria" w:cs="Calibri"/>
          <w:sz w:val="22"/>
          <w:szCs w:val="22"/>
        </w:rPr>
      </w:pPr>
      <w:r w:rsidRPr="0083534C">
        <w:rPr>
          <w:rFonts w:ascii="Cambria" w:hAnsi="Cambria" w:cs="Calibri"/>
          <w:sz w:val="22"/>
          <w:szCs w:val="22"/>
        </w:rPr>
        <w:t xml:space="preserve">Results differ depending on the response variable and the method of analysis. A host of response variables were used </w:t>
      </w:r>
      <w:proofErr w:type="gramStart"/>
      <w:r w:rsidRPr="0083534C">
        <w:rPr>
          <w:rFonts w:ascii="Cambria" w:hAnsi="Cambria" w:cs="Calibri"/>
          <w:sz w:val="22"/>
          <w:szCs w:val="22"/>
        </w:rPr>
        <w:t>in order to</w:t>
      </w:r>
      <w:proofErr w:type="gramEnd"/>
      <w:r w:rsidRPr="0083534C">
        <w:rPr>
          <w:rFonts w:ascii="Cambria" w:hAnsi="Cambria" w:cs="Calibri"/>
          <w:sz w:val="22"/>
          <w:szCs w:val="22"/>
        </w:rPr>
        <w:t xml:space="preserve"> capture participation, energy savings, and dollar savings, and demonstrate the challenge of defining what “being served” by a program mean</w:t>
      </w:r>
      <w:r w:rsidR="00EE0D64" w:rsidRPr="0083534C">
        <w:rPr>
          <w:rFonts w:ascii="Cambria" w:hAnsi="Cambria" w:cs="Calibri"/>
          <w:sz w:val="22"/>
          <w:szCs w:val="22"/>
        </w:rPr>
        <w:t xml:space="preserve">s. </w:t>
      </w:r>
      <w:r w:rsidRPr="0083534C">
        <w:rPr>
          <w:rFonts w:ascii="Cambria" w:hAnsi="Cambria" w:cs="Calibri"/>
          <w:sz w:val="22"/>
          <w:szCs w:val="22"/>
        </w:rPr>
        <w:t>The multivariate regression, for example, identified a few socioeconomic categories as an indicator of populations being served (</w:t>
      </w:r>
      <w:proofErr w:type="gramStart"/>
      <w:r w:rsidRPr="0083534C">
        <w:rPr>
          <w:rFonts w:ascii="Cambria" w:hAnsi="Cambria" w:cs="Calibri"/>
          <w:sz w:val="22"/>
          <w:szCs w:val="22"/>
        </w:rPr>
        <w:t>including:</w:t>
      </w:r>
      <w:proofErr w:type="gramEnd"/>
      <w:r w:rsidRPr="0083534C">
        <w:rPr>
          <w:rFonts w:ascii="Cambria" w:hAnsi="Cambria" w:cs="Calibri"/>
          <w:sz w:val="22"/>
          <w:szCs w:val="22"/>
        </w:rPr>
        <w:t xml:space="preserve"> residents under the poverty line, older housing, a higher population with a disability, a higher population with no healthcare, a higher population of Native Americans, and a higher renting population). The t-test results were statistically significant, indicating there is not an equal distribution of benefits among energy users in relation to their socioeconomic characteristics. </w:t>
      </w:r>
    </w:p>
    <w:p w14:paraId="030AE662" w14:textId="2B62CC71" w:rsidR="00513677" w:rsidRPr="0083534C" w:rsidRDefault="00513677" w:rsidP="00513677">
      <w:pPr>
        <w:pStyle w:val="ListParagraph"/>
        <w:numPr>
          <w:ilvl w:val="0"/>
          <w:numId w:val="4"/>
        </w:numPr>
        <w:rPr>
          <w:rFonts w:ascii="Cambria" w:hAnsi="Cambria" w:cs="Calibri"/>
          <w:sz w:val="22"/>
          <w:szCs w:val="22"/>
        </w:rPr>
      </w:pPr>
      <w:r w:rsidRPr="0083534C">
        <w:rPr>
          <w:rFonts w:ascii="Cambria" w:hAnsi="Cambria" w:cs="Calibri"/>
          <w:b/>
          <w:bCs/>
          <w:sz w:val="22"/>
          <w:szCs w:val="22"/>
        </w:rPr>
        <w:t xml:space="preserve">Challenges Posed by Data Limitations – </w:t>
      </w:r>
      <w:r w:rsidR="00D57C71" w:rsidRPr="0083534C">
        <w:rPr>
          <w:rFonts w:ascii="Cambria" w:hAnsi="Cambria" w:cs="Calibri"/>
          <w:b/>
          <w:bCs/>
          <w:sz w:val="22"/>
          <w:szCs w:val="22"/>
        </w:rPr>
        <w:t>p</w:t>
      </w:r>
      <w:r w:rsidRPr="0083534C">
        <w:rPr>
          <w:rFonts w:ascii="Cambria" w:hAnsi="Cambria" w:cs="Calibri"/>
          <w:b/>
          <w:bCs/>
          <w:sz w:val="22"/>
          <w:szCs w:val="22"/>
        </w:rPr>
        <w:t>articularly salient for the new Equity Metrics Working Group</w:t>
      </w:r>
      <w:r w:rsidRPr="0083534C">
        <w:rPr>
          <w:rFonts w:ascii="Cambria" w:hAnsi="Cambria" w:cs="Calibri"/>
          <w:sz w:val="22"/>
          <w:szCs w:val="22"/>
        </w:rPr>
        <w:t xml:space="preserve"> </w:t>
      </w:r>
    </w:p>
    <w:p w14:paraId="5434DFFE" w14:textId="77777777" w:rsidR="00513677" w:rsidRPr="0083534C" w:rsidRDefault="00513677" w:rsidP="00513677">
      <w:pPr>
        <w:pStyle w:val="ListParagraph"/>
        <w:numPr>
          <w:ilvl w:val="0"/>
          <w:numId w:val="10"/>
        </w:numPr>
        <w:rPr>
          <w:rFonts w:ascii="Cambria" w:hAnsi="Cambria" w:cs="Calibri"/>
          <w:sz w:val="22"/>
          <w:szCs w:val="22"/>
        </w:rPr>
      </w:pPr>
      <w:r w:rsidRPr="0083534C">
        <w:rPr>
          <w:rFonts w:ascii="Cambria" w:hAnsi="Cambria" w:cs="Calibri"/>
          <w:sz w:val="22"/>
          <w:szCs w:val="22"/>
        </w:rPr>
        <w:t xml:space="preserve">The CEDARS database provided the claims data and program information </w:t>
      </w:r>
    </w:p>
    <w:p w14:paraId="0B81FB6E" w14:textId="77777777" w:rsidR="00513677" w:rsidRPr="0083534C" w:rsidRDefault="00513677" w:rsidP="00513677">
      <w:pPr>
        <w:pStyle w:val="ListParagraph"/>
        <w:numPr>
          <w:ilvl w:val="0"/>
          <w:numId w:val="10"/>
        </w:numPr>
        <w:rPr>
          <w:rFonts w:ascii="Cambria" w:hAnsi="Cambria" w:cs="Calibri"/>
          <w:sz w:val="22"/>
          <w:szCs w:val="22"/>
        </w:rPr>
      </w:pPr>
      <w:r w:rsidRPr="0083534C">
        <w:rPr>
          <w:rFonts w:ascii="Cambria" w:hAnsi="Cambria" w:cs="Calibri"/>
          <w:sz w:val="22"/>
          <w:szCs w:val="22"/>
        </w:rPr>
        <w:t xml:space="preserve"> The claims data details information about program administrator spending and resulting </w:t>
      </w:r>
      <w:proofErr w:type="gramStart"/>
      <w:r w:rsidRPr="0083534C">
        <w:rPr>
          <w:rFonts w:ascii="Cambria" w:hAnsi="Cambria" w:cs="Calibri"/>
          <w:sz w:val="22"/>
          <w:szCs w:val="22"/>
        </w:rPr>
        <w:t>savings, but</w:t>
      </w:r>
      <w:proofErr w:type="gramEnd"/>
      <w:r w:rsidRPr="0083534C">
        <w:rPr>
          <w:rFonts w:ascii="Cambria" w:hAnsi="Cambria" w:cs="Calibri"/>
          <w:sz w:val="22"/>
          <w:szCs w:val="22"/>
        </w:rPr>
        <w:t xml:space="preserve"> does not capture or report any information about the program participants. </w:t>
      </w:r>
    </w:p>
    <w:p w14:paraId="14976183" w14:textId="77777777" w:rsidR="00513677" w:rsidRPr="0083534C" w:rsidRDefault="00513677" w:rsidP="0068497D">
      <w:pPr>
        <w:pStyle w:val="ListParagraph"/>
        <w:numPr>
          <w:ilvl w:val="1"/>
          <w:numId w:val="10"/>
        </w:numPr>
        <w:rPr>
          <w:rFonts w:ascii="Cambria" w:hAnsi="Cambria" w:cs="Calibri"/>
          <w:sz w:val="22"/>
          <w:szCs w:val="22"/>
        </w:rPr>
      </w:pPr>
      <w:r w:rsidRPr="0083534C">
        <w:rPr>
          <w:rFonts w:ascii="Cambria" w:hAnsi="Cambria" w:cs="Calibri"/>
          <w:sz w:val="22"/>
          <w:szCs w:val="22"/>
        </w:rPr>
        <w:t>In considering potential strategies to better analyze the types of participants in residential energy efficiency programs, one approach would be for program administrators capture high level sociodemographic information and home energy usage information about program participants and report to CEDARS.</w:t>
      </w:r>
    </w:p>
    <w:p w14:paraId="39B76F1A" w14:textId="4E99513A" w:rsidR="00513677" w:rsidRPr="0083534C" w:rsidRDefault="00513677" w:rsidP="00E22164">
      <w:pPr>
        <w:pStyle w:val="ListParagraph"/>
        <w:numPr>
          <w:ilvl w:val="0"/>
          <w:numId w:val="10"/>
        </w:numPr>
        <w:ind w:firstLine="0"/>
        <w:jc w:val="both"/>
        <w:rPr>
          <w:rFonts w:ascii="Cambria" w:hAnsi="Cambria" w:cs="Calibri"/>
          <w:sz w:val="22"/>
          <w:szCs w:val="22"/>
        </w:rPr>
      </w:pPr>
      <w:r w:rsidRPr="0083534C">
        <w:rPr>
          <w:rFonts w:ascii="Cambria" w:hAnsi="Cambria" w:cs="Calibri"/>
          <w:sz w:val="22"/>
          <w:szCs w:val="22"/>
        </w:rPr>
        <w:t xml:space="preserve">The CEDARS database could be a stronger tool to support this this analysis if it incorporated key indicators for populations the program is intended to target. For example, noting if a program is intended to target lower income participants or participants in older housing would be useful. </w:t>
      </w:r>
    </w:p>
    <w:p w14:paraId="2138857F" w14:textId="106626FE" w:rsidR="00B67BB5" w:rsidRPr="0083534C" w:rsidRDefault="00B67BB5" w:rsidP="00B67BB5">
      <w:pPr>
        <w:rPr>
          <w:rFonts w:ascii="Cambria" w:hAnsi="Cambria" w:cs="Calibri"/>
          <w:b/>
          <w:sz w:val="22"/>
          <w:szCs w:val="22"/>
        </w:rPr>
      </w:pPr>
    </w:p>
    <w:p w14:paraId="20654ABF" w14:textId="7E298ECF" w:rsidR="007D5BF7" w:rsidRPr="0083534C" w:rsidRDefault="007D5BF7" w:rsidP="00513677">
      <w:pPr>
        <w:rPr>
          <w:rFonts w:ascii="Cambria" w:hAnsi="Cambria" w:cs="Calibri"/>
          <w:b/>
          <w:bCs/>
          <w:sz w:val="22"/>
          <w:szCs w:val="22"/>
        </w:rPr>
      </w:pPr>
      <w:r w:rsidRPr="0083534C">
        <w:rPr>
          <w:rFonts w:ascii="Cambria" w:hAnsi="Cambria" w:cs="Times New Roman (Body CS)"/>
          <w:b/>
          <w:smallCaps/>
          <w:sz w:val="22"/>
          <w:szCs w:val="22"/>
        </w:rPr>
        <w:t>Wrap Up &amp; Adjourn</w:t>
      </w:r>
    </w:p>
    <w:p w14:paraId="6D235799" w14:textId="52178AAF" w:rsidR="00BE3F21" w:rsidRDefault="00FE0584" w:rsidP="00513677">
      <w:pPr>
        <w:shd w:val="clear" w:color="auto" w:fill="FFFFFF"/>
        <w:rPr>
          <w:rFonts w:ascii="Cambria" w:eastAsia="Times New Roman" w:hAnsi="Cambria" w:cs="Calibri"/>
          <w:sz w:val="22"/>
          <w:szCs w:val="22"/>
        </w:rPr>
      </w:pPr>
      <w:r w:rsidRPr="0083534C">
        <w:rPr>
          <w:rFonts w:ascii="Cambria" w:eastAsia="Times New Roman" w:hAnsi="Cambria" w:cs="Calibri"/>
          <w:sz w:val="22"/>
          <w:szCs w:val="22"/>
        </w:rPr>
        <w:t xml:space="preserve">In summarizing next steps, </w:t>
      </w:r>
      <w:r w:rsidR="007D5BF7" w:rsidRPr="0083534C">
        <w:rPr>
          <w:rFonts w:ascii="Cambria" w:eastAsia="Times New Roman" w:hAnsi="Cambria" w:cs="Calibri"/>
          <w:sz w:val="22"/>
          <w:szCs w:val="22"/>
        </w:rPr>
        <w:t xml:space="preserve">S. McCreary </w:t>
      </w:r>
      <w:r w:rsidR="00BE3F21">
        <w:rPr>
          <w:rFonts w:ascii="Cambria" w:eastAsia="Times New Roman" w:hAnsi="Cambria" w:cs="Calibri"/>
          <w:sz w:val="22"/>
          <w:szCs w:val="22"/>
        </w:rPr>
        <w:t xml:space="preserve">reiterated that this is the final WG meeting and </w:t>
      </w:r>
      <w:r w:rsidRPr="0083534C">
        <w:rPr>
          <w:rFonts w:ascii="Cambria" w:eastAsia="Times New Roman" w:hAnsi="Cambria" w:cs="Calibri"/>
          <w:sz w:val="22"/>
          <w:szCs w:val="22"/>
        </w:rPr>
        <w:t xml:space="preserve">noted that a key next step </w:t>
      </w:r>
      <w:r w:rsidR="00BE3F21">
        <w:rPr>
          <w:rFonts w:ascii="Cambria" w:eastAsia="Times New Roman" w:hAnsi="Cambria" w:cs="Calibri"/>
          <w:sz w:val="22"/>
          <w:szCs w:val="22"/>
        </w:rPr>
        <w:t xml:space="preserve">in closing out the Working Group </w:t>
      </w:r>
      <w:r w:rsidRPr="0083534C">
        <w:rPr>
          <w:rFonts w:ascii="Cambria" w:eastAsia="Times New Roman" w:hAnsi="Cambria" w:cs="Calibri"/>
          <w:sz w:val="22"/>
          <w:szCs w:val="22"/>
        </w:rPr>
        <w:t xml:space="preserve">is submitting a report to the CPUC. </w:t>
      </w:r>
    </w:p>
    <w:p w14:paraId="7A0A9F3F" w14:textId="77777777" w:rsidR="00BE3F21" w:rsidRDefault="00BE3F21" w:rsidP="00513677">
      <w:pPr>
        <w:shd w:val="clear" w:color="auto" w:fill="FFFFFF"/>
        <w:rPr>
          <w:rFonts w:ascii="Cambria" w:eastAsia="Times New Roman" w:hAnsi="Cambria" w:cs="Calibri"/>
          <w:sz w:val="22"/>
          <w:szCs w:val="22"/>
        </w:rPr>
      </w:pPr>
    </w:p>
    <w:p w14:paraId="6B19A4A1" w14:textId="7FE47287" w:rsidR="007D5BF7" w:rsidRPr="0083534C" w:rsidRDefault="00FE0584" w:rsidP="00513677">
      <w:pPr>
        <w:shd w:val="clear" w:color="auto" w:fill="FFFFFF"/>
        <w:rPr>
          <w:rFonts w:ascii="Cambria" w:eastAsia="Times New Roman" w:hAnsi="Cambria" w:cs="Calibri"/>
          <w:sz w:val="22"/>
          <w:szCs w:val="22"/>
        </w:rPr>
      </w:pPr>
      <w:r w:rsidRPr="0083534C">
        <w:rPr>
          <w:rFonts w:ascii="Cambria" w:eastAsia="Times New Roman" w:hAnsi="Cambria" w:cs="Calibri"/>
          <w:sz w:val="22"/>
          <w:szCs w:val="22"/>
        </w:rPr>
        <w:t>Co-Chair J. Berg asked CPUC ex-officio representative N. Strindberg to comment on his recommendations</w:t>
      </w:r>
      <w:r w:rsidR="008B2A92">
        <w:rPr>
          <w:rFonts w:ascii="Cambria" w:eastAsia="Times New Roman" w:hAnsi="Cambria" w:cs="Calibri"/>
          <w:sz w:val="22"/>
          <w:szCs w:val="22"/>
        </w:rPr>
        <w:t xml:space="preserve"> relative to appropriate next steps</w:t>
      </w:r>
      <w:r w:rsidRPr="0083534C">
        <w:rPr>
          <w:rFonts w:ascii="Cambria" w:eastAsia="Times New Roman" w:hAnsi="Cambria" w:cs="Calibri"/>
          <w:sz w:val="22"/>
          <w:szCs w:val="22"/>
        </w:rPr>
        <w:t xml:space="preserve">. The following discussion ensued: </w:t>
      </w:r>
    </w:p>
    <w:p w14:paraId="3FDB12AA" w14:textId="36C7CE8A" w:rsidR="00FE0584" w:rsidRPr="0083534C" w:rsidRDefault="00E52016" w:rsidP="00E23492">
      <w:pPr>
        <w:pStyle w:val="ListParagraph"/>
        <w:numPr>
          <w:ilvl w:val="0"/>
          <w:numId w:val="16"/>
        </w:numPr>
        <w:rPr>
          <w:rFonts w:ascii="Cambria" w:eastAsia="Times New Roman" w:hAnsi="Cambria" w:cs="Times New Roman"/>
          <w:sz w:val="22"/>
          <w:szCs w:val="22"/>
        </w:rPr>
      </w:pPr>
      <w:r w:rsidRPr="0083534C">
        <w:rPr>
          <w:rFonts w:ascii="Cambria" w:eastAsia="Times New Roman" w:hAnsi="Cambria" w:cs="Calibri"/>
          <w:sz w:val="22"/>
          <w:szCs w:val="22"/>
        </w:rPr>
        <w:t xml:space="preserve">N. Strindberg: </w:t>
      </w:r>
      <w:r w:rsidR="00FE0584" w:rsidRPr="0083534C">
        <w:rPr>
          <w:rFonts w:ascii="Cambria" w:eastAsia="Times New Roman" w:hAnsi="Cambria" w:cs="Calibri"/>
          <w:sz w:val="22"/>
          <w:szCs w:val="22"/>
        </w:rPr>
        <w:t xml:space="preserve">There are a few options, including the WG filing a motion for the CPUC’s consideration, a </w:t>
      </w:r>
      <w:r w:rsidR="00E23492" w:rsidRPr="0083534C">
        <w:rPr>
          <w:rFonts w:ascii="Cambria" w:eastAsia="Times New Roman" w:hAnsi="Cambria" w:cs="Times New Roman"/>
          <w:color w:val="000000"/>
          <w:sz w:val="22"/>
          <w:szCs w:val="22"/>
        </w:rPr>
        <w:t>Petition for Modification (PFM)</w:t>
      </w:r>
      <w:r w:rsidR="00FE0584" w:rsidRPr="0083534C">
        <w:rPr>
          <w:rFonts w:ascii="Cambria" w:eastAsia="Times New Roman" w:hAnsi="Cambria" w:cs="Calibri"/>
          <w:sz w:val="22"/>
          <w:szCs w:val="22"/>
        </w:rPr>
        <w:t xml:space="preserve">, or sending the reports to the service list (the latter is an informal approach that is more geared towards </w:t>
      </w:r>
      <w:r w:rsidR="005027F4" w:rsidRPr="00DE351B">
        <w:rPr>
          <w:rFonts w:ascii="Cambria" w:eastAsia="Times New Roman" w:hAnsi="Cambria" w:cs="Calibri"/>
          <w:sz w:val="22"/>
          <w:szCs w:val="22"/>
        </w:rPr>
        <w:t>making the report generally available</w:t>
      </w:r>
      <w:r w:rsidR="00FE0584" w:rsidRPr="0083534C">
        <w:rPr>
          <w:rFonts w:ascii="Cambria" w:eastAsia="Times New Roman" w:hAnsi="Cambria" w:cs="Calibri"/>
          <w:sz w:val="22"/>
          <w:szCs w:val="22"/>
        </w:rPr>
        <w:t xml:space="preserve">). The most likely </w:t>
      </w:r>
      <w:r w:rsidR="008B2A92">
        <w:rPr>
          <w:rFonts w:ascii="Cambria" w:eastAsia="Times New Roman" w:hAnsi="Cambria" w:cs="Calibri"/>
          <w:sz w:val="22"/>
          <w:szCs w:val="22"/>
        </w:rPr>
        <w:t>next step</w:t>
      </w:r>
      <w:r w:rsidR="00FE0584" w:rsidRPr="0083534C">
        <w:rPr>
          <w:rFonts w:ascii="Cambria" w:eastAsia="Times New Roman" w:hAnsi="Cambria" w:cs="Calibri"/>
          <w:sz w:val="22"/>
          <w:szCs w:val="22"/>
        </w:rPr>
        <w:t xml:space="preserve"> is probably a motion for the CPUC’s consideration, </w:t>
      </w:r>
      <w:proofErr w:type="gramStart"/>
      <w:r w:rsidR="00FE0584" w:rsidRPr="0083534C">
        <w:rPr>
          <w:rFonts w:ascii="Cambria" w:eastAsia="Times New Roman" w:hAnsi="Cambria" w:cs="Calibri"/>
          <w:sz w:val="22"/>
          <w:szCs w:val="22"/>
        </w:rPr>
        <w:t>similar to</w:t>
      </w:r>
      <w:proofErr w:type="gramEnd"/>
      <w:r w:rsidR="00FE0584" w:rsidRPr="0083534C">
        <w:rPr>
          <w:rFonts w:ascii="Cambria" w:eastAsia="Times New Roman" w:hAnsi="Cambria" w:cs="Calibri"/>
          <w:sz w:val="22"/>
          <w:szCs w:val="22"/>
        </w:rPr>
        <w:t xml:space="preserve"> the CAEECC EE</w:t>
      </w:r>
      <w:r w:rsidR="005610B0" w:rsidRPr="0083534C">
        <w:rPr>
          <w:rFonts w:ascii="Cambria" w:eastAsia="Times New Roman" w:hAnsi="Cambria" w:cs="Calibri"/>
          <w:sz w:val="22"/>
          <w:szCs w:val="22"/>
        </w:rPr>
        <w:t xml:space="preserve"> (Energy Efficiency)</w:t>
      </w:r>
      <w:r w:rsidR="00FE0584" w:rsidRPr="0083534C">
        <w:rPr>
          <w:rFonts w:ascii="Cambria" w:eastAsia="Times New Roman" w:hAnsi="Cambria" w:cs="Calibri"/>
          <w:sz w:val="22"/>
          <w:szCs w:val="22"/>
        </w:rPr>
        <w:t xml:space="preserve"> </w:t>
      </w:r>
      <w:r w:rsidR="005610B0" w:rsidRPr="0083534C">
        <w:rPr>
          <w:rFonts w:ascii="Cambria" w:eastAsia="Times New Roman" w:hAnsi="Cambria" w:cs="Calibri"/>
          <w:sz w:val="22"/>
          <w:szCs w:val="22"/>
        </w:rPr>
        <w:t>Portfolio Filing Process</w:t>
      </w:r>
      <w:r w:rsidR="00FE0584" w:rsidRPr="0083534C">
        <w:rPr>
          <w:rFonts w:ascii="Cambria" w:eastAsia="Times New Roman" w:hAnsi="Cambria" w:cs="Calibri"/>
          <w:sz w:val="22"/>
          <w:szCs w:val="22"/>
        </w:rPr>
        <w:t xml:space="preserve"> WG. The CPUC could then </w:t>
      </w:r>
      <w:r w:rsidR="00FE0584" w:rsidRPr="0083534C">
        <w:rPr>
          <w:rFonts w:ascii="Cambria" w:eastAsia="Times New Roman" w:hAnsi="Cambria" w:cs="Times New Roman"/>
          <w:sz w:val="22"/>
          <w:szCs w:val="22"/>
        </w:rPr>
        <w:t>reject the motion, or they could put out a ruling and ask for people to comment on it; likely followed by more followup.</w:t>
      </w:r>
    </w:p>
    <w:p w14:paraId="2757CAB6" w14:textId="6E0DF7AF" w:rsidR="00E52016" w:rsidRPr="0083534C" w:rsidRDefault="00E52016" w:rsidP="00513677">
      <w:pPr>
        <w:pStyle w:val="ListParagraph"/>
        <w:numPr>
          <w:ilvl w:val="0"/>
          <w:numId w:val="15"/>
        </w:numPr>
        <w:shd w:val="clear" w:color="auto" w:fill="FFFFFF"/>
        <w:rPr>
          <w:rFonts w:ascii="Cambria" w:eastAsia="Times New Roman" w:hAnsi="Cambria" w:cs="Calibri"/>
          <w:sz w:val="22"/>
          <w:szCs w:val="22"/>
        </w:rPr>
      </w:pPr>
      <w:r w:rsidRPr="0083534C">
        <w:rPr>
          <w:rFonts w:ascii="Cambria" w:eastAsia="Times New Roman" w:hAnsi="Cambria" w:cs="Calibri"/>
          <w:sz w:val="22"/>
          <w:szCs w:val="22"/>
        </w:rPr>
        <w:t xml:space="preserve">C. Malotte: </w:t>
      </w:r>
      <w:r w:rsidR="00FE0584" w:rsidRPr="0083534C">
        <w:rPr>
          <w:rFonts w:ascii="Cambria" w:eastAsia="Times New Roman" w:hAnsi="Cambria" w:cs="Calibri"/>
          <w:sz w:val="22"/>
          <w:szCs w:val="22"/>
        </w:rPr>
        <w:t xml:space="preserve">Unlike the EE </w:t>
      </w:r>
      <w:r w:rsidR="005610B0" w:rsidRPr="0083534C">
        <w:rPr>
          <w:rFonts w:ascii="Cambria" w:eastAsia="Times New Roman" w:hAnsi="Cambria" w:cs="Calibri"/>
          <w:sz w:val="22"/>
          <w:szCs w:val="22"/>
        </w:rPr>
        <w:t xml:space="preserve">Portfolio Filing Process </w:t>
      </w:r>
      <w:r w:rsidR="00FE0584" w:rsidRPr="0083534C">
        <w:rPr>
          <w:rFonts w:ascii="Cambria" w:eastAsia="Times New Roman" w:hAnsi="Cambria" w:cs="Calibri"/>
          <w:sz w:val="22"/>
          <w:szCs w:val="22"/>
        </w:rPr>
        <w:t>WG, w</w:t>
      </w:r>
      <w:r w:rsidRPr="0083534C">
        <w:rPr>
          <w:rFonts w:ascii="Cambria" w:eastAsia="Times New Roman" w:hAnsi="Cambria" w:cs="Calibri"/>
          <w:sz w:val="22"/>
          <w:szCs w:val="22"/>
        </w:rPr>
        <w:t>e don’t have that second step of policy recommendations</w:t>
      </w:r>
      <w:r w:rsidR="00FE0584" w:rsidRPr="0083534C">
        <w:rPr>
          <w:rFonts w:ascii="Cambria" w:eastAsia="Times New Roman" w:hAnsi="Cambria" w:cs="Calibri"/>
          <w:sz w:val="22"/>
          <w:szCs w:val="22"/>
        </w:rPr>
        <w:t xml:space="preserve"> - w</w:t>
      </w:r>
      <w:r w:rsidRPr="0083534C">
        <w:rPr>
          <w:rFonts w:ascii="Cambria" w:eastAsia="Times New Roman" w:hAnsi="Cambria" w:cs="Calibri"/>
          <w:sz w:val="22"/>
          <w:szCs w:val="22"/>
        </w:rPr>
        <w:t xml:space="preserve">ould it be helpful to have a motion that doesn’t include </w:t>
      </w:r>
      <w:r w:rsidR="00615577" w:rsidRPr="0083534C">
        <w:rPr>
          <w:rFonts w:ascii="Cambria" w:eastAsia="Times New Roman" w:hAnsi="Cambria" w:cs="Calibri"/>
          <w:sz w:val="22"/>
          <w:szCs w:val="22"/>
        </w:rPr>
        <w:t xml:space="preserve">policy recommendations? </w:t>
      </w:r>
      <w:r w:rsidR="00FE0584" w:rsidRPr="0083534C">
        <w:rPr>
          <w:rFonts w:ascii="Cambria" w:eastAsia="Times New Roman" w:hAnsi="Cambria" w:cs="Calibri"/>
          <w:sz w:val="22"/>
          <w:szCs w:val="22"/>
        </w:rPr>
        <w:t>I r</w:t>
      </w:r>
      <w:r w:rsidR="00615577" w:rsidRPr="0083534C">
        <w:rPr>
          <w:rFonts w:ascii="Cambria" w:eastAsia="Times New Roman" w:hAnsi="Cambria" w:cs="Calibri"/>
          <w:sz w:val="22"/>
          <w:szCs w:val="22"/>
        </w:rPr>
        <w:t xml:space="preserve">ecommend we leverage the results from this research in the Equity WG; </w:t>
      </w:r>
      <w:r w:rsidR="00FE0584" w:rsidRPr="0083534C">
        <w:rPr>
          <w:rFonts w:ascii="Cambria" w:eastAsia="Times New Roman" w:hAnsi="Cambria" w:cs="Calibri"/>
          <w:sz w:val="22"/>
          <w:szCs w:val="22"/>
        </w:rPr>
        <w:t xml:space="preserve">and </w:t>
      </w:r>
      <w:r w:rsidR="00615577" w:rsidRPr="0083534C">
        <w:rPr>
          <w:rFonts w:ascii="Cambria" w:eastAsia="Times New Roman" w:hAnsi="Cambria" w:cs="Calibri"/>
          <w:sz w:val="22"/>
          <w:szCs w:val="22"/>
        </w:rPr>
        <w:t xml:space="preserve">suggest </w:t>
      </w:r>
      <w:r w:rsidR="00FE0584" w:rsidRPr="0083534C">
        <w:rPr>
          <w:rFonts w:ascii="Cambria" w:eastAsia="Times New Roman" w:hAnsi="Cambria" w:cs="Calibri"/>
          <w:sz w:val="22"/>
          <w:szCs w:val="22"/>
        </w:rPr>
        <w:t xml:space="preserve">we </w:t>
      </w:r>
      <w:r w:rsidR="00615577" w:rsidRPr="0083534C">
        <w:rPr>
          <w:rFonts w:ascii="Cambria" w:eastAsia="Times New Roman" w:hAnsi="Cambria" w:cs="Calibri"/>
          <w:sz w:val="22"/>
          <w:szCs w:val="22"/>
        </w:rPr>
        <w:t xml:space="preserve">leave it to PAs to include policy recommendations – this may be the best avenue for proposing changes to the HTR definition. SCE, for example, has been considering a proposed modification to the </w:t>
      </w:r>
      <w:proofErr w:type="gramStart"/>
      <w:r w:rsidR="00615577" w:rsidRPr="0083534C">
        <w:rPr>
          <w:rFonts w:ascii="Cambria" w:eastAsia="Times New Roman" w:hAnsi="Cambria" w:cs="Calibri"/>
          <w:sz w:val="22"/>
          <w:szCs w:val="22"/>
        </w:rPr>
        <w:t>Public</w:t>
      </w:r>
      <w:proofErr w:type="gramEnd"/>
      <w:r w:rsidR="00615577" w:rsidRPr="0083534C">
        <w:rPr>
          <w:rFonts w:ascii="Cambria" w:eastAsia="Times New Roman" w:hAnsi="Cambria" w:cs="Calibri"/>
          <w:sz w:val="22"/>
          <w:szCs w:val="22"/>
        </w:rPr>
        <w:t xml:space="preserve"> sector HTR definition.</w:t>
      </w:r>
    </w:p>
    <w:p w14:paraId="4BF2DE8F" w14:textId="1D8D11B4" w:rsidR="00E23492" w:rsidRPr="0083534C" w:rsidRDefault="00615577" w:rsidP="00E23492">
      <w:pPr>
        <w:pStyle w:val="ListParagraph"/>
        <w:numPr>
          <w:ilvl w:val="0"/>
          <w:numId w:val="15"/>
        </w:numPr>
        <w:shd w:val="clear" w:color="auto" w:fill="FFFFFF"/>
        <w:rPr>
          <w:rFonts w:ascii="Cambria" w:eastAsia="Times New Roman" w:hAnsi="Cambria" w:cs="Calibri"/>
          <w:sz w:val="22"/>
          <w:szCs w:val="22"/>
        </w:rPr>
      </w:pPr>
      <w:r w:rsidRPr="0083534C">
        <w:rPr>
          <w:rFonts w:ascii="Cambria" w:eastAsia="Times New Roman" w:hAnsi="Cambria" w:cs="Calibri"/>
          <w:sz w:val="22"/>
          <w:szCs w:val="22"/>
        </w:rPr>
        <w:t xml:space="preserve">L. Rothschild: </w:t>
      </w:r>
      <w:r w:rsidR="00FE0584" w:rsidRPr="0083534C">
        <w:rPr>
          <w:rFonts w:ascii="Cambria" w:eastAsia="Times New Roman" w:hAnsi="Cambria" w:cs="Times New Roman"/>
          <w:sz w:val="22"/>
          <w:szCs w:val="22"/>
        </w:rPr>
        <w:t xml:space="preserve">The Prospectus from April 2020 included a problem statement to have a proposed definition of Underserved or, and/or reframe the current definition of HTR and so I would like, as we step away from this meeting today to understand if </w:t>
      </w:r>
      <w:r w:rsidR="0065760B" w:rsidRPr="0083534C">
        <w:rPr>
          <w:rFonts w:ascii="Cambria" w:eastAsia="Times New Roman" w:hAnsi="Cambria" w:cs="Times New Roman"/>
          <w:sz w:val="22"/>
          <w:szCs w:val="22"/>
        </w:rPr>
        <w:t>there is</w:t>
      </w:r>
      <w:r w:rsidR="00FE0584" w:rsidRPr="0083534C">
        <w:rPr>
          <w:rFonts w:ascii="Cambria" w:eastAsia="Times New Roman" w:hAnsi="Cambria" w:cs="Times New Roman"/>
          <w:sz w:val="22"/>
          <w:szCs w:val="22"/>
        </w:rPr>
        <w:t xml:space="preserve"> a consensus agreement on how we treat this in the Equity working group launching this week.</w:t>
      </w:r>
    </w:p>
    <w:p w14:paraId="2E834D49" w14:textId="646EAAAC" w:rsidR="004F3BE5" w:rsidRPr="0083534C" w:rsidRDefault="00615577" w:rsidP="00E23492">
      <w:pPr>
        <w:pStyle w:val="ListParagraph"/>
        <w:numPr>
          <w:ilvl w:val="0"/>
          <w:numId w:val="15"/>
        </w:numPr>
        <w:shd w:val="clear" w:color="auto" w:fill="FFFFFF"/>
        <w:rPr>
          <w:rFonts w:ascii="Cambria" w:eastAsia="Times New Roman" w:hAnsi="Cambria" w:cs="Calibri"/>
          <w:sz w:val="22"/>
          <w:szCs w:val="22"/>
        </w:rPr>
      </w:pPr>
      <w:r w:rsidRPr="0083534C">
        <w:rPr>
          <w:rFonts w:ascii="Cambria" w:eastAsia="Times New Roman" w:hAnsi="Cambria" w:cs="Calibri"/>
          <w:sz w:val="22"/>
          <w:szCs w:val="22"/>
        </w:rPr>
        <w:t>J. Berg: It should</w:t>
      </w:r>
      <w:r w:rsidR="00FE0584" w:rsidRPr="0083534C">
        <w:rPr>
          <w:rFonts w:ascii="Cambria" w:eastAsia="Times New Roman" w:hAnsi="Cambria" w:cs="Calibri"/>
          <w:sz w:val="22"/>
          <w:szCs w:val="22"/>
        </w:rPr>
        <w:t xml:space="preserve"> </w:t>
      </w:r>
      <w:proofErr w:type="gramStart"/>
      <w:r w:rsidR="00FE0584" w:rsidRPr="0083534C">
        <w:rPr>
          <w:rFonts w:ascii="Cambria" w:eastAsia="Times New Roman" w:hAnsi="Cambria" w:cs="Calibri"/>
          <w:sz w:val="22"/>
          <w:szCs w:val="22"/>
        </w:rPr>
        <w:t>definitely</w:t>
      </w:r>
      <w:r w:rsidRPr="0083534C">
        <w:rPr>
          <w:rFonts w:ascii="Cambria" w:eastAsia="Times New Roman" w:hAnsi="Cambria" w:cs="Calibri"/>
          <w:sz w:val="22"/>
          <w:szCs w:val="22"/>
        </w:rPr>
        <w:t xml:space="preserve"> be</w:t>
      </w:r>
      <w:proofErr w:type="gramEnd"/>
      <w:r w:rsidRPr="0083534C">
        <w:rPr>
          <w:rFonts w:ascii="Cambria" w:eastAsia="Times New Roman" w:hAnsi="Cambria" w:cs="Calibri"/>
          <w:sz w:val="22"/>
          <w:szCs w:val="22"/>
        </w:rPr>
        <w:t xml:space="preserve"> rolled into the Equity WG, but </w:t>
      </w:r>
      <w:r w:rsidR="00472947">
        <w:rPr>
          <w:rFonts w:ascii="Cambria" w:eastAsia="Times New Roman" w:hAnsi="Cambria" w:cs="Calibri"/>
          <w:sz w:val="22"/>
          <w:szCs w:val="22"/>
        </w:rPr>
        <w:t xml:space="preserve">given data </w:t>
      </w:r>
      <w:r w:rsidR="005027F4">
        <w:rPr>
          <w:rFonts w:ascii="Cambria" w:eastAsia="Times New Roman" w:hAnsi="Cambria" w:cs="Calibri"/>
          <w:sz w:val="22"/>
          <w:szCs w:val="22"/>
        </w:rPr>
        <w:t>limitations, we</w:t>
      </w:r>
      <w:r w:rsidR="00472947">
        <w:rPr>
          <w:rFonts w:ascii="Cambria" w:eastAsia="Times New Roman" w:hAnsi="Cambria" w:cs="Calibri"/>
          <w:sz w:val="22"/>
          <w:szCs w:val="22"/>
        </w:rPr>
        <w:t xml:space="preserve"> as </w:t>
      </w:r>
      <w:proofErr w:type="spellStart"/>
      <w:r w:rsidR="00472947">
        <w:rPr>
          <w:rFonts w:ascii="Cambria" w:eastAsia="Times New Roman" w:hAnsi="Cambria" w:cs="Calibri"/>
          <w:sz w:val="22"/>
          <w:szCs w:val="22"/>
        </w:rPr>
        <w:t>Co Chairs</w:t>
      </w:r>
      <w:proofErr w:type="spellEnd"/>
      <w:r w:rsidR="00472947">
        <w:rPr>
          <w:rFonts w:ascii="Cambria" w:eastAsia="Times New Roman" w:hAnsi="Cambria" w:cs="Calibri"/>
          <w:sz w:val="22"/>
          <w:szCs w:val="22"/>
        </w:rPr>
        <w:t xml:space="preserve"> are </w:t>
      </w:r>
      <w:r w:rsidRPr="0083534C">
        <w:rPr>
          <w:rFonts w:ascii="Cambria" w:eastAsia="Times New Roman" w:hAnsi="Cambria" w:cs="Calibri"/>
          <w:sz w:val="22"/>
          <w:szCs w:val="22"/>
        </w:rPr>
        <w:t xml:space="preserve">not sure </w:t>
      </w:r>
      <w:r w:rsidR="00472947">
        <w:rPr>
          <w:rFonts w:ascii="Cambria" w:eastAsia="Times New Roman" w:hAnsi="Cambria" w:cs="Calibri"/>
          <w:sz w:val="22"/>
          <w:szCs w:val="22"/>
        </w:rPr>
        <w:t>that the findings are sufficiently</w:t>
      </w:r>
      <w:r w:rsidRPr="0083534C">
        <w:rPr>
          <w:rFonts w:ascii="Cambria" w:eastAsia="Times New Roman" w:hAnsi="Cambria" w:cs="Calibri"/>
          <w:sz w:val="22"/>
          <w:szCs w:val="22"/>
        </w:rPr>
        <w:t xml:space="preserve"> clear enough findings to warrant a Phase II. I</w:t>
      </w:r>
      <w:r w:rsidR="00472947">
        <w:rPr>
          <w:rFonts w:ascii="Cambria" w:eastAsia="Times New Roman" w:hAnsi="Cambria" w:cs="Calibri"/>
          <w:sz w:val="22"/>
          <w:szCs w:val="22"/>
        </w:rPr>
        <w:t xml:space="preserve"> </w:t>
      </w:r>
      <w:r w:rsidRPr="0083534C">
        <w:rPr>
          <w:rFonts w:ascii="Cambria" w:eastAsia="Times New Roman" w:hAnsi="Cambria" w:cs="Calibri"/>
          <w:sz w:val="22"/>
          <w:szCs w:val="22"/>
        </w:rPr>
        <w:t xml:space="preserve">agree with Chris’ </w:t>
      </w:r>
      <w:r w:rsidR="00472947">
        <w:rPr>
          <w:rFonts w:ascii="Cambria" w:eastAsia="Times New Roman" w:hAnsi="Cambria" w:cs="Calibri"/>
          <w:sz w:val="22"/>
          <w:szCs w:val="22"/>
        </w:rPr>
        <w:t>recommendation is appropriate:</w:t>
      </w:r>
      <w:r w:rsidRPr="0083534C">
        <w:rPr>
          <w:rFonts w:ascii="Cambria" w:eastAsia="Times New Roman" w:hAnsi="Cambria" w:cs="Calibri"/>
          <w:sz w:val="22"/>
          <w:szCs w:val="22"/>
        </w:rPr>
        <w:t xml:space="preserve"> for </w:t>
      </w:r>
      <w:r w:rsidR="0065760B" w:rsidRPr="0083534C">
        <w:rPr>
          <w:rFonts w:ascii="Cambria" w:eastAsia="Times New Roman" w:hAnsi="Cambria" w:cs="Times New Roman"/>
          <w:color w:val="000000"/>
          <w:sz w:val="22"/>
          <w:szCs w:val="22"/>
        </w:rPr>
        <w:t xml:space="preserve">Program Administrators (PAs) </w:t>
      </w:r>
      <w:r w:rsidRPr="0083534C">
        <w:rPr>
          <w:rFonts w:ascii="Cambria" w:eastAsia="Times New Roman" w:hAnsi="Cambria" w:cs="Calibri"/>
          <w:sz w:val="22"/>
          <w:szCs w:val="22"/>
        </w:rPr>
        <w:t>to include policy recommendation</w:t>
      </w:r>
      <w:r w:rsidR="004F3BE5" w:rsidRPr="0083534C">
        <w:rPr>
          <w:rFonts w:ascii="Cambria" w:eastAsia="Times New Roman" w:hAnsi="Cambria" w:cs="Calibri"/>
          <w:sz w:val="22"/>
          <w:szCs w:val="22"/>
        </w:rPr>
        <w:t>s</w:t>
      </w:r>
      <w:r w:rsidRPr="0083534C">
        <w:rPr>
          <w:rFonts w:ascii="Cambria" w:eastAsia="Times New Roman" w:hAnsi="Cambria" w:cs="Calibri"/>
          <w:sz w:val="22"/>
          <w:szCs w:val="22"/>
        </w:rPr>
        <w:t xml:space="preserve"> in our filings.</w:t>
      </w:r>
      <w:r w:rsidR="00E23492" w:rsidRPr="0083534C">
        <w:rPr>
          <w:rFonts w:ascii="Cambria" w:eastAsia="Times New Roman" w:hAnsi="Cambria" w:cs="Calibri"/>
          <w:sz w:val="22"/>
          <w:szCs w:val="22"/>
        </w:rPr>
        <w:t xml:space="preserve"> </w:t>
      </w:r>
      <w:r w:rsidR="00E23492" w:rsidRPr="0083534C">
        <w:rPr>
          <w:rFonts w:ascii="Cambria" w:eastAsia="Times New Roman" w:hAnsi="Cambria" w:cs="Times New Roman"/>
          <w:color w:val="000000"/>
          <w:sz w:val="22"/>
          <w:szCs w:val="22"/>
        </w:rPr>
        <w:t xml:space="preserve">PAs could work together to align on policy recommendations for a potential revised definition and then put that in our </w:t>
      </w:r>
      <w:r w:rsidR="0065760B" w:rsidRPr="0083534C">
        <w:rPr>
          <w:rFonts w:ascii="Cambria" w:eastAsia="Times New Roman" w:hAnsi="Cambria" w:cs="Times New Roman"/>
          <w:color w:val="000000"/>
          <w:sz w:val="22"/>
          <w:szCs w:val="22"/>
        </w:rPr>
        <w:t>Business Plan</w:t>
      </w:r>
      <w:r w:rsidR="00E23492" w:rsidRPr="0083534C">
        <w:rPr>
          <w:rFonts w:ascii="Cambria" w:eastAsia="Times New Roman" w:hAnsi="Cambria" w:cs="Times New Roman"/>
          <w:color w:val="000000"/>
          <w:sz w:val="22"/>
          <w:szCs w:val="22"/>
        </w:rPr>
        <w:t xml:space="preserve"> applications, though I am not sure that any </w:t>
      </w:r>
      <w:r w:rsidR="0065760B" w:rsidRPr="0083534C">
        <w:rPr>
          <w:rFonts w:ascii="Cambria" w:eastAsia="Times New Roman" w:hAnsi="Cambria" w:cs="Times New Roman"/>
          <w:color w:val="000000"/>
          <w:sz w:val="22"/>
          <w:szCs w:val="22"/>
        </w:rPr>
        <w:t xml:space="preserve">PA </w:t>
      </w:r>
      <w:r w:rsidR="00E23492" w:rsidRPr="0083534C">
        <w:rPr>
          <w:rFonts w:ascii="Cambria" w:eastAsia="Times New Roman" w:hAnsi="Cambria" w:cs="Times New Roman"/>
          <w:color w:val="000000"/>
          <w:sz w:val="22"/>
          <w:szCs w:val="22"/>
        </w:rPr>
        <w:t>is at a point to commit to that</w:t>
      </w:r>
    </w:p>
    <w:p w14:paraId="36F35977" w14:textId="1A6EC2FF" w:rsidR="00A9373F" w:rsidRPr="0083534C" w:rsidRDefault="00615577" w:rsidP="00513677">
      <w:pPr>
        <w:pStyle w:val="ListParagraph"/>
        <w:numPr>
          <w:ilvl w:val="0"/>
          <w:numId w:val="15"/>
        </w:numPr>
        <w:shd w:val="clear" w:color="auto" w:fill="FFFFFF"/>
        <w:rPr>
          <w:rFonts w:ascii="Cambria" w:eastAsia="Times New Roman" w:hAnsi="Cambria" w:cs="Calibri"/>
          <w:sz w:val="22"/>
          <w:szCs w:val="22"/>
        </w:rPr>
      </w:pPr>
      <w:r w:rsidRPr="0083534C">
        <w:rPr>
          <w:rFonts w:ascii="Cambria" w:eastAsia="Times New Roman" w:hAnsi="Cambria" w:cs="Calibri"/>
          <w:sz w:val="22"/>
          <w:szCs w:val="22"/>
        </w:rPr>
        <w:t xml:space="preserve">L. Medina: The analysis has provided </w:t>
      </w:r>
      <w:r w:rsidR="004F3BE5" w:rsidRPr="0083534C">
        <w:rPr>
          <w:rFonts w:ascii="Cambria" w:eastAsia="Times New Roman" w:hAnsi="Cambria" w:cs="Calibri"/>
          <w:sz w:val="22"/>
          <w:szCs w:val="22"/>
        </w:rPr>
        <w:t xml:space="preserve">data </w:t>
      </w:r>
      <w:r w:rsidR="00472947">
        <w:rPr>
          <w:rFonts w:ascii="Cambria" w:eastAsia="Times New Roman" w:hAnsi="Cambria" w:cs="Calibri"/>
          <w:sz w:val="22"/>
          <w:szCs w:val="22"/>
        </w:rPr>
        <w:t xml:space="preserve">that reinforces what is </w:t>
      </w:r>
      <w:r w:rsidRPr="0083534C">
        <w:rPr>
          <w:rFonts w:ascii="Cambria" w:eastAsia="Times New Roman" w:hAnsi="Cambria" w:cs="Calibri"/>
          <w:sz w:val="22"/>
          <w:szCs w:val="22"/>
        </w:rPr>
        <w:t xml:space="preserve">already apparent in </w:t>
      </w:r>
      <w:proofErr w:type="spellStart"/>
      <w:r w:rsidRPr="0083534C">
        <w:rPr>
          <w:rFonts w:ascii="Cambria" w:eastAsia="Times New Roman" w:hAnsi="Cambria" w:cs="Calibri"/>
          <w:sz w:val="22"/>
          <w:szCs w:val="22"/>
        </w:rPr>
        <w:t>SoCalREN’s</w:t>
      </w:r>
      <w:proofErr w:type="spellEnd"/>
      <w:r w:rsidRPr="0083534C">
        <w:rPr>
          <w:rFonts w:ascii="Cambria" w:eastAsia="Times New Roman" w:hAnsi="Cambria" w:cs="Calibri"/>
          <w:sz w:val="22"/>
          <w:szCs w:val="22"/>
        </w:rPr>
        <w:t xml:space="preserve"> territory</w:t>
      </w:r>
      <w:r w:rsidR="004F3BE5" w:rsidRPr="0083534C">
        <w:rPr>
          <w:rFonts w:ascii="Cambria" w:eastAsia="Times New Roman" w:hAnsi="Cambria" w:cs="Calibri"/>
          <w:sz w:val="22"/>
          <w:szCs w:val="22"/>
        </w:rPr>
        <w:t xml:space="preserve">; </w:t>
      </w:r>
      <w:r w:rsidRPr="0083534C">
        <w:rPr>
          <w:rFonts w:ascii="Cambria" w:eastAsia="Times New Roman" w:hAnsi="Cambria" w:cs="Calibri"/>
          <w:sz w:val="22"/>
          <w:szCs w:val="22"/>
        </w:rPr>
        <w:t xml:space="preserve">we will look to add the </w:t>
      </w:r>
      <w:proofErr w:type="gramStart"/>
      <w:r w:rsidRPr="0083534C">
        <w:rPr>
          <w:rFonts w:ascii="Cambria" w:eastAsia="Times New Roman" w:hAnsi="Cambria" w:cs="Calibri"/>
          <w:sz w:val="22"/>
          <w:szCs w:val="22"/>
        </w:rPr>
        <w:t>Public</w:t>
      </w:r>
      <w:proofErr w:type="gramEnd"/>
      <w:r w:rsidRPr="0083534C">
        <w:rPr>
          <w:rFonts w:ascii="Cambria" w:eastAsia="Times New Roman" w:hAnsi="Cambria" w:cs="Calibri"/>
          <w:sz w:val="22"/>
          <w:szCs w:val="22"/>
        </w:rPr>
        <w:t xml:space="preserve"> sector in the HTR definition. We struggle with lack of resources and rurality, so this data is valuable to support our challenges. </w:t>
      </w:r>
    </w:p>
    <w:p w14:paraId="15984D15" w14:textId="0ED1E67D" w:rsidR="007D5BF7" w:rsidRPr="0083534C" w:rsidRDefault="007D5BF7" w:rsidP="00513677">
      <w:pPr>
        <w:rPr>
          <w:rFonts w:ascii="Cambria" w:hAnsi="Cambria" w:cs="Calibri"/>
          <w:sz w:val="22"/>
          <w:szCs w:val="22"/>
        </w:rPr>
      </w:pPr>
    </w:p>
    <w:p w14:paraId="54A5F555" w14:textId="5152C94C" w:rsidR="007D5BF7" w:rsidRPr="0083534C" w:rsidRDefault="007D5BF7" w:rsidP="00513677">
      <w:pPr>
        <w:rPr>
          <w:rFonts w:ascii="Cambria" w:hAnsi="Cambria"/>
          <w:b/>
          <w:bCs/>
          <w:sz w:val="22"/>
          <w:szCs w:val="22"/>
        </w:rPr>
      </w:pPr>
      <w:r w:rsidRPr="0083534C">
        <w:rPr>
          <w:rFonts w:ascii="Cambria" w:hAnsi="Cambria"/>
          <w:b/>
          <w:bCs/>
          <w:sz w:val="22"/>
          <w:szCs w:val="22"/>
        </w:rPr>
        <w:t>Next Steps</w:t>
      </w:r>
    </w:p>
    <w:p w14:paraId="7DC1A547" w14:textId="77777777" w:rsidR="007D5BF7" w:rsidRPr="0083534C" w:rsidRDefault="007D5BF7" w:rsidP="00513677">
      <w:pPr>
        <w:rPr>
          <w:rFonts w:ascii="Cambria" w:hAnsi="Cambria"/>
          <w:i/>
          <w:iCs/>
          <w:sz w:val="22"/>
          <w:szCs w:val="22"/>
        </w:rPr>
      </w:pPr>
      <w:r w:rsidRPr="0083534C">
        <w:rPr>
          <w:rFonts w:ascii="Cambria" w:hAnsi="Cambria"/>
          <w:i/>
          <w:iCs/>
          <w:sz w:val="22"/>
          <w:szCs w:val="22"/>
        </w:rPr>
        <w:t>Facilitation team:</w:t>
      </w:r>
    </w:p>
    <w:p w14:paraId="3223AD2E" w14:textId="51BF55B0" w:rsidR="00965295" w:rsidRPr="0083534C" w:rsidRDefault="007D5BF7" w:rsidP="00513677">
      <w:pPr>
        <w:pStyle w:val="ListParagraph"/>
        <w:numPr>
          <w:ilvl w:val="0"/>
          <w:numId w:val="7"/>
        </w:numPr>
        <w:rPr>
          <w:rFonts w:ascii="Cambria" w:hAnsi="Cambria"/>
          <w:sz w:val="22"/>
          <w:szCs w:val="22"/>
        </w:rPr>
      </w:pPr>
      <w:r w:rsidRPr="0083534C">
        <w:rPr>
          <w:rFonts w:ascii="Cambria" w:hAnsi="Cambria"/>
          <w:color w:val="000000"/>
          <w:sz w:val="22"/>
          <w:szCs w:val="22"/>
        </w:rPr>
        <w:t>Develop meeting summary (this document) and circulate to UWG for review</w:t>
      </w:r>
      <w:r w:rsidR="00BE3F21">
        <w:rPr>
          <w:rFonts w:ascii="Cambria" w:hAnsi="Cambria"/>
          <w:color w:val="000000"/>
          <w:sz w:val="22"/>
          <w:szCs w:val="22"/>
        </w:rPr>
        <w:t xml:space="preserve"> – by 7/21</w:t>
      </w:r>
    </w:p>
    <w:p w14:paraId="306B4E8B" w14:textId="29FA6A1B" w:rsidR="00965295" w:rsidRPr="0083534C" w:rsidRDefault="004F3BE5" w:rsidP="00513677">
      <w:pPr>
        <w:pStyle w:val="ListParagraph"/>
        <w:numPr>
          <w:ilvl w:val="0"/>
          <w:numId w:val="7"/>
        </w:numPr>
        <w:rPr>
          <w:rFonts w:ascii="Cambria" w:hAnsi="Cambria"/>
          <w:sz w:val="22"/>
          <w:szCs w:val="22"/>
        </w:rPr>
      </w:pPr>
      <w:r w:rsidRPr="0083534C">
        <w:rPr>
          <w:rFonts w:ascii="Cambria" w:hAnsi="Cambria"/>
          <w:color w:val="000000"/>
          <w:sz w:val="22"/>
          <w:szCs w:val="22"/>
        </w:rPr>
        <w:t xml:space="preserve">Determine, in </w:t>
      </w:r>
      <w:r w:rsidRPr="0083534C">
        <w:rPr>
          <w:rFonts w:ascii="Cambria" w:hAnsi="Cambria"/>
          <w:sz w:val="22"/>
          <w:szCs w:val="22"/>
        </w:rPr>
        <w:t xml:space="preserve">consultation with </w:t>
      </w:r>
      <w:r w:rsidR="00472947">
        <w:rPr>
          <w:rFonts w:ascii="Cambria" w:hAnsi="Cambria"/>
          <w:sz w:val="22"/>
          <w:szCs w:val="22"/>
        </w:rPr>
        <w:t>C</w:t>
      </w:r>
      <w:r w:rsidRPr="0083534C">
        <w:rPr>
          <w:rFonts w:ascii="Cambria" w:hAnsi="Cambria"/>
          <w:sz w:val="22"/>
          <w:szCs w:val="22"/>
        </w:rPr>
        <w:t>o-chairs, the most appropriate way to share the WG findings with the</w:t>
      </w:r>
      <w:r w:rsidR="00965295" w:rsidRPr="0083534C">
        <w:rPr>
          <w:rFonts w:ascii="Cambria" w:hAnsi="Cambria"/>
          <w:sz w:val="22"/>
          <w:szCs w:val="22"/>
        </w:rPr>
        <w:t xml:space="preserve"> CPUC </w:t>
      </w:r>
      <w:r w:rsidR="00E22164" w:rsidRPr="0083534C">
        <w:rPr>
          <w:rFonts w:ascii="Cambria" w:hAnsi="Cambria"/>
          <w:sz w:val="22"/>
          <w:szCs w:val="22"/>
        </w:rPr>
        <w:t>and close out the Working Group</w:t>
      </w:r>
      <w:r w:rsidR="00BE3F21">
        <w:rPr>
          <w:rFonts w:ascii="Cambria" w:hAnsi="Cambria"/>
          <w:sz w:val="22"/>
          <w:szCs w:val="22"/>
        </w:rPr>
        <w:t xml:space="preserve"> – </w:t>
      </w:r>
      <w:r w:rsidR="00CE3A3F">
        <w:rPr>
          <w:rFonts w:ascii="Cambria" w:hAnsi="Cambria"/>
          <w:sz w:val="22"/>
          <w:szCs w:val="22"/>
        </w:rPr>
        <w:t xml:space="preserve">[note, on 7/20, the decision was made for </w:t>
      </w:r>
      <w:r w:rsidR="00CE3A3F" w:rsidRPr="00007D9F">
        <w:rPr>
          <w:rFonts w:ascii="Cambria" w:hAnsi="Cambria"/>
          <w:sz w:val="22"/>
          <w:szCs w:val="22"/>
        </w:rPr>
        <w:t>NRDC to submit a motion to the CPUC, including an Executive Summary memo (drafted by the Facilitation Team) linking to each of the research reports – to be submitted in mid-August]</w:t>
      </w:r>
    </w:p>
    <w:p w14:paraId="08EE881C" w14:textId="1563F150" w:rsidR="007D5BF7" w:rsidRPr="00007D9F" w:rsidRDefault="00472947" w:rsidP="00513677">
      <w:pPr>
        <w:pStyle w:val="ListParagraph"/>
        <w:numPr>
          <w:ilvl w:val="0"/>
          <w:numId w:val="7"/>
        </w:numPr>
        <w:rPr>
          <w:rFonts w:ascii="Cambria" w:hAnsi="Cambria"/>
          <w:sz w:val="22"/>
          <w:szCs w:val="22"/>
        </w:rPr>
      </w:pPr>
      <w:r>
        <w:rPr>
          <w:rFonts w:ascii="Cambria" w:hAnsi="Cambria"/>
          <w:sz w:val="22"/>
          <w:szCs w:val="22"/>
        </w:rPr>
        <w:t xml:space="preserve">Transmit a </w:t>
      </w:r>
      <w:r w:rsidRPr="0083534C">
        <w:rPr>
          <w:rFonts w:ascii="Cambria" w:hAnsi="Cambria"/>
          <w:sz w:val="22"/>
          <w:szCs w:val="22"/>
        </w:rPr>
        <w:t>WG process evaluation</w:t>
      </w:r>
      <w:r w:rsidR="005027F4">
        <w:rPr>
          <w:rFonts w:ascii="Cambria" w:hAnsi="Cambria"/>
          <w:sz w:val="22"/>
          <w:szCs w:val="22"/>
        </w:rPr>
        <w:t xml:space="preserve"> to members</w:t>
      </w:r>
      <w:r w:rsidRPr="0083534C">
        <w:rPr>
          <w:rFonts w:ascii="Cambria" w:hAnsi="Cambria"/>
          <w:sz w:val="22"/>
          <w:szCs w:val="22"/>
        </w:rPr>
        <w:t xml:space="preserve"> </w:t>
      </w:r>
      <w:r w:rsidR="00E22164" w:rsidRPr="0083534C">
        <w:rPr>
          <w:rFonts w:ascii="Cambria" w:hAnsi="Cambria"/>
          <w:sz w:val="22"/>
          <w:szCs w:val="22"/>
        </w:rPr>
        <w:t xml:space="preserve">– in conjunction with submitting </w:t>
      </w:r>
      <w:r w:rsidR="00E22164" w:rsidRPr="0083534C">
        <w:rPr>
          <w:rFonts w:ascii="Cambria" w:hAnsi="Cambria"/>
          <w:color w:val="000000"/>
          <w:sz w:val="22"/>
          <w:szCs w:val="22"/>
        </w:rPr>
        <w:t>the final report</w:t>
      </w:r>
      <w:r w:rsidR="00BE3F21">
        <w:rPr>
          <w:rFonts w:ascii="Cambria" w:hAnsi="Cambria"/>
          <w:color w:val="000000"/>
          <w:sz w:val="22"/>
          <w:szCs w:val="22"/>
        </w:rPr>
        <w:t xml:space="preserve"> – mid-August</w:t>
      </w:r>
    </w:p>
    <w:p w14:paraId="362D3F0A" w14:textId="1CEAE0FA" w:rsidR="00CE3A3F" w:rsidRDefault="00CE3A3F" w:rsidP="00CE3A3F">
      <w:pPr>
        <w:rPr>
          <w:rFonts w:ascii="Cambria" w:hAnsi="Cambria"/>
          <w:sz w:val="22"/>
          <w:szCs w:val="22"/>
        </w:rPr>
      </w:pPr>
    </w:p>
    <w:p w14:paraId="79C59169" w14:textId="128CC649" w:rsidR="00CE3A3F" w:rsidRPr="00007D9F" w:rsidRDefault="00CE3A3F" w:rsidP="00CE3A3F">
      <w:pPr>
        <w:rPr>
          <w:rFonts w:ascii="Cambria" w:hAnsi="Cambria"/>
          <w:i/>
          <w:iCs/>
          <w:sz w:val="22"/>
          <w:szCs w:val="22"/>
        </w:rPr>
      </w:pPr>
      <w:r w:rsidRPr="00007D9F">
        <w:rPr>
          <w:rFonts w:ascii="Cambria" w:hAnsi="Cambria"/>
          <w:i/>
          <w:iCs/>
          <w:sz w:val="22"/>
          <w:szCs w:val="22"/>
        </w:rPr>
        <w:t>Working Group members</w:t>
      </w:r>
      <w:r>
        <w:rPr>
          <w:rFonts w:ascii="Cambria" w:hAnsi="Cambria"/>
          <w:i/>
          <w:iCs/>
          <w:sz w:val="22"/>
          <w:szCs w:val="22"/>
        </w:rPr>
        <w:t xml:space="preserve"> and co-chairs:</w:t>
      </w:r>
    </w:p>
    <w:p w14:paraId="4C74D75A" w14:textId="346264E9" w:rsidR="00CE3A3F" w:rsidRPr="00007D9F" w:rsidRDefault="00CE3A3F" w:rsidP="00CE3A3F">
      <w:pPr>
        <w:pStyle w:val="ListParagraph"/>
        <w:numPr>
          <w:ilvl w:val="0"/>
          <w:numId w:val="17"/>
        </w:numPr>
        <w:rPr>
          <w:rFonts w:ascii="Cambria" w:hAnsi="Cambria"/>
          <w:sz w:val="22"/>
          <w:szCs w:val="22"/>
        </w:rPr>
      </w:pPr>
      <w:r w:rsidRPr="00007D9F">
        <w:rPr>
          <w:rFonts w:ascii="Cambria" w:hAnsi="Cambria"/>
          <w:sz w:val="22"/>
          <w:szCs w:val="22"/>
        </w:rPr>
        <w:t>Review the meeting summary by 7/28</w:t>
      </w:r>
    </w:p>
    <w:p w14:paraId="39766300" w14:textId="77777777" w:rsidR="00CE3A3F" w:rsidRPr="00007D9F" w:rsidRDefault="00CE3A3F" w:rsidP="00CE3A3F">
      <w:pPr>
        <w:pStyle w:val="ListParagraph"/>
        <w:numPr>
          <w:ilvl w:val="0"/>
          <w:numId w:val="17"/>
        </w:numPr>
        <w:rPr>
          <w:rFonts w:ascii="Cambria" w:hAnsi="Cambria"/>
          <w:sz w:val="22"/>
          <w:szCs w:val="22"/>
        </w:rPr>
      </w:pPr>
      <w:r w:rsidRPr="00007D9F">
        <w:rPr>
          <w:rFonts w:ascii="Cambria" w:hAnsi="Cambria"/>
          <w:sz w:val="22"/>
          <w:szCs w:val="22"/>
        </w:rPr>
        <w:lastRenderedPageBreak/>
        <w:t>NRDC to submit a motion to the CPUC, including an Executive Summary memo (drafted by the Facilitation Team) linking to each of the research reports – mid-August</w:t>
      </w:r>
    </w:p>
    <w:p w14:paraId="0BFD58E6" w14:textId="5C652092" w:rsidR="00CE3A3F" w:rsidRPr="00007D9F" w:rsidRDefault="00CE3A3F" w:rsidP="00007D9F">
      <w:pPr>
        <w:pStyle w:val="ListParagraph"/>
        <w:numPr>
          <w:ilvl w:val="0"/>
          <w:numId w:val="17"/>
        </w:numPr>
        <w:rPr>
          <w:rFonts w:ascii="Cambria" w:hAnsi="Cambria"/>
          <w:sz w:val="22"/>
          <w:szCs w:val="22"/>
        </w:rPr>
      </w:pPr>
      <w:r w:rsidRPr="00007D9F">
        <w:rPr>
          <w:rFonts w:ascii="Cambria" w:hAnsi="Cambria"/>
          <w:sz w:val="22"/>
          <w:szCs w:val="22"/>
        </w:rPr>
        <w:t>WG members to complete a process evaluation, which will be circulated in conjunction with submitting the final report – mid-August</w:t>
      </w:r>
    </w:p>
    <w:p w14:paraId="0B1C86C5" w14:textId="77777777" w:rsidR="007D5BF7" w:rsidRPr="0083534C" w:rsidRDefault="007D5BF7" w:rsidP="00513677">
      <w:pPr>
        <w:rPr>
          <w:rFonts w:ascii="Cambria" w:hAnsi="Cambria"/>
          <w:sz w:val="22"/>
          <w:szCs w:val="22"/>
        </w:rPr>
      </w:pPr>
    </w:p>
    <w:p w14:paraId="2584044E" w14:textId="77777777" w:rsidR="007D5BF7" w:rsidRPr="00CE3A3F" w:rsidRDefault="007D5BF7" w:rsidP="00513677">
      <w:pPr>
        <w:rPr>
          <w:rFonts w:ascii="Cambria" w:hAnsi="Cambria"/>
          <w:sz w:val="22"/>
          <w:szCs w:val="22"/>
        </w:rPr>
      </w:pPr>
    </w:p>
    <w:p w14:paraId="1214D740" w14:textId="19360232" w:rsidR="002B06A4" w:rsidRPr="0083534C" w:rsidRDefault="002B06A4" w:rsidP="00513677">
      <w:pPr>
        <w:rPr>
          <w:rFonts w:ascii="Cambria" w:hAnsi="Cambria" w:cs="Calibri"/>
        </w:rPr>
      </w:pPr>
    </w:p>
    <w:p w14:paraId="3CB5BEBA" w14:textId="61C7FC67" w:rsidR="00B422DB" w:rsidRPr="0083534C" w:rsidRDefault="00B422DB" w:rsidP="00513677">
      <w:pPr>
        <w:rPr>
          <w:rFonts w:ascii="Cambria" w:hAnsi="Cambria" w:cs="Calibri"/>
          <w:u w:val="single"/>
        </w:rPr>
      </w:pPr>
      <w:r w:rsidRPr="0083534C">
        <w:rPr>
          <w:rFonts w:ascii="Cambria" w:hAnsi="Cambria" w:cs="Calibri"/>
          <w:u w:val="single"/>
        </w:rPr>
        <w:br w:type="page"/>
      </w:r>
    </w:p>
    <w:p w14:paraId="164416A7" w14:textId="77777777" w:rsidR="007D5BF7" w:rsidRPr="0083534C" w:rsidRDefault="007D5BF7" w:rsidP="00513677">
      <w:pPr>
        <w:rPr>
          <w:rFonts w:ascii="Cambria" w:hAnsi="Cambria" w:cs="Calibri"/>
          <w:b/>
        </w:rPr>
      </w:pPr>
      <w:r w:rsidRPr="0083534C">
        <w:rPr>
          <w:rFonts w:ascii="Cambria" w:hAnsi="Cambria" w:cs="Calibri"/>
          <w:b/>
        </w:rPr>
        <w:lastRenderedPageBreak/>
        <w:t>Appendix A: Meeting Registrants</w:t>
      </w:r>
    </w:p>
    <w:tbl>
      <w:tblPr>
        <w:tblW w:w="7000" w:type="dxa"/>
        <w:tblLook w:val="04A0" w:firstRow="1" w:lastRow="0" w:firstColumn="1" w:lastColumn="0" w:noHBand="0" w:noVBand="1"/>
      </w:tblPr>
      <w:tblGrid>
        <w:gridCol w:w="3323"/>
        <w:gridCol w:w="1427"/>
        <w:gridCol w:w="2260"/>
      </w:tblGrid>
      <w:tr w:rsidR="005C190B" w:rsidRPr="0083534C" w14:paraId="74F2C53C" w14:textId="77777777" w:rsidTr="00357228">
        <w:trPr>
          <w:trHeight w:val="320"/>
        </w:trPr>
        <w:tc>
          <w:tcPr>
            <w:tcW w:w="4740" w:type="dxa"/>
            <w:gridSpan w:val="2"/>
            <w:tcBorders>
              <w:top w:val="nil"/>
              <w:left w:val="nil"/>
              <w:bottom w:val="single" w:sz="4" w:space="0" w:color="auto"/>
              <w:right w:val="nil"/>
            </w:tcBorders>
            <w:shd w:val="clear" w:color="auto" w:fill="auto"/>
            <w:noWrap/>
            <w:vAlign w:val="bottom"/>
            <w:hideMark/>
          </w:tcPr>
          <w:p w14:paraId="20F7D3D8" w14:textId="77777777" w:rsidR="005C190B" w:rsidRPr="0083534C" w:rsidRDefault="005C190B" w:rsidP="00357228">
            <w:pPr>
              <w:ind w:left="-17" w:right="-2017"/>
              <w:rPr>
                <w:rFonts w:ascii="Cambria" w:eastAsia="Times New Roman" w:hAnsi="Cambria" w:cs="Calibri"/>
                <w:b/>
                <w:bCs/>
                <w:color w:val="000000"/>
              </w:rPr>
            </w:pPr>
            <w:r w:rsidRPr="0083534C">
              <w:rPr>
                <w:rFonts w:ascii="Cambria" w:eastAsia="Times New Roman" w:hAnsi="Cambria" w:cs="Calibri"/>
                <w:b/>
                <w:bCs/>
                <w:color w:val="000000"/>
              </w:rPr>
              <w:t xml:space="preserve">7.12.21 Underserved Working Group Meeting </w:t>
            </w:r>
          </w:p>
        </w:tc>
        <w:tc>
          <w:tcPr>
            <w:tcW w:w="2260" w:type="dxa"/>
            <w:tcBorders>
              <w:top w:val="nil"/>
              <w:left w:val="nil"/>
              <w:bottom w:val="single" w:sz="4" w:space="0" w:color="auto"/>
              <w:right w:val="nil"/>
            </w:tcBorders>
            <w:shd w:val="clear" w:color="auto" w:fill="auto"/>
            <w:noWrap/>
            <w:vAlign w:val="bottom"/>
            <w:hideMark/>
          </w:tcPr>
          <w:p w14:paraId="5E86D052" w14:textId="77777777" w:rsidR="005C190B" w:rsidRPr="0083534C" w:rsidRDefault="005C190B" w:rsidP="00357228">
            <w:pPr>
              <w:ind w:left="-17" w:right="-2017"/>
              <w:rPr>
                <w:rFonts w:ascii="Cambria" w:eastAsia="Times New Roman" w:hAnsi="Cambria" w:cs="Calibri"/>
                <w:b/>
                <w:bCs/>
                <w:color w:val="000000"/>
              </w:rPr>
            </w:pPr>
          </w:p>
        </w:tc>
      </w:tr>
      <w:tr w:rsidR="005C190B" w:rsidRPr="0083534C" w14:paraId="214AD9BF"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7AC5" w14:textId="77777777" w:rsidR="005C190B" w:rsidRPr="0083534C" w:rsidRDefault="005C190B" w:rsidP="00357228">
            <w:pPr>
              <w:ind w:left="-17" w:right="-2017"/>
              <w:rPr>
                <w:rFonts w:ascii="Cambria" w:eastAsia="Times New Roman" w:hAnsi="Cambria" w:cs="Calibri"/>
                <w:b/>
                <w:bCs/>
                <w:color w:val="000000"/>
              </w:rPr>
            </w:pPr>
            <w:r w:rsidRPr="0083534C">
              <w:rPr>
                <w:rFonts w:ascii="Cambria" w:eastAsia="Times New Roman" w:hAnsi="Cambria" w:cs="Calibri"/>
                <w:b/>
                <w:bCs/>
                <w:color w:val="000000"/>
              </w:rPr>
              <w:t>Company</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A7AA" w14:textId="77777777" w:rsidR="005C190B" w:rsidRPr="0083534C" w:rsidRDefault="005C190B" w:rsidP="00357228">
            <w:pPr>
              <w:ind w:left="-17" w:right="-2017"/>
              <w:rPr>
                <w:rFonts w:ascii="Cambria" w:eastAsia="Times New Roman" w:hAnsi="Cambria" w:cs="Calibri"/>
                <w:b/>
                <w:bCs/>
                <w:color w:val="000000"/>
              </w:rPr>
            </w:pPr>
            <w:r w:rsidRPr="0083534C">
              <w:rPr>
                <w:rFonts w:ascii="Cambria" w:eastAsia="Times New Roman" w:hAnsi="Cambria" w:cs="Calibri"/>
                <w:b/>
                <w:bCs/>
                <w:color w:val="000000"/>
              </w:rPr>
              <w:t>First</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40544" w14:textId="77777777" w:rsidR="005C190B" w:rsidRPr="0083534C" w:rsidRDefault="005C190B" w:rsidP="00357228">
            <w:pPr>
              <w:ind w:left="-17" w:right="-2017"/>
              <w:rPr>
                <w:rFonts w:ascii="Cambria" w:eastAsia="Times New Roman" w:hAnsi="Cambria" w:cs="Calibri"/>
                <w:b/>
                <w:bCs/>
                <w:color w:val="000000"/>
              </w:rPr>
            </w:pPr>
            <w:r w:rsidRPr="0083534C">
              <w:rPr>
                <w:rFonts w:ascii="Cambria" w:eastAsia="Times New Roman" w:hAnsi="Cambria" w:cs="Calibri"/>
                <w:b/>
                <w:bCs/>
                <w:color w:val="000000"/>
              </w:rPr>
              <w:t>Last</w:t>
            </w:r>
          </w:p>
        </w:tc>
      </w:tr>
      <w:tr w:rsidR="005C190B" w:rsidRPr="0083534C" w14:paraId="0C924753"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3845"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3C-REN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B9EA2"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Alejandra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19873"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Tellez</w:t>
            </w:r>
          </w:p>
        </w:tc>
      </w:tr>
      <w:tr w:rsidR="005C190B" w:rsidRPr="0083534C" w14:paraId="66F993B1"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702EF"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BayREN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8651E"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Jenny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BDEA8"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Berg</w:t>
            </w:r>
          </w:p>
        </w:tc>
      </w:tr>
      <w:tr w:rsidR="005C190B" w:rsidRPr="0083534C" w14:paraId="66FD7DC6"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3E424"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CA State Treasurers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3EFB4"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Jonathan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F8FD5"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Verhoef</w:t>
            </w:r>
          </w:p>
        </w:tc>
      </w:tr>
      <w:tr w:rsidR="005C190B" w:rsidRPr="0083534C" w14:paraId="7B860899"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EF2E4"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Code Cycle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8E621"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Dan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13688"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Suyeyasu</w:t>
            </w:r>
          </w:p>
        </w:tc>
      </w:tr>
      <w:tr w:rsidR="005C190B" w:rsidRPr="0083534C" w14:paraId="328E590E"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F9983"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CPUC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0F109"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Alison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BB3D2"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LaBonte</w:t>
            </w:r>
          </w:p>
        </w:tc>
      </w:tr>
      <w:tr w:rsidR="005C190B" w:rsidRPr="0083534C" w14:paraId="72668244"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B38CB"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CPUC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E7AE4"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Ely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D710C"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Jacobsohn</w:t>
            </w:r>
          </w:p>
        </w:tc>
      </w:tr>
      <w:tr w:rsidR="005C190B" w:rsidRPr="0083534C" w14:paraId="26272E46"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071A6"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CPUC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4CC63"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Mia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1DF0F"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Hart</w:t>
            </w:r>
          </w:p>
        </w:tc>
      </w:tr>
      <w:tr w:rsidR="005C190B" w:rsidRPr="0083534C" w14:paraId="5AFA65DF"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6F597"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CPUC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88A9C"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Nils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A3399"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Strindberg</w:t>
            </w:r>
          </w:p>
        </w:tc>
      </w:tr>
      <w:tr w:rsidR="005C190B" w:rsidRPr="0083534C" w14:paraId="5A631B5E"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30E6D"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Gemini Solutions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D5374"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Anthony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7332C"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Kinslow</w:t>
            </w:r>
          </w:p>
        </w:tc>
      </w:tr>
      <w:tr w:rsidR="005C190B" w:rsidRPr="0083534C" w14:paraId="6D465B50"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DC3B6"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Green Energy Economics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9D96F"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Theodore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759A2"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Love</w:t>
            </w:r>
          </w:p>
        </w:tc>
      </w:tr>
      <w:tr w:rsidR="005C190B" w:rsidRPr="0083534C" w14:paraId="16394D19"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A067F"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Ground Research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8087C"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Jenn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A486D"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Mitchell-Jackson</w:t>
            </w:r>
          </w:p>
        </w:tc>
      </w:tr>
      <w:tr w:rsidR="005C190B" w:rsidRPr="0083534C" w14:paraId="6A9EA836"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F8735"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LGSEC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2CEE7"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Lou</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834CF"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Jacobson</w:t>
            </w:r>
          </w:p>
        </w:tc>
      </w:tr>
      <w:tr w:rsidR="005C190B" w:rsidRPr="0083534C" w14:paraId="1DBD61C4"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8169A"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Lincus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FCDE"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Patrick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CB235"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Ngo</w:t>
            </w:r>
          </w:p>
        </w:tc>
      </w:tr>
      <w:tr w:rsidR="005C190B" w:rsidRPr="0083534C" w14:paraId="63048217"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C4CC3"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RCEA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97CED"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Aisha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A70C1"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Cissna</w:t>
            </w:r>
          </w:p>
        </w:tc>
      </w:tr>
      <w:tr w:rsidR="005C190B" w:rsidRPr="0083534C" w14:paraId="0CB610D5"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F8E5D"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SCE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54FBD"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Christopher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EA36"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Malotte</w:t>
            </w:r>
          </w:p>
        </w:tc>
      </w:tr>
      <w:tr w:rsidR="005C190B" w:rsidRPr="0083534C" w14:paraId="008A3D25"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06E8E"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SCE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E19BF" w14:textId="77777777" w:rsidR="005C190B" w:rsidRPr="0083534C" w:rsidRDefault="005C190B" w:rsidP="00357228">
            <w:pPr>
              <w:ind w:left="-17" w:right="-2017"/>
              <w:rPr>
                <w:rFonts w:ascii="Cambria" w:eastAsia="Times New Roman" w:hAnsi="Cambria" w:cs="Calibri"/>
                <w:color w:val="000000"/>
              </w:rPr>
            </w:pPr>
            <w:proofErr w:type="spellStart"/>
            <w:r w:rsidRPr="0083534C">
              <w:rPr>
                <w:rFonts w:ascii="Cambria" w:eastAsia="Times New Roman" w:hAnsi="Cambria" w:cs="Calibri"/>
                <w:color w:val="000000"/>
              </w:rPr>
              <w:t>Sonita</w:t>
            </w:r>
            <w:proofErr w:type="spellEnd"/>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E9E42"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Tan</w:t>
            </w:r>
          </w:p>
        </w:tc>
      </w:tr>
      <w:tr w:rsidR="005C190B" w:rsidRPr="0083534C" w14:paraId="6238CA42"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86EE2"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Silent Running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2C805"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James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26AE"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Dodenhoff</w:t>
            </w:r>
          </w:p>
        </w:tc>
      </w:tr>
      <w:tr w:rsidR="005C190B" w:rsidRPr="0083534C" w14:paraId="0C2AA7A0"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4394B"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SoCalREN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6BAA1"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Lujuana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277CC"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Medina</w:t>
            </w:r>
          </w:p>
        </w:tc>
      </w:tr>
      <w:tr w:rsidR="005C190B" w:rsidRPr="0083534C" w14:paraId="13D9F269"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D68C9"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The Energy Coalition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9C1B0"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Laurel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8282D"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Rothschild</w:t>
            </w:r>
          </w:p>
        </w:tc>
      </w:tr>
      <w:tr w:rsidR="005C190B" w:rsidRPr="0083534C" w14:paraId="03B25DB0"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55221"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Tierra Resource Consultants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C92DE"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Nicholas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B2CCD"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Snyder</w:t>
            </w:r>
          </w:p>
        </w:tc>
      </w:tr>
      <w:tr w:rsidR="005C190B" w:rsidRPr="0083534C" w14:paraId="209AAF89"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0D8AA"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UCI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4E6A5"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Ed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12F92"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Coulson</w:t>
            </w:r>
          </w:p>
        </w:tc>
      </w:tr>
      <w:tr w:rsidR="005C190B" w:rsidRPr="0083534C" w14:paraId="4FB731F2"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CD6C9"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UCSB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C9D1" w14:textId="77777777" w:rsidR="005C190B" w:rsidRPr="0083534C" w:rsidRDefault="005C190B" w:rsidP="00357228">
            <w:pPr>
              <w:ind w:left="-17" w:right="-2017"/>
              <w:rPr>
                <w:rFonts w:ascii="Cambria" w:eastAsia="Times New Roman" w:hAnsi="Cambria" w:cs="Calibri"/>
                <w:color w:val="000000"/>
              </w:rPr>
            </w:pPr>
            <w:proofErr w:type="spellStart"/>
            <w:r w:rsidRPr="0083534C">
              <w:rPr>
                <w:rFonts w:ascii="Cambria" w:eastAsia="Times New Roman" w:hAnsi="Cambria" w:cs="Calibri"/>
                <w:color w:val="000000"/>
              </w:rPr>
              <w:t>Atherv</w:t>
            </w:r>
            <w:proofErr w:type="spellEnd"/>
            <w:r w:rsidRPr="0083534C">
              <w:rPr>
                <w:rFonts w:ascii="Cambria" w:eastAsia="Times New Roman" w:hAnsi="Cambria" w:cs="Calibri"/>
                <w:color w:val="000000"/>
              </w:rPr>
              <w:t xml:space="preserve">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326DF" w14:textId="77777777" w:rsidR="005C190B" w:rsidRPr="0083534C" w:rsidRDefault="005C190B" w:rsidP="00357228">
            <w:pPr>
              <w:ind w:left="-17" w:right="-2017"/>
              <w:rPr>
                <w:rFonts w:ascii="Cambria" w:eastAsia="Times New Roman" w:hAnsi="Cambria" w:cs="Calibri"/>
                <w:color w:val="000000"/>
              </w:rPr>
            </w:pPr>
            <w:proofErr w:type="spellStart"/>
            <w:r w:rsidRPr="0083534C">
              <w:rPr>
                <w:rFonts w:ascii="Cambria" w:eastAsia="Times New Roman" w:hAnsi="Cambria" w:cs="Calibri"/>
                <w:color w:val="000000"/>
              </w:rPr>
              <w:t>Gole</w:t>
            </w:r>
            <w:proofErr w:type="spellEnd"/>
          </w:p>
        </w:tc>
      </w:tr>
      <w:tr w:rsidR="005C190B" w:rsidRPr="0083534C" w14:paraId="5AF62B36"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3F159"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UCSB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EB468"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Audrey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C1C9"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Meiman</w:t>
            </w:r>
          </w:p>
        </w:tc>
      </w:tr>
      <w:tr w:rsidR="005C190B" w:rsidRPr="0083534C" w14:paraId="10976F79"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4A5BD"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UCSB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70572"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Meas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8D2AF"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Meng</w:t>
            </w:r>
          </w:p>
        </w:tc>
      </w:tr>
      <w:tr w:rsidR="005C190B" w:rsidRPr="0083534C" w14:paraId="2227F82B"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C3E04"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UCSB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3D6C0"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Michelle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25F89"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Le</w:t>
            </w:r>
          </w:p>
        </w:tc>
      </w:tr>
      <w:tr w:rsidR="005C190B" w:rsidRPr="0083534C" w14:paraId="5362091B"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84496"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UCSB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C2CD3"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Nathaniel</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057B8"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Villa</w:t>
            </w:r>
          </w:p>
        </w:tc>
      </w:tr>
      <w:tr w:rsidR="005C190B" w:rsidRPr="0083534C" w14:paraId="57C3F995"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433C9"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UCSB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3A434"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Ranjit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F0DDF"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Deshmukh</w:t>
            </w:r>
          </w:p>
        </w:tc>
      </w:tr>
      <w:tr w:rsidR="005C190B" w:rsidRPr="0083534C" w14:paraId="356D7DE4"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AA43F"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UCSB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BB392"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Sydney</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4A1BC"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Litvin</w:t>
            </w:r>
          </w:p>
        </w:tc>
      </w:tr>
      <w:tr w:rsidR="005C190B" w:rsidRPr="0083534C" w14:paraId="3C648F72" w14:textId="77777777" w:rsidTr="00357228">
        <w:trPr>
          <w:trHeight w:val="320"/>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7071"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Viridis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D6603"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 xml:space="preserve">Mabell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F3517" w14:textId="77777777" w:rsidR="005C190B" w:rsidRPr="0083534C" w:rsidRDefault="005C190B" w:rsidP="00357228">
            <w:pPr>
              <w:ind w:left="-17" w:right="-2017"/>
              <w:rPr>
                <w:rFonts w:ascii="Cambria" w:eastAsia="Times New Roman" w:hAnsi="Cambria" w:cs="Calibri"/>
                <w:color w:val="000000"/>
              </w:rPr>
            </w:pPr>
            <w:r w:rsidRPr="0083534C">
              <w:rPr>
                <w:rFonts w:ascii="Cambria" w:eastAsia="Times New Roman" w:hAnsi="Cambria" w:cs="Calibri"/>
                <w:color w:val="000000"/>
              </w:rPr>
              <w:t>Paine</w:t>
            </w:r>
          </w:p>
        </w:tc>
      </w:tr>
      <w:tr w:rsidR="005C190B" w:rsidRPr="0083534C" w14:paraId="11EFDE9D" w14:textId="77777777" w:rsidTr="00357228">
        <w:trPr>
          <w:trHeight w:val="320"/>
        </w:trPr>
        <w:tc>
          <w:tcPr>
            <w:tcW w:w="3323" w:type="dxa"/>
            <w:tcBorders>
              <w:top w:val="single" w:sz="4" w:space="0" w:color="auto"/>
              <w:left w:val="nil"/>
              <w:bottom w:val="nil"/>
              <w:right w:val="nil"/>
            </w:tcBorders>
            <w:shd w:val="clear" w:color="auto" w:fill="auto"/>
            <w:noWrap/>
            <w:vAlign w:val="bottom"/>
            <w:hideMark/>
          </w:tcPr>
          <w:p w14:paraId="78DFD06B" w14:textId="77777777" w:rsidR="005C190B" w:rsidRPr="0083534C" w:rsidRDefault="005C190B" w:rsidP="00357228">
            <w:pPr>
              <w:ind w:left="-17" w:right="-2017"/>
              <w:rPr>
                <w:rFonts w:ascii="Cambria" w:eastAsia="Times New Roman" w:hAnsi="Cambria" w:cs="Calibri"/>
                <w:color w:val="000000"/>
              </w:rPr>
            </w:pPr>
          </w:p>
        </w:tc>
        <w:tc>
          <w:tcPr>
            <w:tcW w:w="1417" w:type="dxa"/>
            <w:tcBorders>
              <w:top w:val="single" w:sz="4" w:space="0" w:color="auto"/>
              <w:left w:val="nil"/>
              <w:bottom w:val="nil"/>
              <w:right w:val="nil"/>
            </w:tcBorders>
            <w:shd w:val="clear" w:color="auto" w:fill="auto"/>
            <w:noWrap/>
            <w:vAlign w:val="bottom"/>
            <w:hideMark/>
          </w:tcPr>
          <w:p w14:paraId="3D4B8811" w14:textId="77777777" w:rsidR="005C190B" w:rsidRPr="0083534C" w:rsidRDefault="005C190B" w:rsidP="00357228">
            <w:pPr>
              <w:ind w:left="-17" w:right="-2017"/>
              <w:rPr>
                <w:rFonts w:ascii="Cambria" w:eastAsia="Times New Roman" w:hAnsi="Cambria" w:cs="Times New Roman"/>
                <w:sz w:val="20"/>
                <w:szCs w:val="20"/>
              </w:rPr>
            </w:pPr>
          </w:p>
        </w:tc>
        <w:tc>
          <w:tcPr>
            <w:tcW w:w="2260" w:type="dxa"/>
            <w:tcBorders>
              <w:top w:val="single" w:sz="4" w:space="0" w:color="auto"/>
              <w:left w:val="nil"/>
              <w:bottom w:val="nil"/>
              <w:right w:val="nil"/>
            </w:tcBorders>
            <w:shd w:val="clear" w:color="auto" w:fill="auto"/>
            <w:noWrap/>
            <w:vAlign w:val="bottom"/>
            <w:hideMark/>
          </w:tcPr>
          <w:p w14:paraId="15AFBCEF" w14:textId="77777777" w:rsidR="005C190B" w:rsidRPr="0083534C" w:rsidRDefault="005C190B" w:rsidP="00357228">
            <w:pPr>
              <w:ind w:left="-17" w:right="-2017"/>
              <w:rPr>
                <w:rFonts w:ascii="Cambria" w:eastAsia="Times New Roman" w:hAnsi="Cambria" w:cs="Times New Roman"/>
                <w:sz w:val="20"/>
                <w:szCs w:val="20"/>
              </w:rPr>
            </w:pPr>
          </w:p>
        </w:tc>
      </w:tr>
    </w:tbl>
    <w:p w14:paraId="188A204E" w14:textId="11AC7B03" w:rsidR="00E22164" w:rsidRPr="0083534C" w:rsidRDefault="00E22164" w:rsidP="00513677">
      <w:pPr>
        <w:rPr>
          <w:rFonts w:ascii="Cambria" w:hAnsi="Cambria" w:cs="Calibri"/>
        </w:rPr>
      </w:pPr>
    </w:p>
    <w:sectPr w:rsidR="00E22164" w:rsidRPr="0083534C" w:rsidSect="00DE16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4ACC" w14:textId="77777777" w:rsidR="006021E0" w:rsidRDefault="006021E0" w:rsidP="007D5BF7">
      <w:r>
        <w:separator/>
      </w:r>
    </w:p>
  </w:endnote>
  <w:endnote w:type="continuationSeparator" w:id="0">
    <w:p w14:paraId="21EBAF17" w14:textId="77777777" w:rsidR="006021E0" w:rsidRDefault="006021E0" w:rsidP="007D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407769"/>
      <w:docPartObj>
        <w:docPartGallery w:val="Page Numbers (Bottom of Page)"/>
        <w:docPartUnique/>
      </w:docPartObj>
    </w:sdtPr>
    <w:sdtEndPr>
      <w:rPr>
        <w:rStyle w:val="PageNumber"/>
      </w:rPr>
    </w:sdtEndPr>
    <w:sdtContent>
      <w:p w14:paraId="0E857205" w14:textId="6AAF38E1" w:rsidR="007D5BF7" w:rsidRDefault="007D5BF7"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70346" w14:textId="77777777" w:rsidR="007D5BF7" w:rsidRDefault="007D5BF7" w:rsidP="007D5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2219862"/>
      <w:docPartObj>
        <w:docPartGallery w:val="Page Numbers (Bottom of Page)"/>
        <w:docPartUnique/>
      </w:docPartObj>
    </w:sdtPr>
    <w:sdtEndPr>
      <w:rPr>
        <w:rStyle w:val="PageNumber"/>
      </w:rPr>
    </w:sdtEndPr>
    <w:sdtContent>
      <w:p w14:paraId="248E9DD0" w14:textId="6571C8DE" w:rsidR="007D5BF7" w:rsidRDefault="007D5BF7"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21D8FF" w14:textId="77777777" w:rsidR="007D5BF7" w:rsidRDefault="007D5BF7" w:rsidP="007D5B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EBAF" w14:textId="77777777" w:rsidR="00E23492" w:rsidRDefault="00E2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D898" w14:textId="77777777" w:rsidR="006021E0" w:rsidRDefault="006021E0" w:rsidP="007D5BF7">
      <w:r>
        <w:separator/>
      </w:r>
    </w:p>
  </w:footnote>
  <w:footnote w:type="continuationSeparator" w:id="0">
    <w:p w14:paraId="09DED439" w14:textId="77777777" w:rsidR="006021E0" w:rsidRDefault="006021E0" w:rsidP="007D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2BE0" w14:textId="77777777" w:rsidR="00E23492" w:rsidRDefault="00E23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B8C8" w14:textId="77777777" w:rsidR="00E23492" w:rsidRDefault="00E23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2E29" w14:textId="77777777" w:rsidR="00E23492" w:rsidRDefault="00E2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ECD"/>
    <w:multiLevelType w:val="hybridMultilevel"/>
    <w:tmpl w:val="6CD4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7CF"/>
    <w:multiLevelType w:val="hybridMultilevel"/>
    <w:tmpl w:val="2EC6AB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4547D"/>
    <w:multiLevelType w:val="hybridMultilevel"/>
    <w:tmpl w:val="C4209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71694"/>
    <w:multiLevelType w:val="hybridMultilevel"/>
    <w:tmpl w:val="B5AE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33774"/>
    <w:multiLevelType w:val="hybridMultilevel"/>
    <w:tmpl w:val="28F8F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259C7"/>
    <w:multiLevelType w:val="hybridMultilevel"/>
    <w:tmpl w:val="E2E2A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75556F"/>
    <w:multiLevelType w:val="hybridMultilevel"/>
    <w:tmpl w:val="9388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532F9"/>
    <w:multiLevelType w:val="hybridMultilevel"/>
    <w:tmpl w:val="84FA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F2510"/>
    <w:multiLevelType w:val="hybridMultilevel"/>
    <w:tmpl w:val="1840A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2666B"/>
    <w:multiLevelType w:val="hybridMultilevel"/>
    <w:tmpl w:val="A49E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76F37"/>
    <w:multiLevelType w:val="hybridMultilevel"/>
    <w:tmpl w:val="DC8A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80958"/>
    <w:multiLevelType w:val="hybridMultilevel"/>
    <w:tmpl w:val="57A2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A6E93"/>
    <w:multiLevelType w:val="hybridMultilevel"/>
    <w:tmpl w:val="A4C0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0220A"/>
    <w:multiLevelType w:val="hybridMultilevel"/>
    <w:tmpl w:val="45B21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71CB8"/>
    <w:multiLevelType w:val="multilevel"/>
    <w:tmpl w:val="ED8A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FF5C9A"/>
    <w:multiLevelType w:val="hybridMultilevel"/>
    <w:tmpl w:val="9DF2E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C1818"/>
    <w:multiLevelType w:val="hybridMultilevel"/>
    <w:tmpl w:val="EB28D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4"/>
  </w:num>
  <w:num w:numId="4">
    <w:abstractNumId w:val="9"/>
  </w:num>
  <w:num w:numId="5">
    <w:abstractNumId w:val="8"/>
  </w:num>
  <w:num w:numId="6">
    <w:abstractNumId w:val="15"/>
  </w:num>
  <w:num w:numId="7">
    <w:abstractNumId w:val="10"/>
  </w:num>
  <w:num w:numId="8">
    <w:abstractNumId w:val="1"/>
  </w:num>
  <w:num w:numId="9">
    <w:abstractNumId w:val="16"/>
  </w:num>
  <w:num w:numId="10">
    <w:abstractNumId w:val="5"/>
  </w:num>
  <w:num w:numId="11">
    <w:abstractNumId w:val="2"/>
  </w:num>
  <w:num w:numId="12">
    <w:abstractNumId w:val="4"/>
  </w:num>
  <w:num w:numId="13">
    <w:abstractNumId w:val="13"/>
  </w:num>
  <w:num w:numId="14">
    <w:abstractNumId w:val="12"/>
  </w:num>
  <w:num w:numId="15">
    <w:abstractNumId w:val="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4C"/>
    <w:rsid w:val="000034C2"/>
    <w:rsid w:val="00004E0C"/>
    <w:rsid w:val="00007D9F"/>
    <w:rsid w:val="0001163C"/>
    <w:rsid w:val="00022886"/>
    <w:rsid w:val="00024FF5"/>
    <w:rsid w:val="000A7C9B"/>
    <w:rsid w:val="000C69B6"/>
    <w:rsid w:val="000F2F40"/>
    <w:rsid w:val="0013238F"/>
    <w:rsid w:val="001C03AE"/>
    <w:rsid w:val="001C54BF"/>
    <w:rsid w:val="001E3FB5"/>
    <w:rsid w:val="001E61BF"/>
    <w:rsid w:val="001F51B2"/>
    <w:rsid w:val="002323B1"/>
    <w:rsid w:val="00245C6B"/>
    <w:rsid w:val="002627FA"/>
    <w:rsid w:val="002B06A4"/>
    <w:rsid w:val="002C6687"/>
    <w:rsid w:val="002D207D"/>
    <w:rsid w:val="00364BCA"/>
    <w:rsid w:val="003C2D4C"/>
    <w:rsid w:val="0043177E"/>
    <w:rsid w:val="00472947"/>
    <w:rsid w:val="004B1CA5"/>
    <w:rsid w:val="004C7916"/>
    <w:rsid w:val="004F3BE5"/>
    <w:rsid w:val="005027F4"/>
    <w:rsid w:val="00513677"/>
    <w:rsid w:val="005610B0"/>
    <w:rsid w:val="005C190B"/>
    <w:rsid w:val="006021E0"/>
    <w:rsid w:val="00615577"/>
    <w:rsid w:val="0065760B"/>
    <w:rsid w:val="0068497D"/>
    <w:rsid w:val="006A6143"/>
    <w:rsid w:val="006A7B63"/>
    <w:rsid w:val="006B01AF"/>
    <w:rsid w:val="006C3D45"/>
    <w:rsid w:val="00784843"/>
    <w:rsid w:val="007D5BF7"/>
    <w:rsid w:val="0083534C"/>
    <w:rsid w:val="008B2A92"/>
    <w:rsid w:val="008B7F0E"/>
    <w:rsid w:val="008D0838"/>
    <w:rsid w:val="00960578"/>
    <w:rsid w:val="00965295"/>
    <w:rsid w:val="00A9373F"/>
    <w:rsid w:val="00B422DB"/>
    <w:rsid w:val="00B43742"/>
    <w:rsid w:val="00B67BB5"/>
    <w:rsid w:val="00BA7C8E"/>
    <w:rsid w:val="00BB7EAB"/>
    <w:rsid w:val="00BE3F21"/>
    <w:rsid w:val="00CA4367"/>
    <w:rsid w:val="00CD65BC"/>
    <w:rsid w:val="00CE3A3F"/>
    <w:rsid w:val="00CF3C3C"/>
    <w:rsid w:val="00CF74FD"/>
    <w:rsid w:val="00D14404"/>
    <w:rsid w:val="00D31D06"/>
    <w:rsid w:val="00D57C71"/>
    <w:rsid w:val="00DE1689"/>
    <w:rsid w:val="00DE351B"/>
    <w:rsid w:val="00DF0039"/>
    <w:rsid w:val="00E22164"/>
    <w:rsid w:val="00E23492"/>
    <w:rsid w:val="00E52016"/>
    <w:rsid w:val="00EA22CB"/>
    <w:rsid w:val="00EA369C"/>
    <w:rsid w:val="00ED34D7"/>
    <w:rsid w:val="00ED42AA"/>
    <w:rsid w:val="00EE0D64"/>
    <w:rsid w:val="00F854E6"/>
    <w:rsid w:val="00FA21A5"/>
    <w:rsid w:val="00FD191B"/>
    <w:rsid w:val="00FE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DB803"/>
  <w15:chartTrackingRefBased/>
  <w15:docId w15:val="{C25807B1-EAC0-8E44-BB45-C674F444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D4C"/>
    <w:pPr>
      <w:ind w:left="720"/>
      <w:contextualSpacing/>
    </w:pPr>
  </w:style>
  <w:style w:type="character" w:styleId="CommentReference">
    <w:name w:val="annotation reference"/>
    <w:basedOn w:val="DefaultParagraphFont"/>
    <w:uiPriority w:val="99"/>
    <w:semiHidden/>
    <w:unhideWhenUsed/>
    <w:rsid w:val="003C2D4C"/>
    <w:rPr>
      <w:sz w:val="16"/>
      <w:szCs w:val="16"/>
    </w:rPr>
  </w:style>
  <w:style w:type="paragraph" w:styleId="CommentText">
    <w:name w:val="annotation text"/>
    <w:basedOn w:val="Normal"/>
    <w:link w:val="CommentTextChar"/>
    <w:uiPriority w:val="99"/>
    <w:unhideWhenUsed/>
    <w:rsid w:val="003C2D4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C2D4C"/>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3C2D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D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A7C8E"/>
    <w:rPr>
      <w:color w:val="0563C1" w:themeColor="hyperlink"/>
      <w:u w:val="single"/>
    </w:rPr>
  </w:style>
  <w:style w:type="character" w:styleId="FollowedHyperlink">
    <w:name w:val="FollowedHyperlink"/>
    <w:basedOn w:val="DefaultParagraphFont"/>
    <w:uiPriority w:val="99"/>
    <w:semiHidden/>
    <w:unhideWhenUsed/>
    <w:rsid w:val="006A7B63"/>
    <w:rPr>
      <w:color w:val="954F72" w:themeColor="followedHyperlink"/>
      <w:u w:val="single"/>
    </w:rPr>
  </w:style>
  <w:style w:type="character" w:styleId="UnresolvedMention">
    <w:name w:val="Unresolved Mention"/>
    <w:basedOn w:val="DefaultParagraphFont"/>
    <w:uiPriority w:val="99"/>
    <w:semiHidden/>
    <w:unhideWhenUsed/>
    <w:rsid w:val="007D5BF7"/>
    <w:rPr>
      <w:color w:val="605E5C"/>
      <w:shd w:val="clear" w:color="auto" w:fill="E1DFDD"/>
    </w:rPr>
  </w:style>
  <w:style w:type="paragraph" w:styleId="Footer">
    <w:name w:val="footer"/>
    <w:basedOn w:val="Normal"/>
    <w:link w:val="FooterChar"/>
    <w:uiPriority w:val="99"/>
    <w:unhideWhenUsed/>
    <w:rsid w:val="007D5BF7"/>
    <w:pPr>
      <w:tabs>
        <w:tab w:val="center" w:pos="4680"/>
        <w:tab w:val="right" w:pos="9360"/>
      </w:tabs>
    </w:pPr>
  </w:style>
  <w:style w:type="character" w:customStyle="1" w:styleId="FooterChar">
    <w:name w:val="Footer Char"/>
    <w:basedOn w:val="DefaultParagraphFont"/>
    <w:link w:val="Footer"/>
    <w:uiPriority w:val="99"/>
    <w:rsid w:val="007D5BF7"/>
  </w:style>
  <w:style w:type="character" w:styleId="PageNumber">
    <w:name w:val="page number"/>
    <w:basedOn w:val="DefaultParagraphFont"/>
    <w:uiPriority w:val="99"/>
    <w:semiHidden/>
    <w:unhideWhenUsed/>
    <w:rsid w:val="007D5BF7"/>
  </w:style>
  <w:style w:type="table" w:styleId="TableTheme">
    <w:name w:val="Table Theme"/>
    <w:basedOn w:val="TableNormal"/>
    <w:uiPriority w:val="99"/>
    <w:rsid w:val="007D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F3BE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F3BE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23492"/>
    <w:pPr>
      <w:tabs>
        <w:tab w:val="center" w:pos="4680"/>
        <w:tab w:val="right" w:pos="9360"/>
      </w:tabs>
    </w:pPr>
  </w:style>
  <w:style w:type="character" w:customStyle="1" w:styleId="HeaderChar">
    <w:name w:val="Header Char"/>
    <w:basedOn w:val="DefaultParagraphFont"/>
    <w:link w:val="Header"/>
    <w:uiPriority w:val="99"/>
    <w:rsid w:val="00E23492"/>
  </w:style>
  <w:style w:type="paragraph" w:styleId="BalloonText">
    <w:name w:val="Balloon Text"/>
    <w:basedOn w:val="Normal"/>
    <w:link w:val="BalloonTextChar"/>
    <w:uiPriority w:val="99"/>
    <w:semiHidden/>
    <w:unhideWhenUsed/>
    <w:rsid w:val="00DF00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00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391">
      <w:bodyDiv w:val="1"/>
      <w:marLeft w:val="0"/>
      <w:marRight w:val="0"/>
      <w:marTop w:val="0"/>
      <w:marBottom w:val="0"/>
      <w:divBdr>
        <w:top w:val="none" w:sz="0" w:space="0" w:color="auto"/>
        <w:left w:val="none" w:sz="0" w:space="0" w:color="auto"/>
        <w:bottom w:val="none" w:sz="0" w:space="0" w:color="auto"/>
        <w:right w:val="none" w:sz="0" w:space="0" w:color="auto"/>
      </w:divBdr>
    </w:div>
    <w:div w:id="256184062">
      <w:bodyDiv w:val="1"/>
      <w:marLeft w:val="0"/>
      <w:marRight w:val="0"/>
      <w:marTop w:val="0"/>
      <w:marBottom w:val="0"/>
      <w:divBdr>
        <w:top w:val="none" w:sz="0" w:space="0" w:color="auto"/>
        <w:left w:val="none" w:sz="0" w:space="0" w:color="auto"/>
        <w:bottom w:val="none" w:sz="0" w:space="0" w:color="auto"/>
        <w:right w:val="none" w:sz="0" w:space="0" w:color="auto"/>
      </w:divBdr>
    </w:div>
    <w:div w:id="441608176">
      <w:bodyDiv w:val="1"/>
      <w:marLeft w:val="0"/>
      <w:marRight w:val="0"/>
      <w:marTop w:val="0"/>
      <w:marBottom w:val="0"/>
      <w:divBdr>
        <w:top w:val="none" w:sz="0" w:space="0" w:color="auto"/>
        <w:left w:val="none" w:sz="0" w:space="0" w:color="auto"/>
        <w:bottom w:val="none" w:sz="0" w:space="0" w:color="auto"/>
        <w:right w:val="none" w:sz="0" w:space="0" w:color="auto"/>
      </w:divBdr>
    </w:div>
    <w:div w:id="695350289">
      <w:bodyDiv w:val="1"/>
      <w:marLeft w:val="0"/>
      <w:marRight w:val="0"/>
      <w:marTop w:val="0"/>
      <w:marBottom w:val="0"/>
      <w:divBdr>
        <w:top w:val="none" w:sz="0" w:space="0" w:color="auto"/>
        <w:left w:val="none" w:sz="0" w:space="0" w:color="auto"/>
        <w:bottom w:val="none" w:sz="0" w:space="0" w:color="auto"/>
        <w:right w:val="none" w:sz="0" w:space="0" w:color="auto"/>
      </w:divBdr>
    </w:div>
    <w:div w:id="1064450048">
      <w:bodyDiv w:val="1"/>
      <w:marLeft w:val="0"/>
      <w:marRight w:val="0"/>
      <w:marTop w:val="0"/>
      <w:marBottom w:val="0"/>
      <w:divBdr>
        <w:top w:val="none" w:sz="0" w:space="0" w:color="auto"/>
        <w:left w:val="none" w:sz="0" w:space="0" w:color="auto"/>
        <w:bottom w:val="none" w:sz="0" w:space="0" w:color="auto"/>
        <w:right w:val="none" w:sz="0" w:space="0" w:color="auto"/>
      </w:divBdr>
    </w:div>
    <w:div w:id="1160079399">
      <w:bodyDiv w:val="1"/>
      <w:marLeft w:val="0"/>
      <w:marRight w:val="0"/>
      <w:marTop w:val="0"/>
      <w:marBottom w:val="0"/>
      <w:divBdr>
        <w:top w:val="none" w:sz="0" w:space="0" w:color="auto"/>
        <w:left w:val="none" w:sz="0" w:space="0" w:color="auto"/>
        <w:bottom w:val="none" w:sz="0" w:space="0" w:color="auto"/>
        <w:right w:val="none" w:sz="0" w:space="0" w:color="auto"/>
      </w:divBdr>
    </w:div>
    <w:div w:id="1203127360">
      <w:bodyDiv w:val="1"/>
      <w:marLeft w:val="0"/>
      <w:marRight w:val="0"/>
      <w:marTop w:val="0"/>
      <w:marBottom w:val="0"/>
      <w:divBdr>
        <w:top w:val="none" w:sz="0" w:space="0" w:color="auto"/>
        <w:left w:val="none" w:sz="0" w:space="0" w:color="auto"/>
        <w:bottom w:val="none" w:sz="0" w:space="0" w:color="auto"/>
        <w:right w:val="none" w:sz="0" w:space="0" w:color="auto"/>
      </w:divBdr>
    </w:div>
    <w:div w:id="1429693116">
      <w:bodyDiv w:val="1"/>
      <w:marLeft w:val="0"/>
      <w:marRight w:val="0"/>
      <w:marTop w:val="0"/>
      <w:marBottom w:val="0"/>
      <w:divBdr>
        <w:top w:val="none" w:sz="0" w:space="0" w:color="auto"/>
        <w:left w:val="none" w:sz="0" w:space="0" w:color="auto"/>
        <w:bottom w:val="none" w:sz="0" w:space="0" w:color="auto"/>
        <w:right w:val="none" w:sz="0" w:space="0" w:color="auto"/>
      </w:divBdr>
    </w:div>
    <w:div w:id="1796214209">
      <w:bodyDiv w:val="1"/>
      <w:marLeft w:val="0"/>
      <w:marRight w:val="0"/>
      <w:marTop w:val="0"/>
      <w:marBottom w:val="0"/>
      <w:divBdr>
        <w:top w:val="none" w:sz="0" w:space="0" w:color="auto"/>
        <w:left w:val="none" w:sz="0" w:space="0" w:color="auto"/>
        <w:bottom w:val="none" w:sz="0" w:space="0" w:color="auto"/>
        <w:right w:val="none" w:sz="0" w:space="0" w:color="auto"/>
      </w:divBdr>
    </w:div>
    <w:div w:id="1845169369">
      <w:bodyDiv w:val="1"/>
      <w:marLeft w:val="0"/>
      <w:marRight w:val="0"/>
      <w:marTop w:val="0"/>
      <w:marBottom w:val="0"/>
      <w:divBdr>
        <w:top w:val="none" w:sz="0" w:space="0" w:color="auto"/>
        <w:left w:val="none" w:sz="0" w:space="0" w:color="auto"/>
        <w:bottom w:val="none" w:sz="0" w:space="0" w:color="auto"/>
        <w:right w:val="none" w:sz="0" w:space="0" w:color="auto"/>
      </w:divBdr>
    </w:div>
    <w:div w:id="18525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eecc.org/7-12-2021-uwg-mt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cp:lastPrinted>2021-07-17T17:02:00Z</cp:lastPrinted>
  <dcterms:created xsi:type="dcterms:W3CDTF">2021-07-21T01:13:00Z</dcterms:created>
  <dcterms:modified xsi:type="dcterms:W3CDTF">2021-07-21T01:13:00Z</dcterms:modified>
</cp:coreProperties>
</file>