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B709" w14:textId="77777777" w:rsidR="007D47A4" w:rsidRPr="007D47A4" w:rsidRDefault="007D47A4" w:rsidP="00810122">
      <w:pPr>
        <w:jc w:val="center"/>
        <w:rPr>
          <w:b/>
          <w:bCs/>
          <w:sz w:val="28"/>
          <w:szCs w:val="28"/>
        </w:rPr>
      </w:pPr>
    </w:p>
    <w:p w14:paraId="67F92D9A" w14:textId="20CCA080" w:rsidR="00810122" w:rsidRPr="0036633E" w:rsidRDefault="00810122" w:rsidP="00810122">
      <w:pPr>
        <w:jc w:val="center"/>
        <w:rPr>
          <w:b/>
          <w:bCs/>
          <w:sz w:val="28"/>
          <w:szCs w:val="28"/>
        </w:rPr>
      </w:pPr>
      <w:r w:rsidRPr="0036633E">
        <w:rPr>
          <w:b/>
          <w:bCs/>
          <w:sz w:val="28"/>
          <w:szCs w:val="28"/>
        </w:rPr>
        <w:t>EE Filing Processes Sub-WG#1 – Frequency and Content of Filings</w:t>
      </w:r>
    </w:p>
    <w:p w14:paraId="60D55F32" w14:textId="7805A16F" w:rsidR="00810122" w:rsidRPr="0036633E" w:rsidRDefault="00810122" w:rsidP="00810122">
      <w:pPr>
        <w:jc w:val="center"/>
        <w:rPr>
          <w:b/>
          <w:bCs/>
          <w:i/>
          <w:sz w:val="28"/>
          <w:szCs w:val="28"/>
        </w:rPr>
      </w:pPr>
      <w:r w:rsidRPr="0036633E">
        <w:rPr>
          <w:b/>
          <w:bCs/>
          <w:i/>
          <w:sz w:val="28"/>
          <w:szCs w:val="28"/>
        </w:rPr>
        <w:t xml:space="preserve">Emerging </w:t>
      </w:r>
      <w:r w:rsidR="00D07ACA" w:rsidRPr="0036633E">
        <w:rPr>
          <w:b/>
          <w:bCs/>
          <w:i/>
          <w:sz w:val="28"/>
          <w:szCs w:val="28"/>
        </w:rPr>
        <w:t>Proposal</w:t>
      </w:r>
      <w:r w:rsidR="00021B63">
        <w:rPr>
          <w:b/>
          <w:bCs/>
          <w:i/>
          <w:sz w:val="28"/>
          <w:szCs w:val="28"/>
        </w:rPr>
        <w:t>s/Options</w:t>
      </w:r>
    </w:p>
    <w:p w14:paraId="31550054" w14:textId="5F75DF07" w:rsidR="007D47A4" w:rsidRPr="007D47A4" w:rsidRDefault="007D47A4" w:rsidP="00810122">
      <w:pPr>
        <w:jc w:val="center"/>
        <w:rPr>
          <w:b/>
          <w:bCs/>
          <w:sz w:val="28"/>
          <w:szCs w:val="28"/>
        </w:rPr>
      </w:pPr>
      <w:r w:rsidRPr="0036633E">
        <w:rPr>
          <w:b/>
          <w:bCs/>
          <w:sz w:val="28"/>
          <w:szCs w:val="28"/>
        </w:rPr>
        <w:t xml:space="preserve">November </w:t>
      </w:r>
      <w:r w:rsidR="008909A9" w:rsidRPr="0036633E">
        <w:rPr>
          <w:b/>
          <w:bCs/>
          <w:sz w:val="28"/>
          <w:szCs w:val="28"/>
        </w:rPr>
        <w:t>14</w:t>
      </w:r>
      <w:r w:rsidR="00D07ACA" w:rsidRPr="0036633E">
        <w:rPr>
          <w:b/>
          <w:bCs/>
          <w:sz w:val="28"/>
          <w:szCs w:val="28"/>
        </w:rPr>
        <w:t>, 2019</w:t>
      </w:r>
    </w:p>
    <w:p w14:paraId="495F1C81" w14:textId="77777777" w:rsidR="00810122" w:rsidRPr="007D47A4" w:rsidRDefault="00810122" w:rsidP="00527BCD">
      <w:pPr>
        <w:jc w:val="center"/>
        <w:rPr>
          <w:b/>
          <w:bCs/>
          <w:sz w:val="28"/>
          <w:szCs w:val="28"/>
        </w:rPr>
      </w:pPr>
    </w:p>
    <w:p w14:paraId="2BCDC91A" w14:textId="7AA303FA" w:rsidR="008909A9" w:rsidRPr="00B067D3" w:rsidRDefault="008909A9" w:rsidP="00152DA3">
      <w:pPr>
        <w:rPr>
          <w:i/>
          <w:iCs/>
        </w:rPr>
      </w:pPr>
      <w:r w:rsidRPr="00B067D3">
        <w:rPr>
          <w:i/>
          <w:iCs/>
        </w:rPr>
        <w:t xml:space="preserve">This </w:t>
      </w:r>
      <w:r w:rsidR="00152DA3" w:rsidRPr="00B067D3">
        <w:rPr>
          <w:i/>
          <w:iCs/>
        </w:rPr>
        <w:t xml:space="preserve">document captures the </w:t>
      </w:r>
      <w:r w:rsidR="00455F85" w:rsidRPr="00B067D3">
        <w:rPr>
          <w:i/>
          <w:iCs/>
        </w:rPr>
        <w:t>EE Filing Process</w:t>
      </w:r>
      <w:r w:rsidR="00021B63" w:rsidRPr="00B067D3">
        <w:rPr>
          <w:i/>
          <w:iCs/>
        </w:rPr>
        <w:t xml:space="preserve"> proposals/options</w:t>
      </w:r>
      <w:r w:rsidR="00455F85" w:rsidRPr="00B067D3">
        <w:rPr>
          <w:i/>
          <w:iCs/>
        </w:rPr>
        <w:t xml:space="preserve"> </w:t>
      </w:r>
      <w:r w:rsidR="00152DA3" w:rsidRPr="00B067D3">
        <w:rPr>
          <w:i/>
          <w:iCs/>
        </w:rPr>
        <w:t>developed by Sub-Working Group #1</w:t>
      </w:r>
      <w:r w:rsidRPr="00B067D3">
        <w:rPr>
          <w:i/>
          <w:iCs/>
        </w:rPr>
        <w:t>.</w:t>
      </w:r>
      <w:r w:rsidR="00152DA3" w:rsidRPr="00B067D3">
        <w:rPr>
          <w:i/>
          <w:iCs/>
        </w:rPr>
        <w:t xml:space="preserve"> </w:t>
      </w:r>
      <w:r w:rsidR="00021B63" w:rsidRPr="00B067D3">
        <w:rPr>
          <w:i/>
          <w:iCs/>
        </w:rPr>
        <w:t>These were</w:t>
      </w:r>
      <w:r w:rsidR="00152DA3" w:rsidRPr="00B067D3">
        <w:rPr>
          <w:i/>
          <w:iCs/>
        </w:rPr>
        <w:t xml:space="preserve"> informed by three documents</w:t>
      </w:r>
      <w:r w:rsidR="00455F85" w:rsidRPr="00B067D3">
        <w:rPr>
          <w:i/>
          <w:iCs/>
        </w:rPr>
        <w:t xml:space="preserve"> (see below)</w:t>
      </w:r>
      <w:r w:rsidR="00152DA3" w:rsidRPr="00B067D3">
        <w:rPr>
          <w:i/>
          <w:iCs/>
        </w:rPr>
        <w:t xml:space="preserve"> developed by members of the </w:t>
      </w:r>
      <w:r w:rsidR="002B37AB" w:rsidRPr="00B067D3">
        <w:rPr>
          <w:i/>
          <w:iCs/>
        </w:rPr>
        <w:t>S</w:t>
      </w:r>
      <w:r w:rsidR="00455F85" w:rsidRPr="00B067D3">
        <w:rPr>
          <w:i/>
          <w:iCs/>
        </w:rPr>
        <w:t>ub-WG</w:t>
      </w:r>
      <w:r w:rsidR="00152DA3" w:rsidRPr="00B067D3">
        <w:rPr>
          <w:i/>
          <w:iCs/>
        </w:rPr>
        <w:t xml:space="preserve">, </w:t>
      </w:r>
      <w:r w:rsidR="00455F85" w:rsidRPr="00B067D3">
        <w:rPr>
          <w:i/>
          <w:iCs/>
        </w:rPr>
        <w:t>and</w:t>
      </w:r>
      <w:r w:rsidR="00152DA3" w:rsidRPr="00B067D3">
        <w:rPr>
          <w:i/>
          <w:iCs/>
        </w:rPr>
        <w:t xml:space="preserve"> discussion during two phone calls. </w:t>
      </w:r>
      <w:r w:rsidR="00455F85" w:rsidRPr="00B067D3">
        <w:rPr>
          <w:i/>
          <w:iCs/>
        </w:rPr>
        <w:t xml:space="preserve">Appendix A provides a useful reference as it further expands on the content of </w:t>
      </w:r>
      <w:r w:rsidR="002B37AB" w:rsidRPr="00B067D3">
        <w:rPr>
          <w:i/>
          <w:iCs/>
        </w:rPr>
        <w:t>the filings (Options 1 and 2, Tier 1/3 Advice Letter, and Petition for Modification)</w:t>
      </w:r>
      <w:r w:rsidR="00455F85" w:rsidRPr="00B067D3">
        <w:rPr>
          <w:i/>
          <w:iCs/>
        </w:rPr>
        <w:t xml:space="preserve">. The last two documents provide further background for better understanding the thinking that lead to support for elements of </w:t>
      </w:r>
      <w:r w:rsidR="00021B63" w:rsidRPr="00B067D3">
        <w:rPr>
          <w:i/>
          <w:iCs/>
        </w:rPr>
        <w:t>these proposals/options</w:t>
      </w:r>
      <w:r w:rsidR="00455F85" w:rsidRPr="00B067D3">
        <w:rPr>
          <w:i/>
          <w:iCs/>
        </w:rPr>
        <w:t>. The documents are provided in the Appendices below:</w:t>
      </w:r>
    </w:p>
    <w:p w14:paraId="34A30CD2" w14:textId="77777777" w:rsidR="00455F85" w:rsidRPr="00B067D3" w:rsidRDefault="00455F85" w:rsidP="00455F85"/>
    <w:p w14:paraId="24D96DDD" w14:textId="407B3F10" w:rsidR="00152DA3" w:rsidRPr="00B067D3" w:rsidRDefault="00455F85" w:rsidP="00455F85">
      <w:pPr>
        <w:ind w:left="720"/>
        <w:rPr>
          <w:i/>
          <w:iCs/>
        </w:rPr>
      </w:pPr>
      <w:r w:rsidRPr="00B067D3">
        <w:rPr>
          <w:i/>
          <w:iCs/>
        </w:rPr>
        <w:t xml:space="preserve">Appendix A: </w:t>
      </w:r>
      <w:r w:rsidR="00152DA3" w:rsidRPr="00B067D3">
        <w:rPr>
          <w:i/>
          <w:iCs/>
        </w:rPr>
        <w:t xml:space="preserve">Public Advocates Office Straw Proposal on EE Application and Mid-Cycle Review Contents (10/30/2019) </w:t>
      </w:r>
    </w:p>
    <w:p w14:paraId="4F8AE84E" w14:textId="30696019" w:rsidR="00152DA3" w:rsidRPr="00B067D3" w:rsidRDefault="00455F85" w:rsidP="00455F85">
      <w:pPr>
        <w:ind w:left="720"/>
        <w:rPr>
          <w:i/>
          <w:iCs/>
        </w:rPr>
      </w:pPr>
      <w:r w:rsidRPr="00B067D3">
        <w:rPr>
          <w:i/>
          <w:iCs/>
        </w:rPr>
        <w:t xml:space="preserve">Appendix B: </w:t>
      </w:r>
      <w:r w:rsidR="000A6F69" w:rsidRPr="00B067D3">
        <w:rPr>
          <w:rFonts w:cstheme="minorHAnsi"/>
          <w:bCs/>
          <w:i/>
          <w:iCs/>
        </w:rPr>
        <w:t>4 v. 6 Year Cycle: Pros/Cons and Assumptions for Discussion</w:t>
      </w:r>
      <w:r w:rsidR="000A6F69" w:rsidRPr="00B067D3">
        <w:rPr>
          <w:i/>
          <w:iCs/>
        </w:rPr>
        <w:t xml:space="preserve"> </w:t>
      </w:r>
    </w:p>
    <w:p w14:paraId="1639AC13" w14:textId="077BF3BF" w:rsidR="008909A9" w:rsidRPr="00B067D3" w:rsidRDefault="00455F85" w:rsidP="000A6F69">
      <w:pPr>
        <w:ind w:left="720"/>
        <w:rPr>
          <w:i/>
          <w:iCs/>
        </w:rPr>
      </w:pPr>
      <w:r w:rsidRPr="00B067D3">
        <w:rPr>
          <w:i/>
          <w:iCs/>
        </w:rPr>
        <w:t xml:space="preserve">Appendix C: </w:t>
      </w:r>
      <w:r w:rsidR="000A6F69" w:rsidRPr="00B067D3">
        <w:rPr>
          <w:i/>
          <w:iCs/>
        </w:rPr>
        <w:t>EE Cycle Options</w:t>
      </w:r>
    </w:p>
    <w:p w14:paraId="3B391525" w14:textId="77777777" w:rsidR="008909A9" w:rsidRPr="007D47A4" w:rsidRDefault="008909A9">
      <w:pPr>
        <w:rPr>
          <w:b/>
          <w:bCs/>
          <w:u w:val="single"/>
        </w:rPr>
      </w:pPr>
    </w:p>
    <w:p w14:paraId="675DEFFF" w14:textId="5BB873AE" w:rsidR="0077208B" w:rsidRPr="007D47A4" w:rsidRDefault="00DB1863">
      <w:pPr>
        <w:rPr>
          <w:b/>
          <w:bCs/>
          <w:u w:val="single"/>
        </w:rPr>
      </w:pPr>
      <w:r w:rsidRPr="007D47A4">
        <w:rPr>
          <w:b/>
          <w:bCs/>
          <w:u w:val="single"/>
        </w:rPr>
        <w:t xml:space="preserve">4-Year </w:t>
      </w:r>
      <w:r w:rsidR="00EB1DAA">
        <w:rPr>
          <w:b/>
          <w:bCs/>
          <w:u w:val="single"/>
        </w:rPr>
        <w:t xml:space="preserve">EE </w:t>
      </w:r>
      <w:r w:rsidR="0077208B" w:rsidRPr="007D47A4">
        <w:rPr>
          <w:b/>
          <w:bCs/>
          <w:u w:val="single"/>
        </w:rPr>
        <w:t>Budget</w:t>
      </w:r>
      <w:r w:rsidR="00EB1DAA">
        <w:rPr>
          <w:b/>
          <w:bCs/>
          <w:u w:val="single"/>
        </w:rPr>
        <w:t xml:space="preserve"> </w:t>
      </w:r>
      <w:r w:rsidR="0077208B" w:rsidRPr="007D47A4">
        <w:rPr>
          <w:b/>
          <w:bCs/>
          <w:u w:val="single"/>
        </w:rPr>
        <w:t>Application</w:t>
      </w:r>
      <w:r w:rsidR="007D47A4" w:rsidRPr="007D47A4">
        <w:rPr>
          <w:rStyle w:val="FootnoteReference"/>
          <w:b/>
          <w:bCs/>
          <w:u w:val="single"/>
        </w:rPr>
        <w:footnoteReference w:id="1"/>
      </w:r>
    </w:p>
    <w:p w14:paraId="1684D623" w14:textId="19B65EC4" w:rsidR="0077208B" w:rsidRDefault="0077208B" w:rsidP="0077208B">
      <w:pPr>
        <w:rPr>
          <w:rFonts w:cs="Times New Roman"/>
          <w:b/>
          <w:i/>
        </w:rPr>
      </w:pPr>
    </w:p>
    <w:p w14:paraId="7877B15F" w14:textId="5D6EB22B" w:rsidR="0074735F" w:rsidRPr="00455F85" w:rsidRDefault="00EB1DAA" w:rsidP="0077208B">
      <w:pPr>
        <w:rPr>
          <w:rFonts w:eastAsia="Times New Roman" w:cstheme="minorHAnsi"/>
          <w:i/>
          <w:color w:val="0000FF"/>
          <w:u w:val="single"/>
        </w:rPr>
      </w:pPr>
      <w:r w:rsidRPr="00455F85">
        <w:rPr>
          <w:rFonts w:cstheme="minorHAnsi"/>
          <w:bCs/>
          <w:i/>
        </w:rPr>
        <w:t xml:space="preserve">A </w:t>
      </w:r>
      <w:r w:rsidR="007F7AB7" w:rsidRPr="00455F85">
        <w:rPr>
          <w:rFonts w:cstheme="minorHAnsi"/>
          <w:bCs/>
          <w:i/>
        </w:rPr>
        <w:t>4-</w:t>
      </w:r>
      <w:r w:rsidRPr="00455F85">
        <w:rPr>
          <w:rFonts w:cstheme="minorHAnsi"/>
          <w:bCs/>
          <w:i/>
        </w:rPr>
        <w:t>year cycle appeared to have broad support fro</w:t>
      </w:r>
      <w:r w:rsidR="007F7AB7" w:rsidRPr="00455F85">
        <w:rPr>
          <w:rFonts w:cstheme="minorHAnsi"/>
          <w:bCs/>
          <w:i/>
        </w:rPr>
        <w:t>m</w:t>
      </w:r>
      <w:r w:rsidRPr="00455F85">
        <w:rPr>
          <w:rFonts w:cstheme="minorHAnsi"/>
          <w:bCs/>
          <w:i/>
        </w:rPr>
        <w:t xml:space="preserve"> </w:t>
      </w:r>
      <w:r w:rsidR="007F7AB7" w:rsidRPr="00455F85">
        <w:rPr>
          <w:rFonts w:cstheme="minorHAnsi"/>
          <w:bCs/>
          <w:i/>
        </w:rPr>
        <w:t>S</w:t>
      </w:r>
      <w:r w:rsidRPr="00455F85">
        <w:rPr>
          <w:rFonts w:cstheme="minorHAnsi"/>
          <w:bCs/>
          <w:i/>
        </w:rPr>
        <w:t>ub</w:t>
      </w:r>
      <w:r w:rsidR="007F7AB7" w:rsidRPr="00455F85">
        <w:rPr>
          <w:rFonts w:cstheme="minorHAnsi"/>
          <w:bCs/>
          <w:i/>
        </w:rPr>
        <w:t>-</w:t>
      </w:r>
      <w:r w:rsidR="0074735F" w:rsidRPr="00455F85">
        <w:rPr>
          <w:rFonts w:cstheme="minorHAnsi"/>
          <w:bCs/>
          <w:i/>
        </w:rPr>
        <w:t>WG</w:t>
      </w:r>
      <w:r w:rsidR="007F7AB7" w:rsidRPr="00455F85">
        <w:rPr>
          <w:rFonts w:cstheme="minorHAnsi"/>
          <w:bCs/>
          <w:i/>
        </w:rPr>
        <w:t>#1,</w:t>
      </w:r>
      <w:r w:rsidR="00455F85">
        <w:rPr>
          <w:rFonts w:cstheme="minorHAnsi"/>
          <w:bCs/>
          <w:i/>
        </w:rPr>
        <w:t xml:space="preserve"> </w:t>
      </w:r>
      <w:r w:rsidR="007F7AB7" w:rsidRPr="00455F85">
        <w:rPr>
          <w:rFonts w:cstheme="minorHAnsi"/>
          <w:bCs/>
          <w:i/>
        </w:rPr>
        <w:t>while a 6-year cycle attracted numerous concerns</w:t>
      </w:r>
      <w:r w:rsidRPr="00455F85">
        <w:rPr>
          <w:rFonts w:cstheme="minorHAnsi"/>
          <w:bCs/>
          <w:i/>
        </w:rPr>
        <w:t xml:space="preserve"> (see</w:t>
      </w:r>
      <w:r w:rsidR="0074735F" w:rsidRPr="00455F85">
        <w:rPr>
          <w:rFonts w:cstheme="minorHAnsi"/>
          <w:bCs/>
          <w:i/>
        </w:rPr>
        <w:t xml:space="preserve"> </w:t>
      </w:r>
      <w:r w:rsidR="00455F85" w:rsidRPr="00455F85">
        <w:rPr>
          <w:rFonts w:cstheme="minorHAnsi"/>
          <w:bCs/>
          <w:i/>
        </w:rPr>
        <w:t xml:space="preserve">Appendix C: </w:t>
      </w:r>
      <w:r w:rsidR="0074735F" w:rsidRPr="00455F85">
        <w:rPr>
          <w:rFonts w:cstheme="minorHAnsi"/>
          <w:bCs/>
          <w:i/>
        </w:rPr>
        <w:t>4</w:t>
      </w:r>
      <w:r w:rsidRPr="00455F85">
        <w:rPr>
          <w:rFonts w:cstheme="minorHAnsi"/>
          <w:bCs/>
          <w:i/>
        </w:rPr>
        <w:t xml:space="preserve"> </w:t>
      </w:r>
      <w:r w:rsidR="0074735F" w:rsidRPr="00455F85">
        <w:rPr>
          <w:rFonts w:cstheme="minorHAnsi"/>
          <w:bCs/>
          <w:i/>
        </w:rPr>
        <w:t>v. 6 Year Cycle: Pros/Cons and Assumptions for Discussion</w:t>
      </w:r>
      <w:r w:rsidR="00455F85" w:rsidRPr="00455F85">
        <w:rPr>
          <w:rFonts w:cstheme="minorHAnsi"/>
          <w:bCs/>
          <w:i/>
        </w:rPr>
        <w:t>).</w:t>
      </w:r>
    </w:p>
    <w:p w14:paraId="4A0D179B" w14:textId="77777777" w:rsidR="0074735F" w:rsidRDefault="0074735F" w:rsidP="0077208B">
      <w:pPr>
        <w:rPr>
          <w:rFonts w:eastAsia="Times New Roman" w:cstheme="minorHAnsi"/>
          <w:i/>
          <w:iCs/>
          <w:color w:val="0000FF"/>
          <w:u w:val="single"/>
        </w:rPr>
      </w:pPr>
    </w:p>
    <w:p w14:paraId="045E42B9" w14:textId="762D7C79" w:rsidR="008909A9" w:rsidRPr="00761824" w:rsidRDefault="007F7AB7" w:rsidP="0077208B">
      <w:pPr>
        <w:rPr>
          <w:rFonts w:eastAsia="Times New Roman" w:cstheme="minorHAnsi"/>
        </w:rPr>
      </w:pPr>
      <w:r w:rsidRPr="0074735F">
        <w:rPr>
          <w:rFonts w:cstheme="minorHAnsi"/>
          <w:bCs/>
          <w:i/>
        </w:rPr>
        <w:t xml:space="preserve">The </w:t>
      </w:r>
      <w:r w:rsidR="008909A9" w:rsidRPr="00761824">
        <w:rPr>
          <w:rFonts w:cstheme="minorHAnsi"/>
          <w:bCs/>
          <w:i/>
        </w:rPr>
        <w:t>Sub</w:t>
      </w:r>
      <w:r w:rsidRPr="0074735F">
        <w:rPr>
          <w:rFonts w:cstheme="minorHAnsi"/>
          <w:bCs/>
          <w:i/>
        </w:rPr>
        <w:t>-</w:t>
      </w:r>
      <w:r w:rsidR="0074735F" w:rsidRPr="0074735F">
        <w:rPr>
          <w:rFonts w:cstheme="minorHAnsi"/>
          <w:bCs/>
          <w:i/>
        </w:rPr>
        <w:t>WG</w:t>
      </w:r>
      <w:r w:rsidR="008909A9" w:rsidRPr="00761824">
        <w:rPr>
          <w:rFonts w:cstheme="minorHAnsi"/>
          <w:bCs/>
          <w:i/>
        </w:rPr>
        <w:t xml:space="preserve"> didn’t reach closure on Option</w:t>
      </w:r>
      <w:r w:rsidR="0074735F">
        <w:rPr>
          <w:rFonts w:cstheme="minorHAnsi"/>
          <w:bCs/>
          <w:i/>
        </w:rPr>
        <w:t>s</w:t>
      </w:r>
      <w:r w:rsidR="008909A9" w:rsidRPr="00761824">
        <w:rPr>
          <w:rFonts w:cstheme="minorHAnsi"/>
          <w:bCs/>
          <w:i/>
        </w:rPr>
        <w:t xml:space="preserve"> 1 v. 2</w:t>
      </w:r>
      <w:r w:rsidR="0074735F">
        <w:rPr>
          <w:rFonts w:cstheme="minorHAnsi"/>
          <w:bCs/>
          <w:i/>
        </w:rPr>
        <w:t xml:space="preserve"> (below) and is </w:t>
      </w:r>
      <w:r w:rsidR="008909A9" w:rsidRPr="00761824">
        <w:rPr>
          <w:rFonts w:cstheme="minorHAnsi"/>
          <w:bCs/>
          <w:i/>
        </w:rPr>
        <w:t xml:space="preserve">still considering </w:t>
      </w:r>
      <w:r w:rsidR="0074735F">
        <w:rPr>
          <w:rFonts w:cstheme="minorHAnsi"/>
          <w:bCs/>
          <w:i/>
        </w:rPr>
        <w:t xml:space="preserve">the </w:t>
      </w:r>
      <w:r w:rsidR="008909A9" w:rsidRPr="00761824">
        <w:rPr>
          <w:rFonts w:cstheme="minorHAnsi"/>
          <w:bCs/>
          <w:i/>
        </w:rPr>
        <w:t>relevant merits of each</w:t>
      </w:r>
      <w:r w:rsidR="0074735F">
        <w:rPr>
          <w:rFonts w:cstheme="minorHAnsi"/>
          <w:b/>
          <w:i/>
        </w:rPr>
        <w:t>.</w:t>
      </w:r>
      <w:r w:rsidR="008909A9" w:rsidRPr="0074735F">
        <w:rPr>
          <w:rFonts w:cstheme="minorHAnsi"/>
          <w:b/>
          <w:i/>
        </w:rPr>
        <w:t xml:space="preserve"> </w:t>
      </w:r>
    </w:p>
    <w:p w14:paraId="3C54F0D7" w14:textId="77777777" w:rsidR="008909A9" w:rsidRPr="007D47A4" w:rsidRDefault="008909A9" w:rsidP="0077208B">
      <w:pPr>
        <w:rPr>
          <w:rFonts w:cs="Times New Roman"/>
          <w:b/>
          <w:i/>
        </w:rPr>
      </w:pPr>
    </w:p>
    <w:p w14:paraId="5FDC27B5" w14:textId="094BFE4C" w:rsidR="00FF7CF6" w:rsidRPr="007D47A4" w:rsidRDefault="00FF7CF6" w:rsidP="00C31278">
      <w:pPr>
        <w:spacing w:after="200" w:line="276" w:lineRule="auto"/>
        <w:ind w:left="360"/>
        <w:rPr>
          <w:rFonts w:eastAsia="Calibri" w:cs="Times New Roman"/>
          <w:b/>
          <w:iCs/>
        </w:rPr>
      </w:pPr>
      <w:r w:rsidRPr="007D47A4">
        <w:rPr>
          <w:rFonts w:eastAsia="Calibri" w:cs="Times New Roman"/>
          <w:b/>
          <w:iCs/>
        </w:rPr>
        <w:t>Option 1: Robust Reasonableness Showing with Full-Cycle Budget, Savings, and Cost-Effectiveness</w:t>
      </w:r>
    </w:p>
    <w:p w14:paraId="11C1E405" w14:textId="4B0E7D81" w:rsidR="00FF7CF6" w:rsidRPr="007D47A4" w:rsidRDefault="00DB1863" w:rsidP="00C31278">
      <w:pPr>
        <w:pStyle w:val="ListParagraph"/>
        <w:numPr>
          <w:ilvl w:val="0"/>
          <w:numId w:val="3"/>
        </w:numPr>
        <w:spacing w:after="200" w:line="276" w:lineRule="auto"/>
        <w:ind w:left="1080"/>
        <w:rPr>
          <w:rFonts w:eastAsia="Calibri" w:cs="Times New Roman"/>
        </w:rPr>
      </w:pPr>
      <w:r w:rsidRPr="007D47A4">
        <w:rPr>
          <w:rFonts w:eastAsia="Calibri" w:cs="Times New Roman"/>
        </w:rPr>
        <w:t>B</w:t>
      </w:r>
      <w:r w:rsidR="00FF7CF6" w:rsidRPr="007D47A4">
        <w:rPr>
          <w:rFonts w:eastAsia="Calibri" w:cs="Times New Roman"/>
        </w:rPr>
        <w:t xml:space="preserve">udget, savings, and </w:t>
      </w:r>
      <w:r w:rsidRPr="007D47A4">
        <w:rPr>
          <w:rFonts w:eastAsia="Calibri" w:cs="Times New Roman"/>
        </w:rPr>
        <w:t>CE</w:t>
      </w:r>
      <w:r w:rsidR="00FF7CF6" w:rsidRPr="007D47A4">
        <w:rPr>
          <w:rFonts w:eastAsia="Calibri" w:cs="Times New Roman"/>
        </w:rPr>
        <w:t xml:space="preserve"> forecasts</w:t>
      </w:r>
      <w:r w:rsidRPr="007D47A4">
        <w:rPr>
          <w:rFonts w:eastAsia="Calibri" w:cs="Times New Roman"/>
        </w:rPr>
        <w:t xml:space="preserve"> – detailed testimony to demonstrate the reasonableness of forecasts</w:t>
      </w:r>
    </w:p>
    <w:p w14:paraId="39EC4EB4" w14:textId="229FD679" w:rsidR="00FF7CF6" w:rsidRPr="007D47A4" w:rsidRDefault="00FF7CF6" w:rsidP="00C31278">
      <w:pPr>
        <w:pStyle w:val="ListParagraph"/>
        <w:numPr>
          <w:ilvl w:val="0"/>
          <w:numId w:val="3"/>
        </w:numPr>
        <w:spacing w:after="200" w:line="276" w:lineRule="auto"/>
        <w:ind w:left="1080"/>
        <w:rPr>
          <w:rFonts w:eastAsia="Calibri" w:cs="Times New Roman"/>
        </w:rPr>
      </w:pPr>
      <w:r w:rsidRPr="007D47A4">
        <w:rPr>
          <w:rFonts w:eastAsia="Calibri" w:cs="Times New Roman"/>
        </w:rPr>
        <w:t>Zero-based budgeting</w:t>
      </w:r>
      <w:r w:rsidR="00C31278" w:rsidRPr="007D47A4">
        <w:rPr>
          <w:rFonts w:eastAsia="Calibri" w:cs="Times New Roman"/>
        </w:rPr>
        <w:t xml:space="preserve"> </w:t>
      </w:r>
    </w:p>
    <w:p w14:paraId="51EBAF76" w14:textId="2598691C" w:rsidR="00C31278" w:rsidRPr="007D47A4" w:rsidRDefault="00C31278" w:rsidP="00C31278">
      <w:pPr>
        <w:pStyle w:val="ListParagraph"/>
        <w:numPr>
          <w:ilvl w:val="0"/>
          <w:numId w:val="3"/>
        </w:numPr>
        <w:spacing w:after="200" w:line="276" w:lineRule="auto"/>
        <w:ind w:left="1080"/>
        <w:rPr>
          <w:rFonts w:eastAsia="Calibri" w:cs="Times New Roman"/>
        </w:rPr>
      </w:pPr>
      <w:r w:rsidRPr="007D47A4">
        <w:rPr>
          <w:rFonts w:eastAsia="Calibri" w:cs="Times New Roman"/>
        </w:rPr>
        <w:t>Applicant showing covers all four years</w:t>
      </w:r>
    </w:p>
    <w:p w14:paraId="32BA2FD0" w14:textId="43675FC8" w:rsidR="00FF7CF6" w:rsidRPr="007D47A4" w:rsidRDefault="00FF7CF6" w:rsidP="00527BCD">
      <w:pPr>
        <w:spacing w:after="200" w:line="276" w:lineRule="auto"/>
        <w:ind w:left="360"/>
        <w:rPr>
          <w:rFonts w:eastAsia="Calibri" w:cs="Times New Roman"/>
          <w:iCs/>
        </w:rPr>
      </w:pPr>
      <w:r w:rsidRPr="007D47A4">
        <w:rPr>
          <w:rFonts w:eastAsia="Calibri" w:cs="Times New Roman"/>
          <w:b/>
          <w:iCs/>
        </w:rPr>
        <w:t>Option 2: Robust Reasonableness Showing with Test Year and Attrition Years</w:t>
      </w:r>
    </w:p>
    <w:p w14:paraId="7DA878FF" w14:textId="77777777" w:rsidR="00DB1863" w:rsidRPr="007D47A4" w:rsidRDefault="00DB1863" w:rsidP="00DB1863">
      <w:pPr>
        <w:pStyle w:val="ListParagraph"/>
        <w:numPr>
          <w:ilvl w:val="0"/>
          <w:numId w:val="5"/>
        </w:numPr>
        <w:spacing w:after="200" w:line="276" w:lineRule="auto"/>
        <w:rPr>
          <w:rFonts w:eastAsia="Calibri" w:cs="Times New Roman"/>
        </w:rPr>
      </w:pPr>
      <w:r w:rsidRPr="007D47A4">
        <w:rPr>
          <w:rFonts w:eastAsia="Calibri" w:cs="Times New Roman"/>
        </w:rPr>
        <w:lastRenderedPageBreak/>
        <w:t>Budget, savings, and CE forecasts – detailed testimony to demonstrate the reasonableness of forecasts</w:t>
      </w:r>
    </w:p>
    <w:p w14:paraId="6F06AC8A" w14:textId="77777777" w:rsidR="00DB1863" w:rsidRPr="007D47A4" w:rsidRDefault="00DB1863" w:rsidP="00DB1863">
      <w:pPr>
        <w:pStyle w:val="ListParagraph"/>
        <w:numPr>
          <w:ilvl w:val="0"/>
          <w:numId w:val="5"/>
        </w:numPr>
        <w:spacing w:after="200" w:line="276" w:lineRule="auto"/>
        <w:rPr>
          <w:rFonts w:eastAsia="Calibri" w:cs="Times New Roman"/>
        </w:rPr>
      </w:pPr>
      <w:r w:rsidRPr="007D47A4">
        <w:rPr>
          <w:rFonts w:eastAsia="Calibri" w:cs="Times New Roman"/>
        </w:rPr>
        <w:t>Zero-based budgeting</w:t>
      </w:r>
    </w:p>
    <w:p w14:paraId="219779A1" w14:textId="77777777" w:rsidR="00DB1863" w:rsidRPr="007D47A4" w:rsidRDefault="00C31278" w:rsidP="00DB1863">
      <w:pPr>
        <w:pStyle w:val="ListParagraph"/>
        <w:numPr>
          <w:ilvl w:val="0"/>
          <w:numId w:val="5"/>
        </w:numPr>
        <w:spacing w:after="200" w:line="276" w:lineRule="auto"/>
        <w:rPr>
          <w:rFonts w:eastAsia="Calibri" w:cs="Times New Roman"/>
        </w:rPr>
      </w:pPr>
      <w:r w:rsidRPr="007D47A4">
        <w:rPr>
          <w:rFonts w:eastAsia="Calibri" w:cs="Times New Roman"/>
        </w:rPr>
        <w:t>Applicant showing cover</w:t>
      </w:r>
      <w:r w:rsidR="00DB1863" w:rsidRPr="007D47A4">
        <w:rPr>
          <w:rFonts w:eastAsia="Calibri" w:cs="Times New Roman"/>
        </w:rPr>
        <w:t>s</w:t>
      </w:r>
      <w:r w:rsidRPr="007D47A4">
        <w:rPr>
          <w:rFonts w:eastAsia="Calibri" w:cs="Times New Roman"/>
        </w:rPr>
        <w:t xml:space="preserve"> </w:t>
      </w:r>
      <w:r w:rsidR="00DB1863" w:rsidRPr="007D47A4">
        <w:rPr>
          <w:rFonts w:eastAsia="Calibri" w:cs="Times New Roman"/>
        </w:rPr>
        <w:t xml:space="preserve">only </w:t>
      </w:r>
      <w:r w:rsidRPr="007D47A4">
        <w:rPr>
          <w:rFonts w:eastAsia="Calibri" w:cs="Times New Roman"/>
        </w:rPr>
        <w:t>the first year (known as the “test year”) of the application cycle</w:t>
      </w:r>
    </w:p>
    <w:p w14:paraId="27F85A3A" w14:textId="3A98317B" w:rsidR="00DB1863" w:rsidRPr="007D47A4" w:rsidRDefault="00FF7CF6" w:rsidP="00DB1863">
      <w:pPr>
        <w:pStyle w:val="ListParagraph"/>
        <w:numPr>
          <w:ilvl w:val="0"/>
          <w:numId w:val="5"/>
        </w:numPr>
        <w:spacing w:after="200" w:line="276" w:lineRule="auto"/>
        <w:rPr>
          <w:rFonts w:eastAsia="Calibri" w:cs="Times New Roman"/>
        </w:rPr>
      </w:pPr>
      <w:r w:rsidRPr="007D47A4">
        <w:rPr>
          <w:rFonts w:eastAsia="Calibri" w:cs="Times New Roman"/>
        </w:rPr>
        <w:t xml:space="preserve">Budgets for </w:t>
      </w:r>
      <w:r w:rsidR="00DB1863" w:rsidRPr="007D47A4">
        <w:rPr>
          <w:rFonts w:eastAsia="Calibri" w:cs="Times New Roman"/>
        </w:rPr>
        <w:t>next 3 years</w:t>
      </w:r>
      <w:r w:rsidRPr="007D47A4">
        <w:rPr>
          <w:rFonts w:eastAsia="Calibri" w:cs="Times New Roman"/>
        </w:rPr>
        <w:t xml:space="preserve"> </w:t>
      </w:r>
      <w:r w:rsidR="00DB1863" w:rsidRPr="007D47A4">
        <w:rPr>
          <w:rFonts w:eastAsia="Calibri" w:cs="Times New Roman"/>
        </w:rPr>
        <w:t>(</w:t>
      </w:r>
      <w:r w:rsidRPr="007D47A4">
        <w:rPr>
          <w:rFonts w:eastAsia="Calibri" w:cs="Times New Roman"/>
        </w:rPr>
        <w:t>“attrition years”) based on approved budget for the first year, adjusted by a limited range of factors</w:t>
      </w:r>
      <w:r w:rsidR="00DB1863" w:rsidRPr="007D47A4">
        <w:rPr>
          <w:rFonts w:eastAsia="Calibri" w:cs="Times New Roman"/>
        </w:rPr>
        <w:t xml:space="preserve">. Could </w:t>
      </w:r>
      <w:r w:rsidRPr="007D47A4">
        <w:rPr>
          <w:rFonts w:eastAsia="Calibri" w:cs="Times New Roman"/>
        </w:rPr>
        <w:t>include a small escalation factor.</w:t>
      </w:r>
      <w:r w:rsidR="00D75851">
        <w:rPr>
          <w:rStyle w:val="FootnoteReference"/>
          <w:rFonts w:eastAsia="Calibri" w:cs="Times New Roman"/>
        </w:rPr>
        <w:footnoteReference w:id="2"/>
      </w:r>
      <w:r w:rsidR="00D75851" w:rsidRPr="007D47A4" w:rsidDel="00D75851">
        <w:rPr>
          <w:rStyle w:val="FootnoteReference"/>
          <w:rFonts w:eastAsia="Calibri" w:cs="Times New Roman"/>
        </w:rPr>
        <w:t xml:space="preserve"> </w:t>
      </w:r>
    </w:p>
    <w:p w14:paraId="693AEF59" w14:textId="4683B326" w:rsidR="0077208B" w:rsidRPr="007D47A4" w:rsidRDefault="00FF7CF6" w:rsidP="0077208B">
      <w:pPr>
        <w:pStyle w:val="ListParagraph"/>
        <w:numPr>
          <w:ilvl w:val="0"/>
          <w:numId w:val="5"/>
        </w:numPr>
        <w:spacing w:after="200" w:line="276" w:lineRule="auto"/>
        <w:rPr>
          <w:rFonts w:eastAsia="Calibri" w:cs="Times New Roman"/>
        </w:rPr>
      </w:pPr>
      <w:r w:rsidRPr="007D47A4">
        <w:rPr>
          <w:rFonts w:eastAsia="Calibri" w:cs="Times New Roman"/>
        </w:rPr>
        <w:t>C</w:t>
      </w:r>
      <w:r w:rsidR="00DB1863" w:rsidRPr="007D47A4">
        <w:rPr>
          <w:rFonts w:eastAsia="Calibri" w:cs="Times New Roman"/>
        </w:rPr>
        <w:t>PUC Decision</w:t>
      </w:r>
      <w:r w:rsidRPr="007D47A4">
        <w:rPr>
          <w:rFonts w:eastAsia="Calibri" w:cs="Times New Roman"/>
        </w:rPr>
        <w:t xml:space="preserve"> would approve funding for the test year </w:t>
      </w:r>
      <w:r w:rsidR="00DB1863" w:rsidRPr="007D47A4">
        <w:rPr>
          <w:rFonts w:eastAsia="Calibri" w:cs="Times New Roman"/>
        </w:rPr>
        <w:t>+ attrition years</w:t>
      </w:r>
    </w:p>
    <w:p w14:paraId="318D4CE2" w14:textId="7A6CA7A4" w:rsidR="0077208B" w:rsidRPr="007D47A4" w:rsidRDefault="00DB1863" w:rsidP="0077208B">
      <w:pPr>
        <w:rPr>
          <w:b/>
          <w:bCs/>
          <w:u w:val="single"/>
        </w:rPr>
      </w:pPr>
      <w:r w:rsidRPr="007D47A4">
        <w:rPr>
          <w:b/>
          <w:bCs/>
          <w:u w:val="single"/>
        </w:rPr>
        <w:t xml:space="preserve">Mid-Cycle </w:t>
      </w:r>
      <w:r w:rsidR="0077208B" w:rsidRPr="007D47A4">
        <w:rPr>
          <w:b/>
          <w:bCs/>
          <w:u w:val="single"/>
        </w:rPr>
        <w:t>Interim Filing</w:t>
      </w:r>
      <w:r w:rsidRPr="007D47A4">
        <w:rPr>
          <w:b/>
          <w:bCs/>
          <w:u w:val="single"/>
        </w:rPr>
        <w:t xml:space="preserve"> with Trigger-Based Filing for Significant Changes</w:t>
      </w:r>
    </w:p>
    <w:p w14:paraId="1F52E046" w14:textId="70611A48" w:rsidR="00DB1863" w:rsidRDefault="00DB1863" w:rsidP="0077208B">
      <w:pPr>
        <w:rPr>
          <w:b/>
          <w:bCs/>
          <w:u w:val="single"/>
        </w:rPr>
      </w:pPr>
    </w:p>
    <w:p w14:paraId="583A2548" w14:textId="5DBCA200" w:rsidR="008909A9" w:rsidRPr="00B067D3" w:rsidRDefault="008909A9" w:rsidP="0077208B">
      <w:pPr>
        <w:rPr>
          <w:i/>
          <w:iCs/>
        </w:rPr>
      </w:pPr>
      <w:bookmarkStart w:id="0" w:name="_GoBack"/>
      <w:r w:rsidRPr="00B067D3">
        <w:rPr>
          <w:i/>
          <w:iCs/>
        </w:rPr>
        <w:t>Sub-</w:t>
      </w:r>
      <w:r w:rsidR="00455F85" w:rsidRPr="00B067D3">
        <w:rPr>
          <w:i/>
          <w:iCs/>
        </w:rPr>
        <w:t>W</w:t>
      </w:r>
      <w:r w:rsidRPr="00B067D3">
        <w:rPr>
          <w:i/>
          <w:iCs/>
        </w:rPr>
        <w:t xml:space="preserve">ork </w:t>
      </w:r>
      <w:r w:rsidR="00455F85" w:rsidRPr="00B067D3">
        <w:rPr>
          <w:i/>
          <w:iCs/>
        </w:rPr>
        <w:t>G</w:t>
      </w:r>
      <w:r w:rsidRPr="00B067D3">
        <w:rPr>
          <w:i/>
          <w:iCs/>
        </w:rPr>
        <w:t>roup</w:t>
      </w:r>
      <w:r w:rsidR="00455F85" w:rsidRPr="00B067D3">
        <w:rPr>
          <w:i/>
          <w:iCs/>
        </w:rPr>
        <w:t xml:space="preserve"> #1</w:t>
      </w:r>
      <w:r w:rsidRPr="00B067D3">
        <w:rPr>
          <w:i/>
          <w:iCs/>
        </w:rPr>
        <w:t xml:space="preserve"> recommends that there be two types of mid-cycle filings</w:t>
      </w:r>
      <w:r w:rsidR="00D75851" w:rsidRPr="00B067D3">
        <w:rPr>
          <w:i/>
          <w:iCs/>
        </w:rPr>
        <w:t xml:space="preserve">: (1) a Tier 1 Advice Letter to be filed 2 years after the 4-year EE Budget Application, and (2) a </w:t>
      </w:r>
      <w:r w:rsidR="00152DA3" w:rsidRPr="00B067D3">
        <w:rPr>
          <w:i/>
          <w:iCs/>
        </w:rPr>
        <w:t xml:space="preserve">Tier 3 Advice Letter </w:t>
      </w:r>
      <w:r w:rsidR="00021B63" w:rsidRPr="00B067D3">
        <w:rPr>
          <w:i/>
          <w:iCs/>
        </w:rPr>
        <w:t>or</w:t>
      </w:r>
      <w:r w:rsidR="00152DA3" w:rsidRPr="00B067D3">
        <w:rPr>
          <w:i/>
          <w:iCs/>
        </w:rPr>
        <w:t xml:space="preserve"> Petition for Modification, to be filed if certain “triggers” </w:t>
      </w:r>
      <w:r w:rsidR="00021B63" w:rsidRPr="00B067D3">
        <w:rPr>
          <w:i/>
          <w:iCs/>
        </w:rPr>
        <w:t>occur</w:t>
      </w:r>
      <w:r w:rsidRPr="00B067D3">
        <w:rPr>
          <w:i/>
          <w:iCs/>
        </w:rPr>
        <w:t xml:space="preserve">. </w:t>
      </w:r>
    </w:p>
    <w:bookmarkEnd w:id="0"/>
    <w:p w14:paraId="29DBCD56" w14:textId="77777777" w:rsidR="008909A9" w:rsidRPr="007D47A4" w:rsidRDefault="008909A9" w:rsidP="0077208B">
      <w:pPr>
        <w:rPr>
          <w:b/>
          <w:bCs/>
          <w:u w:val="single"/>
        </w:rPr>
      </w:pPr>
    </w:p>
    <w:p w14:paraId="4CB1F47E" w14:textId="4EA316B2" w:rsidR="00DB1863" w:rsidRPr="007D47A4" w:rsidRDefault="00DB1863" w:rsidP="00810122">
      <w:pPr>
        <w:ind w:left="360"/>
        <w:rPr>
          <w:rFonts w:cs="Times New Roman"/>
          <w:b/>
          <w:bCs/>
        </w:rPr>
      </w:pPr>
      <w:r w:rsidRPr="007D47A4">
        <w:rPr>
          <w:rFonts w:cs="Times New Roman"/>
          <w:b/>
          <w:bCs/>
        </w:rPr>
        <w:t xml:space="preserve">Mid-Cycle Tier 1 Advice Letter </w:t>
      </w:r>
    </w:p>
    <w:p w14:paraId="298DAD4A" w14:textId="5D672F88" w:rsidR="00DB1863" w:rsidRPr="007D47A4" w:rsidRDefault="00DB1863" w:rsidP="00810122">
      <w:pPr>
        <w:pStyle w:val="ListParagraph"/>
        <w:numPr>
          <w:ilvl w:val="0"/>
          <w:numId w:val="6"/>
        </w:numPr>
        <w:ind w:left="1080"/>
        <w:rPr>
          <w:rFonts w:cs="Times New Roman"/>
        </w:rPr>
      </w:pPr>
      <w:r w:rsidRPr="007D47A4">
        <w:rPr>
          <w:rFonts w:cs="Times New Roman"/>
        </w:rPr>
        <w:t>Would include changes</w:t>
      </w:r>
      <w:r w:rsidR="00C91314">
        <w:rPr>
          <w:rFonts w:cs="Times New Roman"/>
        </w:rPr>
        <w:t xml:space="preserve"> to portfolio in response</w:t>
      </w:r>
      <w:r w:rsidRPr="007D47A4">
        <w:rPr>
          <w:rFonts w:cs="Times New Roman"/>
        </w:rPr>
        <w:t xml:space="preserve"> to </w:t>
      </w:r>
      <w:r w:rsidR="00C91314">
        <w:rPr>
          <w:rFonts w:cs="Times New Roman"/>
        </w:rPr>
        <w:t xml:space="preserve">updated </w:t>
      </w:r>
      <w:r w:rsidRPr="007D47A4">
        <w:rPr>
          <w:rFonts w:cs="Times New Roman"/>
        </w:rPr>
        <w:t>Goals, DEER, AC</w:t>
      </w:r>
      <w:r w:rsidR="00C91314">
        <w:rPr>
          <w:rFonts w:cs="Times New Roman"/>
        </w:rPr>
        <w:t>C</w:t>
      </w:r>
      <w:r w:rsidRPr="007D47A4">
        <w:rPr>
          <w:rFonts w:cs="Times New Roman"/>
        </w:rPr>
        <w:t>, or policy as of date certain</w:t>
      </w:r>
      <w:r w:rsidR="007D47A4" w:rsidRPr="007D47A4">
        <w:rPr>
          <w:rStyle w:val="FootnoteReference"/>
          <w:rFonts w:cs="Times New Roman"/>
        </w:rPr>
        <w:footnoteReference w:id="3"/>
      </w:r>
    </w:p>
    <w:p w14:paraId="151D2A9A" w14:textId="3AFEA8D1" w:rsidR="00DB1863" w:rsidRPr="007D47A4" w:rsidRDefault="00DB1863" w:rsidP="00810122">
      <w:pPr>
        <w:pStyle w:val="ListParagraph"/>
        <w:numPr>
          <w:ilvl w:val="0"/>
          <w:numId w:val="6"/>
        </w:numPr>
        <w:ind w:left="1080"/>
        <w:rPr>
          <w:rFonts w:cs="Times New Roman"/>
        </w:rPr>
      </w:pPr>
      <w:r w:rsidRPr="007D47A4">
        <w:rPr>
          <w:rFonts w:cs="Times New Roman"/>
          <w:bCs/>
        </w:rPr>
        <w:t>Ministerial submission and should not affect budgets, savings, or cost-effectiveness forecasts</w:t>
      </w:r>
    </w:p>
    <w:p w14:paraId="65599E27" w14:textId="6FD26201" w:rsidR="00DB1863" w:rsidRPr="007D47A4" w:rsidRDefault="00DB1863" w:rsidP="00810122">
      <w:pPr>
        <w:pStyle w:val="ListParagraph"/>
        <w:numPr>
          <w:ilvl w:val="0"/>
          <w:numId w:val="6"/>
        </w:numPr>
        <w:ind w:left="1080"/>
        <w:rPr>
          <w:rFonts w:cs="Times New Roman"/>
        </w:rPr>
      </w:pPr>
      <w:r w:rsidRPr="007D47A4">
        <w:rPr>
          <w:rFonts w:cs="Times New Roman"/>
        </w:rPr>
        <w:t>2 years</w:t>
      </w:r>
      <w:r w:rsidR="00EB1DAA">
        <w:rPr>
          <w:rFonts w:cs="Times New Roman"/>
        </w:rPr>
        <w:t xml:space="preserve"> after 4-year </w:t>
      </w:r>
      <w:r w:rsidR="00D75851">
        <w:rPr>
          <w:rFonts w:cs="Times New Roman"/>
        </w:rPr>
        <w:t xml:space="preserve">EE </w:t>
      </w:r>
      <w:r w:rsidR="00EB1DAA">
        <w:rPr>
          <w:rFonts w:cs="Times New Roman"/>
        </w:rPr>
        <w:t xml:space="preserve">Budget Application </w:t>
      </w:r>
    </w:p>
    <w:p w14:paraId="538D31E2" w14:textId="3977A6E1" w:rsidR="00DB1863" w:rsidRPr="007D47A4" w:rsidRDefault="00DB1863" w:rsidP="00810122">
      <w:pPr>
        <w:ind w:left="360"/>
        <w:rPr>
          <w:rFonts w:cs="Times New Roman"/>
        </w:rPr>
      </w:pPr>
    </w:p>
    <w:p w14:paraId="3E49DC95" w14:textId="56D07130" w:rsidR="00DB1863" w:rsidRPr="007D47A4" w:rsidRDefault="00DB1863" w:rsidP="00810122">
      <w:pPr>
        <w:ind w:left="360"/>
        <w:rPr>
          <w:rFonts w:cs="Times New Roman"/>
          <w:b/>
          <w:bCs/>
        </w:rPr>
      </w:pPr>
      <w:r w:rsidRPr="007D47A4">
        <w:rPr>
          <w:rFonts w:cs="Times New Roman"/>
          <w:b/>
          <w:bCs/>
        </w:rPr>
        <w:t>Trigger-Based</w:t>
      </w:r>
      <w:r w:rsidR="00810122" w:rsidRPr="007D47A4">
        <w:rPr>
          <w:rFonts w:cs="Times New Roman"/>
          <w:b/>
          <w:bCs/>
        </w:rPr>
        <w:t xml:space="preserve"> – Tier 3 Advice Letter </w:t>
      </w:r>
      <w:r w:rsidR="00EB1DAA">
        <w:rPr>
          <w:rFonts w:cs="Times New Roman"/>
          <w:b/>
          <w:bCs/>
        </w:rPr>
        <w:t xml:space="preserve">(AL) </w:t>
      </w:r>
      <w:r w:rsidR="00810122" w:rsidRPr="007D47A4">
        <w:rPr>
          <w:rFonts w:cs="Times New Roman"/>
          <w:b/>
          <w:bCs/>
        </w:rPr>
        <w:t>or Petition for Modification</w:t>
      </w:r>
      <w:r w:rsidR="00EB1DAA">
        <w:rPr>
          <w:rFonts w:cs="Times New Roman"/>
          <w:b/>
          <w:bCs/>
        </w:rPr>
        <w:t xml:space="preserve"> (PFM)</w:t>
      </w:r>
      <w:r w:rsidRPr="007D47A4">
        <w:rPr>
          <w:rFonts w:cs="Times New Roman"/>
          <w:b/>
          <w:bCs/>
        </w:rPr>
        <w:t>:</w:t>
      </w:r>
    </w:p>
    <w:p w14:paraId="0B29EC91" w14:textId="6178BF0C" w:rsidR="00810122" w:rsidRPr="007D47A4" w:rsidRDefault="00810122" w:rsidP="00810122">
      <w:pPr>
        <w:pStyle w:val="ListParagraph"/>
        <w:numPr>
          <w:ilvl w:val="0"/>
          <w:numId w:val="7"/>
        </w:numPr>
        <w:ind w:left="1080"/>
        <w:rPr>
          <w:rFonts w:cs="Times New Roman"/>
        </w:rPr>
      </w:pPr>
      <w:r w:rsidRPr="007D47A4">
        <w:rPr>
          <w:rFonts w:cs="Times New Roman"/>
        </w:rPr>
        <w:t>Significant changes would trigger a Tier 3 AL or PFM filing. Triggers</w:t>
      </w:r>
      <w:r w:rsidR="00152DA3">
        <w:rPr>
          <w:rFonts w:cs="Times New Roman"/>
        </w:rPr>
        <w:t xml:space="preserve"> may be backward looking (i.e.</w:t>
      </w:r>
      <w:r w:rsidRPr="007D47A4">
        <w:rPr>
          <w:rFonts w:cs="Times New Roman"/>
        </w:rPr>
        <w:t xml:space="preserve"> based on past performance</w:t>
      </w:r>
      <w:r w:rsidR="00152DA3">
        <w:rPr>
          <w:rFonts w:cs="Times New Roman"/>
        </w:rPr>
        <w:t xml:space="preserve">) </w:t>
      </w:r>
      <w:r w:rsidR="00021B63">
        <w:rPr>
          <w:rFonts w:cs="Times New Roman"/>
        </w:rPr>
        <w:t>and/</w:t>
      </w:r>
      <w:r w:rsidR="00152DA3">
        <w:rPr>
          <w:rFonts w:cs="Times New Roman"/>
        </w:rPr>
        <w:t>or forward looking.</w:t>
      </w:r>
      <w:r w:rsidR="00D75851">
        <w:rPr>
          <w:rStyle w:val="FootnoteReference"/>
          <w:rFonts w:cs="Times New Roman"/>
        </w:rPr>
        <w:footnoteReference w:id="4"/>
      </w:r>
      <w:r w:rsidRPr="007D47A4">
        <w:rPr>
          <w:rFonts w:cs="Times New Roman"/>
        </w:rPr>
        <w:t xml:space="preserve"> </w:t>
      </w:r>
      <w:r w:rsidR="00152DA3">
        <w:rPr>
          <w:rFonts w:cs="Times New Roman"/>
        </w:rPr>
        <w:t xml:space="preserve"> Triggers could</w:t>
      </w:r>
      <w:r w:rsidRPr="007D47A4">
        <w:rPr>
          <w:rFonts w:cs="Times New Roman"/>
        </w:rPr>
        <w:t xml:space="preserve"> include: </w:t>
      </w:r>
    </w:p>
    <w:p w14:paraId="79C0157D" w14:textId="7960A73A" w:rsidR="00810122" w:rsidRPr="007D47A4" w:rsidRDefault="00810122" w:rsidP="00810122">
      <w:pPr>
        <w:pStyle w:val="ListParagraph"/>
        <w:numPr>
          <w:ilvl w:val="1"/>
          <w:numId w:val="7"/>
        </w:numPr>
        <w:ind w:left="1800"/>
        <w:rPr>
          <w:rFonts w:cs="Times New Roman"/>
        </w:rPr>
      </w:pPr>
      <w:r w:rsidRPr="007D47A4">
        <w:rPr>
          <w:rFonts w:cs="Times New Roman"/>
        </w:rPr>
        <w:t xml:space="preserve">Applicant didn’t meet threshold </w:t>
      </w:r>
    </w:p>
    <w:p w14:paraId="0BFC61F8" w14:textId="5170037C" w:rsidR="00810122" w:rsidRPr="007D47A4" w:rsidRDefault="00810122" w:rsidP="00810122">
      <w:pPr>
        <w:pStyle w:val="ListParagraph"/>
        <w:numPr>
          <w:ilvl w:val="1"/>
          <w:numId w:val="7"/>
        </w:numPr>
        <w:ind w:left="1800"/>
        <w:rPr>
          <w:rFonts w:cs="Times New Roman"/>
        </w:rPr>
      </w:pPr>
      <w:r w:rsidRPr="007D47A4">
        <w:rPr>
          <w:rFonts w:cs="Times New Roman"/>
        </w:rPr>
        <w:t>Applicant not on track to meet savings goals</w:t>
      </w:r>
    </w:p>
    <w:p w14:paraId="51428848" w14:textId="1F5EE972" w:rsidR="00810122" w:rsidRPr="007D47A4" w:rsidRDefault="00810122" w:rsidP="00810122">
      <w:pPr>
        <w:pStyle w:val="ListParagraph"/>
        <w:numPr>
          <w:ilvl w:val="1"/>
          <w:numId w:val="7"/>
        </w:numPr>
        <w:ind w:left="1800"/>
        <w:rPr>
          <w:rFonts w:cs="Times New Roman"/>
        </w:rPr>
      </w:pPr>
      <w:r w:rsidRPr="007D47A4">
        <w:rPr>
          <w:rFonts w:cs="Times New Roman"/>
        </w:rPr>
        <w:t>Insufficient budget</w:t>
      </w:r>
    </w:p>
    <w:p w14:paraId="34D381A2" w14:textId="4B544A42" w:rsidR="00DB1863" w:rsidRDefault="00BF327F" w:rsidP="00810122">
      <w:pPr>
        <w:pStyle w:val="ListParagraph"/>
        <w:numPr>
          <w:ilvl w:val="0"/>
          <w:numId w:val="7"/>
        </w:numPr>
        <w:ind w:left="1080"/>
        <w:rPr>
          <w:rFonts w:cs="Times New Roman"/>
        </w:rPr>
      </w:pPr>
      <w:r>
        <w:rPr>
          <w:rFonts w:cs="Times New Roman"/>
        </w:rPr>
        <w:t>Type</w:t>
      </w:r>
      <w:r w:rsidRPr="007D47A4">
        <w:rPr>
          <w:rFonts w:cs="Times New Roman"/>
        </w:rPr>
        <w:t xml:space="preserve"> </w:t>
      </w:r>
      <w:r w:rsidR="00810122" w:rsidRPr="007D47A4">
        <w:rPr>
          <w:rFonts w:cs="Times New Roman"/>
        </w:rPr>
        <w:t>of the “trigger</w:t>
      </w:r>
      <w:r w:rsidR="007F7AB7">
        <w:rPr>
          <w:rFonts w:cs="Times New Roman"/>
        </w:rPr>
        <w:t>-based</w:t>
      </w:r>
      <w:r w:rsidR="00810122" w:rsidRPr="007D47A4">
        <w:rPr>
          <w:rFonts w:cs="Times New Roman"/>
        </w:rPr>
        <w:t xml:space="preserve"> filing”</w:t>
      </w:r>
      <w:r>
        <w:rPr>
          <w:rFonts w:cs="Times New Roman"/>
        </w:rPr>
        <w:t xml:space="preserve"> (</w:t>
      </w:r>
      <w:r w:rsidR="007F7AB7">
        <w:rPr>
          <w:rFonts w:cs="Times New Roman"/>
        </w:rPr>
        <w:t xml:space="preserve">i.e. </w:t>
      </w:r>
      <w:r>
        <w:rPr>
          <w:rFonts w:cs="Times New Roman"/>
        </w:rPr>
        <w:t>AL or PFM)</w:t>
      </w:r>
      <w:r w:rsidR="00810122" w:rsidRPr="007D47A4">
        <w:rPr>
          <w:rFonts w:cs="Times New Roman"/>
        </w:rPr>
        <w:t xml:space="preserve"> </w:t>
      </w:r>
      <w:r w:rsidR="007F7AB7">
        <w:rPr>
          <w:rFonts w:cs="Times New Roman"/>
        </w:rPr>
        <w:t xml:space="preserve">and content of that filing </w:t>
      </w:r>
      <w:r w:rsidR="00810122" w:rsidRPr="007D47A4">
        <w:rPr>
          <w:rFonts w:cs="Times New Roman"/>
        </w:rPr>
        <w:t xml:space="preserve">would be determined by the </w:t>
      </w:r>
      <w:r w:rsidR="007F7AB7">
        <w:rPr>
          <w:rFonts w:cs="Times New Roman"/>
        </w:rPr>
        <w:t>type of trigger</w:t>
      </w:r>
    </w:p>
    <w:p w14:paraId="031F1B74" w14:textId="6A397E0F" w:rsidR="00810122" w:rsidRDefault="00810122" w:rsidP="00810122">
      <w:pPr>
        <w:rPr>
          <w:rFonts w:cs="Times New Roman"/>
        </w:rPr>
      </w:pPr>
    </w:p>
    <w:p w14:paraId="3AA5F95D" w14:textId="0C5C3E8D" w:rsidR="000A6F69" w:rsidRDefault="000A6F69" w:rsidP="00810122">
      <w:pPr>
        <w:rPr>
          <w:rFonts w:cs="Times New Roman"/>
        </w:rPr>
      </w:pPr>
    </w:p>
    <w:p w14:paraId="49D871ED" w14:textId="79C7E38D" w:rsidR="000A6F69" w:rsidRDefault="000A6F69">
      <w:pPr>
        <w:rPr>
          <w:rFonts w:cs="Times New Roman"/>
        </w:rPr>
      </w:pPr>
      <w:r>
        <w:rPr>
          <w:rFonts w:cs="Times New Roman"/>
        </w:rPr>
        <w:br w:type="page"/>
      </w:r>
    </w:p>
    <w:p w14:paraId="04718B04" w14:textId="2637A9F0" w:rsidR="000A6F69" w:rsidRDefault="000A6F69" w:rsidP="00810122">
      <w:pPr>
        <w:rPr>
          <w:rFonts w:cs="Times New Roman"/>
        </w:rPr>
      </w:pPr>
    </w:p>
    <w:p w14:paraId="407F14C2" w14:textId="664C35A2" w:rsidR="000A6F69" w:rsidRDefault="000A6F69" w:rsidP="00810122">
      <w:pPr>
        <w:rPr>
          <w:rFonts w:cs="Times New Roman"/>
        </w:rPr>
      </w:pPr>
    </w:p>
    <w:p w14:paraId="66BB4BCA" w14:textId="155E5D86" w:rsidR="000A6F69" w:rsidRPr="000A6F69" w:rsidRDefault="000A6F69" w:rsidP="000A6F69">
      <w:pPr>
        <w:spacing w:after="200" w:line="276" w:lineRule="auto"/>
        <w:jc w:val="center"/>
        <w:rPr>
          <w:rFonts w:ascii="Times New Roman" w:eastAsia="Calibri" w:hAnsi="Times New Roman" w:cs="Times New Roman"/>
          <w:b/>
          <w:sz w:val="28"/>
          <w:szCs w:val="28"/>
        </w:rPr>
      </w:pPr>
      <w:r w:rsidRPr="000A6F69">
        <w:rPr>
          <w:rFonts w:ascii="Times New Roman" w:eastAsia="Calibri" w:hAnsi="Times New Roman" w:cs="Times New Roman"/>
          <w:b/>
          <w:sz w:val="28"/>
          <w:szCs w:val="28"/>
        </w:rPr>
        <w:t>Appendix A: Public Advocates Office Straw Proposal on EE Application and Mid-Cycle Review Contents (10/30/2019)</w:t>
      </w:r>
    </w:p>
    <w:p w14:paraId="3A57736D" w14:textId="77777777" w:rsidR="000A6F69" w:rsidRPr="000A6F69" w:rsidRDefault="000A6F69" w:rsidP="000A6F69">
      <w:pPr>
        <w:spacing w:after="200" w:line="276" w:lineRule="auto"/>
        <w:rPr>
          <w:rFonts w:ascii="Times New Roman" w:eastAsia="Calibri" w:hAnsi="Times New Roman" w:cs="Times New Roman"/>
          <w:b/>
          <w:u w:val="single"/>
        </w:rPr>
      </w:pPr>
      <w:r w:rsidRPr="000A6F69">
        <w:rPr>
          <w:rFonts w:ascii="Times New Roman" w:eastAsia="Calibri" w:hAnsi="Times New Roman" w:cs="Times New Roman"/>
          <w:b/>
          <w:u w:val="single"/>
        </w:rPr>
        <w:t>Problem Statement</w:t>
      </w:r>
    </w:p>
    <w:p w14:paraId="47F3FDC8"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The currently approved EE business plans contain limited information on and review of forecasted budgets, savings, and cost-effectiveness.  This lack of detail in the approved business plans requires that the scope of ABAL review include non-ministerial factual and policy questions that are difficult for the Energy Division staff to resolve in a timely manner that is consistent with Commission decisions.</w:t>
      </w:r>
    </w:p>
    <w:p w14:paraId="765BABAF"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In order to make the Business Plan/ABAL construct more effective, the scope and level of detail in Business Plan application proceedings must increase substantially so that the Commission can resolve factual and policy disputes in these formal proceedings.</w:t>
      </w:r>
    </w:p>
    <w:p w14:paraId="35D64419"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In practice, this will mean that applicants will need to justify the reasonableness of budgets and savings and cost-effectiveness forecasts.  This would include detailed showings of current and proposed expenditures and zero-based budgeting</w:t>
      </w:r>
      <w:r w:rsidRPr="000A6F69">
        <w:rPr>
          <w:rFonts w:ascii="Times New Roman" w:eastAsia="Calibri" w:hAnsi="Times New Roman" w:cs="Times New Roman"/>
          <w:vertAlign w:val="superscript"/>
        </w:rPr>
        <w:footnoteReference w:id="5"/>
      </w:r>
      <w:r w:rsidRPr="000A6F69">
        <w:rPr>
          <w:rFonts w:ascii="Times New Roman" w:eastAsia="Calibri" w:hAnsi="Times New Roman" w:cs="Times New Roman"/>
        </w:rPr>
        <w:t xml:space="preserve"> exercises as well as detailed testimony on forecasting inputs, methods, and results for the approval period.</w:t>
      </w:r>
    </w:p>
    <w:p w14:paraId="77FF3FBB" w14:textId="77777777" w:rsidR="000A6F69" w:rsidRPr="000A6F69" w:rsidRDefault="000A6F69" w:rsidP="000A6F69">
      <w:pPr>
        <w:spacing w:after="200" w:line="276" w:lineRule="auto"/>
        <w:rPr>
          <w:rFonts w:ascii="Times New Roman" w:eastAsia="Calibri" w:hAnsi="Times New Roman" w:cs="Times New Roman"/>
          <w:b/>
          <w:u w:val="single"/>
        </w:rPr>
      </w:pPr>
      <w:r w:rsidRPr="000A6F69">
        <w:rPr>
          <w:rFonts w:ascii="Times New Roman" w:eastAsia="Calibri" w:hAnsi="Times New Roman" w:cs="Times New Roman"/>
          <w:b/>
          <w:u w:val="single"/>
        </w:rPr>
        <w:t>Proposed Scope</w:t>
      </w:r>
    </w:p>
    <w:p w14:paraId="163CE22C" w14:textId="77777777" w:rsidR="000A6F69" w:rsidRPr="000A6F69" w:rsidRDefault="000A6F69" w:rsidP="000A6F69">
      <w:pPr>
        <w:numPr>
          <w:ilvl w:val="0"/>
          <w:numId w:val="10"/>
        </w:numPr>
        <w:spacing w:after="200" w:line="276" w:lineRule="auto"/>
        <w:contextualSpacing/>
        <w:rPr>
          <w:rFonts w:ascii="Times New Roman" w:eastAsia="Calibri" w:hAnsi="Times New Roman" w:cs="Times New Roman"/>
        </w:rPr>
      </w:pPr>
      <w:r w:rsidRPr="000A6F69">
        <w:rPr>
          <w:rFonts w:ascii="Times New Roman" w:eastAsia="Calibri" w:hAnsi="Times New Roman" w:cs="Times New Roman"/>
        </w:rPr>
        <w:t>Information to be included in EE applications</w:t>
      </w:r>
    </w:p>
    <w:p w14:paraId="38BD6191" w14:textId="77777777" w:rsidR="000A6F69" w:rsidRPr="000A6F69" w:rsidRDefault="000A6F69" w:rsidP="000A6F69">
      <w:pPr>
        <w:numPr>
          <w:ilvl w:val="0"/>
          <w:numId w:val="10"/>
        </w:numPr>
        <w:spacing w:after="200" w:line="276" w:lineRule="auto"/>
        <w:contextualSpacing/>
        <w:rPr>
          <w:rFonts w:ascii="Times New Roman" w:eastAsia="Calibri" w:hAnsi="Times New Roman" w:cs="Times New Roman"/>
        </w:rPr>
      </w:pPr>
      <w:r w:rsidRPr="000A6F69">
        <w:rPr>
          <w:rFonts w:ascii="Times New Roman" w:eastAsia="Calibri" w:hAnsi="Times New Roman" w:cs="Times New Roman"/>
        </w:rPr>
        <w:t>Required testimony for EE applications</w:t>
      </w:r>
    </w:p>
    <w:p w14:paraId="5454B843" w14:textId="77777777" w:rsidR="000A6F69" w:rsidRPr="000A6F69" w:rsidRDefault="000A6F69" w:rsidP="000A6F69">
      <w:pPr>
        <w:numPr>
          <w:ilvl w:val="0"/>
          <w:numId w:val="10"/>
        </w:numPr>
        <w:spacing w:after="200" w:line="276" w:lineRule="auto"/>
        <w:contextualSpacing/>
        <w:rPr>
          <w:rFonts w:ascii="Times New Roman" w:eastAsia="Calibri" w:hAnsi="Times New Roman" w:cs="Times New Roman"/>
        </w:rPr>
      </w:pPr>
      <w:r w:rsidRPr="000A6F69">
        <w:rPr>
          <w:rFonts w:ascii="Times New Roman" w:eastAsia="Calibri" w:hAnsi="Times New Roman" w:cs="Times New Roman"/>
        </w:rPr>
        <w:t>Required exhibits for EE applications</w:t>
      </w:r>
    </w:p>
    <w:p w14:paraId="512DD235" w14:textId="77777777" w:rsidR="000A6F69" w:rsidRPr="000A6F69" w:rsidRDefault="000A6F69" w:rsidP="000A6F69">
      <w:pPr>
        <w:spacing w:after="200" w:line="276" w:lineRule="auto"/>
        <w:rPr>
          <w:rFonts w:ascii="Times New Roman" w:eastAsia="Calibri" w:hAnsi="Times New Roman" w:cs="Times New Roman"/>
          <w:b/>
          <w:u w:val="single"/>
        </w:rPr>
      </w:pPr>
      <w:r w:rsidRPr="000A6F69">
        <w:rPr>
          <w:rFonts w:ascii="Times New Roman" w:eastAsia="Calibri" w:hAnsi="Times New Roman" w:cs="Times New Roman"/>
          <w:b/>
          <w:u w:val="single"/>
        </w:rPr>
        <w:t>Options for Application Structure and Contents</w:t>
      </w:r>
    </w:p>
    <w:p w14:paraId="65E61C5C"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Public Advocates Office proposes two different alternatives for the CAEECC’s consideration.  Both proposals assume the developing CAEECC consensus for a shorter, fixed-term funding cycle.</w:t>
      </w:r>
    </w:p>
    <w:p w14:paraId="47DADED9" w14:textId="77777777" w:rsidR="000A6F69" w:rsidRPr="000A6F69" w:rsidRDefault="000A6F69" w:rsidP="000A6F69">
      <w:pPr>
        <w:spacing w:after="200" w:line="276" w:lineRule="auto"/>
        <w:rPr>
          <w:rFonts w:ascii="Times New Roman" w:eastAsia="Calibri" w:hAnsi="Times New Roman" w:cs="Times New Roman"/>
          <w:b/>
        </w:rPr>
      </w:pPr>
      <w:r w:rsidRPr="000A6F69">
        <w:rPr>
          <w:rFonts w:ascii="Times New Roman" w:eastAsia="Calibri" w:hAnsi="Times New Roman" w:cs="Times New Roman"/>
          <w:b/>
          <w:i/>
        </w:rPr>
        <w:t>Option 1: Robust Reasonableness Showing with Full-Cycle Budget, Savings, and Cost-Effectiveness</w:t>
      </w:r>
    </w:p>
    <w:p w14:paraId="32A3F41D"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 xml:space="preserve">This option is similar in concept to the current budget, savings, and cost-effectiveness forecasts included in current and past EE applications, except that the Commission would require </w:t>
      </w:r>
      <w:r w:rsidRPr="000A6F69">
        <w:rPr>
          <w:rFonts w:ascii="Times New Roman" w:eastAsia="Calibri" w:hAnsi="Times New Roman" w:cs="Times New Roman"/>
        </w:rPr>
        <w:lastRenderedPageBreak/>
        <w:t>additional detail in the applicant showing to ensure a robust and sufficient record to inform Commission decisions.</w:t>
      </w:r>
    </w:p>
    <w:p w14:paraId="56D8C8BC"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 xml:space="preserve">As noted above, a cornerstone of the required showing for either proposed option is a zero-based budgeting exercise, wherein the applicant would justify in detailed testimony the reasonableness and prudence of all forecasted expenditures.  This would include a detailed presentation of forecast costs in all significant cost categories (e.g. labor/non-labor/capital/contract costs; admin/implementation/marketing costs; sector by sector costs, etc.).  While zero-based, the budget showing would also be required to include comparisons to recent program expenditures in the relevant budget categories in order to assess trends and adjust for changing circumstances.  As in all application proceedings, the burden would rest with the applicant to demonstrate the reasonableness of the relief requested. </w:t>
      </w:r>
    </w:p>
    <w:p w14:paraId="5599CA15"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For this option, the detailed budget testimony and supporting workpapers and exhibits would cover all years in the full application cycle.  Similarly, the savings and cost-effectiveness showings would require detailed testimony on the inputs, assumptions, and methods embedded in the forecast as well as the reasonableness of the forecast results.  In addition, testimony and exhibits would be required to demonstrate the reasonableness of the forecasts in light of historical performance, including realization rates, impact evaluation adjustments, and other relevant information.</w:t>
      </w:r>
    </w:p>
    <w:p w14:paraId="07EA7627"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 xml:space="preserve">In this option, the Commission would approve funding for the full application cycle in its decision, including the associated revenue requirement for each year in the cycle.  </w:t>
      </w:r>
    </w:p>
    <w:p w14:paraId="48C36692"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For this option, one feature to note is that because this review and approval would cover all years in the cycle, the longer the cycle the more difficult it will be for the applicant to produce a credible forecast.</w:t>
      </w:r>
    </w:p>
    <w:p w14:paraId="0B42D5EB" w14:textId="77777777" w:rsidR="000A6F69" w:rsidRPr="000A6F69" w:rsidRDefault="000A6F69" w:rsidP="000A6F69">
      <w:pPr>
        <w:spacing w:after="200" w:line="276" w:lineRule="auto"/>
        <w:rPr>
          <w:rFonts w:ascii="Times New Roman" w:eastAsia="Calibri" w:hAnsi="Times New Roman" w:cs="Times New Roman"/>
          <w:i/>
        </w:rPr>
      </w:pPr>
      <w:r w:rsidRPr="000A6F69">
        <w:rPr>
          <w:rFonts w:ascii="Times New Roman" w:eastAsia="Calibri" w:hAnsi="Times New Roman" w:cs="Times New Roman"/>
          <w:b/>
          <w:i/>
        </w:rPr>
        <w:t>Option 2: Robust Reasonableness Showing with Test Year and Attrition Years</w:t>
      </w:r>
    </w:p>
    <w:p w14:paraId="1E155AE9"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 xml:space="preserve">In this option, the applicant showing would similar in requirements to that outlined for Option 1, including zero-based budgeting, detailed testimony and showings on budget, savings, and cost-effectiveness.  However, the detailed showing would only cover the first year (known as the “test year”) of the application cycle.  </w:t>
      </w:r>
    </w:p>
    <w:p w14:paraId="344D5B83"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 xml:space="preserve">Budgets for subsequent years in the application cycle (also known as “attrition years”) would be based on the approved budget for the first year, adjusted by a limited range of factors.  These would include significant known and planned adjustments (e.g. a measure or group of measures accounting for significant savings going into code) and could include </w:t>
      </w:r>
      <w:proofErr w:type="gramStart"/>
      <w:r w:rsidRPr="000A6F69">
        <w:rPr>
          <w:rFonts w:ascii="Times New Roman" w:eastAsia="Calibri" w:hAnsi="Times New Roman" w:cs="Times New Roman"/>
        </w:rPr>
        <w:t>an</w:t>
      </w:r>
      <w:proofErr w:type="gramEnd"/>
      <w:r w:rsidRPr="000A6F69">
        <w:rPr>
          <w:rFonts w:ascii="Times New Roman" w:eastAsia="Calibri" w:hAnsi="Times New Roman" w:cs="Times New Roman"/>
        </w:rPr>
        <w:t xml:space="preserve"> small escalation factor if appropriate.</w:t>
      </w:r>
    </w:p>
    <w:p w14:paraId="16BC7347"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lastRenderedPageBreak/>
        <w:t>In this option, the Commission would approve funding for the test year in its decision as well as any adjustments to that budget for subsequent years in the cycle and the associated revenue requirements for each year.</w:t>
      </w:r>
    </w:p>
    <w:p w14:paraId="569F3798"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For this option, one feature to note is that it assumes that the test year is representative of full-cycle funding needs and that spending is largely stable over the course of the cycle.  Significant changes in the EE ecosystem affecting budgets, savings, and cost-effectiveness may be challenging in a test year/attrition year format, particularly if they occur on different timescales than the application cycle.</w:t>
      </w:r>
    </w:p>
    <w:p w14:paraId="3524A307" w14:textId="77777777" w:rsidR="000A6F69" w:rsidRPr="000A6F69" w:rsidRDefault="000A6F69" w:rsidP="000A6F69">
      <w:pPr>
        <w:spacing w:after="200" w:line="276" w:lineRule="auto"/>
        <w:rPr>
          <w:rFonts w:ascii="Times New Roman" w:eastAsia="Calibri" w:hAnsi="Times New Roman" w:cs="Times New Roman"/>
          <w:b/>
          <w:u w:val="single"/>
        </w:rPr>
      </w:pPr>
      <w:r w:rsidRPr="000A6F69">
        <w:rPr>
          <w:rFonts w:ascii="Times New Roman" w:eastAsia="Calibri" w:hAnsi="Times New Roman" w:cs="Times New Roman"/>
          <w:b/>
          <w:u w:val="single"/>
        </w:rPr>
        <w:t>Options for Mid-Cycle Reviews and Filings</w:t>
      </w:r>
    </w:p>
    <w:p w14:paraId="598F1118"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Public Advocates Office proposes several different alternatives for the CAEECC’s consideration.  The options in this section are not specifically tied to the application format chosen and can be mixed and matched as appropriate for the purpose at hand.</w:t>
      </w:r>
    </w:p>
    <w:p w14:paraId="608F9F7B" w14:textId="77777777" w:rsidR="000A6F69" w:rsidRPr="000A6F69" w:rsidRDefault="000A6F69" w:rsidP="000A6F69">
      <w:pPr>
        <w:spacing w:after="200" w:line="276" w:lineRule="auto"/>
        <w:rPr>
          <w:rFonts w:ascii="Times New Roman" w:eastAsia="Calibri" w:hAnsi="Times New Roman" w:cs="Times New Roman"/>
          <w:b/>
          <w:bCs/>
          <w:i/>
          <w:iCs/>
        </w:rPr>
      </w:pPr>
      <w:r w:rsidRPr="000A6F69">
        <w:rPr>
          <w:rFonts w:ascii="Times New Roman" w:eastAsia="Calibri" w:hAnsi="Times New Roman" w:cs="Times New Roman"/>
          <w:b/>
          <w:bCs/>
          <w:i/>
          <w:iCs/>
        </w:rPr>
        <w:t>Option A: Mid-Cycle Petition for Modification</w:t>
      </w:r>
    </w:p>
    <w:p w14:paraId="00E622C1"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Petitions for modification (PFMs) are useful for allowing formal consideration (including record building) to support material changes to determinations made in the application proceeding decision.  In terms of the application options above, a PFM may be an appropriate vehicle for the Commission to consider updated forecasts that affect budget, savings, and cost-effectiveness showings, particularly for longer budget cycles.</w:t>
      </w:r>
    </w:p>
    <w:p w14:paraId="17CFFD43"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A PFM could be used for an incremental budgeting exercise in which the applicant requests modifications to the basis and results of the previously-approved budgets at mid-cycle in response to new or updated information.</w:t>
      </w:r>
    </w:p>
    <w:p w14:paraId="2133C132" w14:textId="77777777" w:rsidR="000A6F69" w:rsidRPr="000A6F69" w:rsidRDefault="000A6F69" w:rsidP="000A6F69">
      <w:pPr>
        <w:spacing w:after="200" w:line="276" w:lineRule="auto"/>
        <w:rPr>
          <w:rFonts w:ascii="Times New Roman" w:eastAsia="Calibri" w:hAnsi="Times New Roman" w:cs="Times New Roman"/>
          <w:b/>
          <w:bCs/>
          <w:i/>
          <w:iCs/>
        </w:rPr>
      </w:pPr>
      <w:r w:rsidRPr="000A6F69">
        <w:rPr>
          <w:rFonts w:ascii="Times New Roman" w:eastAsia="Calibri" w:hAnsi="Times New Roman" w:cs="Times New Roman"/>
          <w:b/>
          <w:bCs/>
          <w:i/>
          <w:iCs/>
        </w:rPr>
        <w:t>Option B: Mid-Cycle Tier 3 Advice Letter</w:t>
      </w:r>
    </w:p>
    <w:p w14:paraId="59874F93" w14:textId="77777777" w:rsidR="000A6F69" w:rsidRPr="000A6F69" w:rsidRDefault="000A6F69" w:rsidP="000A6F69">
      <w:pPr>
        <w:spacing w:after="200" w:line="276" w:lineRule="auto"/>
        <w:rPr>
          <w:rFonts w:ascii="Times New Roman" w:eastAsia="Calibri" w:hAnsi="Times New Roman" w:cs="Times New Roman"/>
        </w:rPr>
      </w:pPr>
      <w:r w:rsidRPr="000A6F69">
        <w:rPr>
          <w:rFonts w:ascii="Times New Roman" w:eastAsia="Calibri" w:hAnsi="Times New Roman" w:cs="Times New Roman"/>
        </w:rPr>
        <w:t xml:space="preserve">A mid-cycle Tier 3 advice letter would be an appropriate vehicle for making budget changes that do not require modification of the basis and result of the previously-approved budgets.  For example, a Tier 3 advice letter could be used to change funding levels in response to a Commission decision in another proceeding such as an EE rulemaking that alter funding needs but do not fundamentally change the basis or results of the previously-approved application.  This is particularly useful for adding or subtracting discrete activities at mid-cycle. </w:t>
      </w:r>
    </w:p>
    <w:p w14:paraId="3704A9A2" w14:textId="77777777" w:rsidR="000A6F69" w:rsidRPr="000A6F69" w:rsidRDefault="000A6F69" w:rsidP="000A6F69">
      <w:pPr>
        <w:spacing w:after="200" w:line="276" w:lineRule="auto"/>
        <w:rPr>
          <w:rFonts w:ascii="Times New Roman" w:eastAsia="Calibri" w:hAnsi="Times New Roman" w:cs="Times New Roman"/>
          <w:b/>
          <w:bCs/>
          <w:i/>
          <w:iCs/>
        </w:rPr>
      </w:pPr>
      <w:r w:rsidRPr="000A6F69">
        <w:rPr>
          <w:rFonts w:ascii="Times New Roman" w:eastAsia="Calibri" w:hAnsi="Times New Roman" w:cs="Times New Roman"/>
          <w:b/>
          <w:bCs/>
          <w:i/>
          <w:iCs/>
        </w:rPr>
        <w:t>Option C: Annual Tier 1 Advice Letter</w:t>
      </w:r>
    </w:p>
    <w:p w14:paraId="48EC8B4F" w14:textId="55D301D4" w:rsidR="000A6F69" w:rsidRDefault="000A6F69" w:rsidP="000A6F69">
      <w:pPr>
        <w:spacing w:after="200" w:line="276" w:lineRule="auto"/>
        <w:rPr>
          <w:rFonts w:ascii="Times New Roman" w:eastAsia="Calibri" w:hAnsi="Times New Roman" w:cs="Times New Roman"/>
          <w:bCs/>
        </w:rPr>
      </w:pPr>
      <w:r w:rsidRPr="000A6F69">
        <w:rPr>
          <w:rFonts w:ascii="Times New Roman" w:eastAsia="Calibri" w:hAnsi="Times New Roman" w:cs="Times New Roman"/>
          <w:bCs/>
        </w:rPr>
        <w:t xml:space="preserve">An annual Tier 1 advice letter would be an appropriate vehicle for reporting information to the Commission.  It is a ministerial submission and should not affect budgets, savings, or cost-effectiveness forecasts.  Potential uses include performance reporting and revising revenue requirements due to unspent funds.  A Tier 1 advice letter could also be an appropriate vehicle </w:t>
      </w:r>
      <w:r w:rsidRPr="000A6F69">
        <w:rPr>
          <w:rFonts w:ascii="Times New Roman" w:eastAsia="Calibri" w:hAnsi="Times New Roman" w:cs="Times New Roman"/>
          <w:bCs/>
        </w:rPr>
        <w:lastRenderedPageBreak/>
        <w:t>for reporting on trigger events and informing the Commission if/when those triggers have been met.</w:t>
      </w:r>
    </w:p>
    <w:p w14:paraId="1AFA01A0" w14:textId="041D2847" w:rsidR="000A6F69" w:rsidRDefault="000A6F69">
      <w:pPr>
        <w:rPr>
          <w:rFonts w:ascii="Times New Roman" w:eastAsia="Calibri" w:hAnsi="Times New Roman" w:cs="Times New Roman"/>
          <w:bCs/>
        </w:rPr>
      </w:pPr>
      <w:r>
        <w:rPr>
          <w:rFonts w:ascii="Times New Roman" w:eastAsia="Calibri" w:hAnsi="Times New Roman" w:cs="Times New Roman"/>
          <w:bCs/>
        </w:rPr>
        <w:br w:type="page"/>
      </w:r>
    </w:p>
    <w:p w14:paraId="01475E7F" w14:textId="471CA75A" w:rsidR="000A6F69" w:rsidRPr="000A6F69" w:rsidRDefault="000A6F69" w:rsidP="000A6F69">
      <w:pPr>
        <w:shd w:val="clear" w:color="auto" w:fill="FFFFFF"/>
        <w:jc w:val="center"/>
        <w:rPr>
          <w:rFonts w:ascii="Times New Roman" w:eastAsia="Times New Roman" w:hAnsi="Times New Roman" w:cs="Times New Roman"/>
          <w:b/>
          <w:bCs/>
          <w:color w:val="222222"/>
          <w:sz w:val="28"/>
          <w:szCs w:val="28"/>
        </w:rPr>
      </w:pPr>
      <w:r w:rsidRPr="000A6F69">
        <w:rPr>
          <w:rFonts w:ascii="Times New Roman" w:eastAsia="Times New Roman" w:hAnsi="Times New Roman" w:cs="Times New Roman"/>
          <w:b/>
          <w:bCs/>
          <w:color w:val="222222"/>
          <w:sz w:val="28"/>
          <w:szCs w:val="28"/>
        </w:rPr>
        <w:lastRenderedPageBreak/>
        <w:t>Appendix B: 4 v. 6 Year Cycle: Pros/Cons and Assumptions for Discussion</w:t>
      </w:r>
    </w:p>
    <w:p w14:paraId="2A00D0FB" w14:textId="77777777" w:rsidR="000A6F69" w:rsidRPr="00DE5640" w:rsidRDefault="000A6F69" w:rsidP="000A6F69">
      <w:pPr>
        <w:shd w:val="clear" w:color="auto" w:fill="FFFFFF"/>
        <w:jc w:val="center"/>
        <w:rPr>
          <w:rFonts w:ascii="Arial" w:eastAsia="Times New Roman" w:hAnsi="Arial" w:cs="Arial"/>
          <w:color w:val="222222"/>
          <w:sz w:val="28"/>
          <w:szCs w:val="28"/>
        </w:rPr>
      </w:pPr>
    </w:p>
    <w:tbl>
      <w:tblPr>
        <w:tblW w:w="10700" w:type="dxa"/>
        <w:shd w:val="clear" w:color="auto" w:fill="FFFFFF"/>
        <w:tblCellMar>
          <w:left w:w="0" w:type="dxa"/>
          <w:right w:w="0" w:type="dxa"/>
        </w:tblCellMar>
        <w:tblLook w:val="04A0" w:firstRow="1" w:lastRow="0" w:firstColumn="1" w:lastColumn="0" w:noHBand="0" w:noVBand="1"/>
      </w:tblPr>
      <w:tblGrid>
        <w:gridCol w:w="1981"/>
        <w:gridCol w:w="2059"/>
        <w:gridCol w:w="2340"/>
        <w:gridCol w:w="2250"/>
        <w:gridCol w:w="2070"/>
      </w:tblGrid>
      <w:tr w:rsidR="000A6F69" w:rsidRPr="00643518" w14:paraId="5FB4B4FA" w14:textId="77777777" w:rsidTr="00F1166C">
        <w:tc>
          <w:tcPr>
            <w:tcW w:w="19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C5DF26A" w14:textId="77777777" w:rsidR="000A6F69" w:rsidRPr="00643518" w:rsidRDefault="000A6F69" w:rsidP="00F1166C">
            <w:pPr>
              <w:spacing w:line="207" w:lineRule="atLeast"/>
              <w:jc w:val="center"/>
              <w:rPr>
                <w:rFonts w:ascii="Helvetica" w:eastAsia="Times New Roman" w:hAnsi="Helvetica" w:cs="Arial"/>
                <w:color w:val="222222"/>
              </w:rPr>
            </w:pPr>
            <w:r w:rsidRPr="00643518">
              <w:rPr>
                <w:rFonts w:ascii="Helvetica" w:eastAsia="Times New Roman" w:hAnsi="Helvetica" w:cs="Arial"/>
                <w:b/>
                <w:bCs/>
                <w:color w:val="222222"/>
              </w:rPr>
              <w:t>Topic</w:t>
            </w:r>
          </w:p>
        </w:tc>
        <w:tc>
          <w:tcPr>
            <w:tcW w:w="439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29D1EB" w14:textId="77777777" w:rsidR="000A6F69" w:rsidRPr="00643518" w:rsidRDefault="000A6F69" w:rsidP="00F1166C">
            <w:pPr>
              <w:spacing w:line="207" w:lineRule="atLeast"/>
              <w:jc w:val="center"/>
              <w:rPr>
                <w:rFonts w:ascii="Helvetica" w:eastAsia="Times New Roman" w:hAnsi="Helvetica" w:cs="Arial"/>
                <w:color w:val="222222"/>
              </w:rPr>
            </w:pPr>
            <w:r w:rsidRPr="00643518">
              <w:rPr>
                <w:rFonts w:ascii="Helvetica" w:eastAsia="Times New Roman" w:hAnsi="Helvetica" w:cs="Arial"/>
                <w:b/>
                <w:bCs/>
                <w:color w:val="222222"/>
              </w:rPr>
              <w:t xml:space="preserve">4 </w:t>
            </w:r>
            <w:r>
              <w:rPr>
                <w:rFonts w:ascii="Helvetica" w:eastAsia="Times New Roman" w:hAnsi="Helvetica" w:cs="Arial"/>
                <w:b/>
                <w:bCs/>
                <w:color w:val="222222"/>
              </w:rPr>
              <w:t>Y</w:t>
            </w:r>
            <w:r w:rsidRPr="00643518">
              <w:rPr>
                <w:rFonts w:ascii="Helvetica" w:eastAsia="Times New Roman" w:hAnsi="Helvetica" w:cs="Arial"/>
                <w:b/>
                <w:bCs/>
                <w:color w:val="222222"/>
              </w:rPr>
              <w:t xml:space="preserve">ear </w:t>
            </w:r>
            <w:r>
              <w:rPr>
                <w:rFonts w:ascii="Helvetica" w:eastAsia="Times New Roman" w:hAnsi="Helvetica" w:cs="Arial"/>
                <w:b/>
                <w:bCs/>
                <w:color w:val="222222"/>
              </w:rPr>
              <w:t>C</w:t>
            </w:r>
            <w:r w:rsidRPr="00643518">
              <w:rPr>
                <w:rFonts w:ascii="Helvetica" w:eastAsia="Times New Roman" w:hAnsi="Helvetica" w:cs="Arial"/>
                <w:b/>
                <w:bCs/>
                <w:color w:val="222222"/>
              </w:rPr>
              <w:t>ycle</w:t>
            </w:r>
          </w:p>
        </w:tc>
        <w:tc>
          <w:tcPr>
            <w:tcW w:w="432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E66FAEA" w14:textId="77777777" w:rsidR="000A6F69" w:rsidRPr="00643518" w:rsidRDefault="000A6F69" w:rsidP="00F1166C">
            <w:pPr>
              <w:spacing w:line="207" w:lineRule="atLeast"/>
              <w:jc w:val="center"/>
              <w:rPr>
                <w:rFonts w:ascii="Helvetica" w:eastAsia="Times New Roman" w:hAnsi="Helvetica" w:cs="Arial"/>
                <w:color w:val="222222"/>
              </w:rPr>
            </w:pPr>
            <w:r w:rsidRPr="00643518">
              <w:rPr>
                <w:rFonts w:ascii="Helvetica" w:eastAsia="Times New Roman" w:hAnsi="Helvetica" w:cs="Arial"/>
                <w:b/>
                <w:bCs/>
                <w:color w:val="222222"/>
              </w:rPr>
              <w:t xml:space="preserve">6 </w:t>
            </w:r>
            <w:r>
              <w:rPr>
                <w:rFonts w:ascii="Helvetica" w:eastAsia="Times New Roman" w:hAnsi="Helvetica" w:cs="Arial"/>
                <w:b/>
                <w:bCs/>
                <w:color w:val="222222"/>
              </w:rPr>
              <w:t>Y</w:t>
            </w:r>
            <w:r w:rsidRPr="00643518">
              <w:rPr>
                <w:rFonts w:ascii="Helvetica" w:eastAsia="Times New Roman" w:hAnsi="Helvetica" w:cs="Arial"/>
                <w:b/>
                <w:bCs/>
                <w:color w:val="222222"/>
              </w:rPr>
              <w:t xml:space="preserve">ear </w:t>
            </w:r>
            <w:r>
              <w:rPr>
                <w:rFonts w:ascii="Helvetica" w:eastAsia="Times New Roman" w:hAnsi="Helvetica" w:cs="Arial"/>
                <w:b/>
                <w:bCs/>
                <w:color w:val="222222"/>
              </w:rPr>
              <w:t>C</w:t>
            </w:r>
            <w:r w:rsidRPr="00643518">
              <w:rPr>
                <w:rFonts w:ascii="Helvetica" w:eastAsia="Times New Roman" w:hAnsi="Helvetica" w:cs="Arial"/>
                <w:b/>
                <w:bCs/>
                <w:color w:val="222222"/>
              </w:rPr>
              <w:t>ycle</w:t>
            </w:r>
          </w:p>
        </w:tc>
      </w:tr>
      <w:tr w:rsidR="000A6F69" w:rsidRPr="00643518" w14:paraId="6B23F937" w14:textId="77777777" w:rsidTr="00F1166C">
        <w:tc>
          <w:tcPr>
            <w:tcW w:w="19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28FD016"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w:t>
            </w:r>
          </w:p>
        </w:tc>
        <w:tc>
          <w:tcPr>
            <w:tcW w:w="20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E99BB"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b/>
                <w:bCs/>
                <w:color w:val="222222"/>
              </w:rPr>
              <w:t>Pro</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CC8E8C"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b/>
                <w:bCs/>
                <w:color w:val="222222"/>
              </w:rPr>
              <w:t>Con</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85751E"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b/>
                <w:bCs/>
                <w:color w:val="222222"/>
              </w:rPr>
              <w:t>Pro</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AB4B8"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b/>
                <w:bCs/>
                <w:color w:val="222222"/>
              </w:rPr>
              <w:t>Con</w:t>
            </w:r>
          </w:p>
        </w:tc>
      </w:tr>
      <w:tr w:rsidR="000A6F69" w:rsidRPr="00643518" w14:paraId="784CFF10" w14:textId="77777777" w:rsidTr="00F1166C">
        <w:tc>
          <w:tcPr>
            <w:tcW w:w="19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1CB547" w14:textId="77777777" w:rsidR="000A6F69"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Reliability of forecast</w:t>
            </w:r>
          </w:p>
          <w:p w14:paraId="0E636034" w14:textId="77777777" w:rsidR="000A6F69" w:rsidRPr="00643518" w:rsidRDefault="000A6F69" w:rsidP="00F1166C">
            <w:pPr>
              <w:spacing w:line="207" w:lineRule="atLeast"/>
              <w:rPr>
                <w:rFonts w:ascii="Helvetica" w:eastAsia="Times New Roman" w:hAnsi="Helvetica" w:cs="Arial"/>
                <w:color w:val="222222"/>
              </w:rPr>
            </w:pPr>
          </w:p>
        </w:tc>
        <w:tc>
          <w:tcPr>
            <w:tcW w:w="20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E6497"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More reliable</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15A316"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E5F9B"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68444"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Less reliable</w:t>
            </w:r>
          </w:p>
        </w:tc>
      </w:tr>
      <w:tr w:rsidR="000A6F69" w:rsidRPr="00643518" w14:paraId="5921F12D" w14:textId="77777777" w:rsidTr="00F1166C">
        <w:tc>
          <w:tcPr>
            <w:tcW w:w="19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CE20B43"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Sufficient time to develop, vet, approve any mid cycle filing</w:t>
            </w:r>
            <w:r>
              <w:rPr>
                <w:rFonts w:ascii="Helvetica" w:eastAsia="Times New Roman" w:hAnsi="Helvetica" w:cs="Arial"/>
                <w:color w:val="222222"/>
              </w:rPr>
              <w:t xml:space="preserve">. </w:t>
            </w:r>
          </w:p>
        </w:tc>
        <w:tc>
          <w:tcPr>
            <w:tcW w:w="20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6EC52"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4DD9B" w14:textId="77777777" w:rsidR="000A6F69" w:rsidRDefault="000A6F69" w:rsidP="00F1166C">
            <w:pPr>
              <w:spacing w:line="207" w:lineRule="atLeast"/>
              <w:rPr>
                <w:rFonts w:ascii="Helvetica" w:eastAsia="Times New Roman" w:hAnsi="Helvetica" w:cs="Arial"/>
                <w:color w:val="222222"/>
              </w:rPr>
            </w:pPr>
            <w:r>
              <w:rPr>
                <w:rFonts w:ascii="Helvetica" w:eastAsia="Times New Roman" w:hAnsi="Helvetica" w:cs="Arial"/>
                <w:color w:val="222222"/>
              </w:rPr>
              <w:t>Mid-cycle review would result in back-to-back filings. (S</w:t>
            </w:r>
            <w:r w:rsidRPr="00643518">
              <w:rPr>
                <w:rFonts w:ascii="Helvetica" w:eastAsia="Times New Roman" w:hAnsi="Helvetica" w:cs="Arial"/>
                <w:color w:val="222222"/>
              </w:rPr>
              <w:t xml:space="preserve">tart </w:t>
            </w:r>
            <w:r>
              <w:rPr>
                <w:rFonts w:ascii="Helvetica" w:eastAsia="Times New Roman" w:hAnsi="Helvetica" w:cs="Arial"/>
                <w:color w:val="222222"/>
              </w:rPr>
              <w:t>mid-cycle filing</w:t>
            </w:r>
            <w:r w:rsidRPr="00643518">
              <w:rPr>
                <w:rFonts w:ascii="Helvetica" w:eastAsia="Times New Roman" w:hAnsi="Helvetica" w:cs="Arial"/>
                <w:color w:val="222222"/>
              </w:rPr>
              <w:t xml:space="preserve"> </w:t>
            </w:r>
            <w:r>
              <w:rPr>
                <w:rFonts w:ascii="Helvetica" w:eastAsia="Times New Roman" w:hAnsi="Helvetica" w:cs="Arial"/>
                <w:color w:val="222222"/>
              </w:rPr>
              <w:t>process</w:t>
            </w:r>
            <w:r w:rsidRPr="00643518">
              <w:rPr>
                <w:rFonts w:ascii="Helvetica" w:eastAsia="Times New Roman" w:hAnsi="Helvetica" w:cs="Arial"/>
                <w:color w:val="222222"/>
              </w:rPr>
              <w:t xml:space="preserve"> </w:t>
            </w:r>
            <w:r>
              <w:rPr>
                <w:rFonts w:ascii="Helvetica" w:eastAsia="Times New Roman" w:hAnsi="Helvetica" w:cs="Arial"/>
                <w:color w:val="222222"/>
              </w:rPr>
              <w:t>~</w:t>
            </w:r>
            <w:r w:rsidRPr="00643518">
              <w:rPr>
                <w:rFonts w:ascii="Helvetica" w:eastAsia="Times New Roman" w:hAnsi="Helvetica" w:cs="Arial"/>
                <w:color w:val="222222"/>
              </w:rPr>
              <w:t xml:space="preserve">Q2 of N+1 </w:t>
            </w:r>
            <w:r>
              <w:rPr>
                <w:rFonts w:ascii="Helvetica" w:eastAsia="Times New Roman" w:hAnsi="Helvetica" w:cs="Arial"/>
                <w:color w:val="222222"/>
              </w:rPr>
              <w:t>[~</w:t>
            </w:r>
            <w:r w:rsidRPr="00643518">
              <w:rPr>
                <w:rFonts w:ascii="Helvetica" w:eastAsia="Times New Roman" w:hAnsi="Helvetica" w:cs="Arial"/>
                <w:color w:val="222222"/>
              </w:rPr>
              <w:t>15</w:t>
            </w:r>
            <w:r>
              <w:rPr>
                <w:rFonts w:ascii="Helvetica" w:eastAsia="Times New Roman" w:hAnsi="Helvetica" w:cs="Arial"/>
                <w:color w:val="222222"/>
              </w:rPr>
              <w:t xml:space="preserve"> </w:t>
            </w:r>
            <w:r w:rsidRPr="00643518">
              <w:rPr>
                <w:rFonts w:ascii="Helvetica" w:eastAsia="Times New Roman" w:hAnsi="Helvetica" w:cs="Arial"/>
                <w:color w:val="222222"/>
              </w:rPr>
              <w:t>months into cycle</w:t>
            </w:r>
            <w:r>
              <w:rPr>
                <w:rFonts w:ascii="Helvetica" w:eastAsia="Times New Roman" w:hAnsi="Helvetica" w:cs="Arial"/>
                <w:color w:val="222222"/>
              </w:rPr>
              <w:t>]</w:t>
            </w:r>
            <w:r w:rsidRPr="00643518">
              <w:rPr>
                <w:rFonts w:ascii="Helvetica" w:eastAsia="Times New Roman" w:hAnsi="Helvetica" w:cs="Arial"/>
                <w:color w:val="222222"/>
              </w:rPr>
              <w:t xml:space="preserve"> in order to file before start of N+2</w:t>
            </w:r>
            <w:r>
              <w:rPr>
                <w:rFonts w:ascii="Helvetica" w:eastAsia="Times New Roman" w:hAnsi="Helvetica" w:cs="Arial"/>
                <w:color w:val="222222"/>
              </w:rPr>
              <w:t xml:space="preserve">.) </w:t>
            </w:r>
          </w:p>
          <w:p w14:paraId="0D2658A8" w14:textId="77777777" w:rsidR="000A6F69" w:rsidRPr="00643518" w:rsidRDefault="000A6F69" w:rsidP="00F1166C">
            <w:pPr>
              <w:spacing w:line="207" w:lineRule="atLeast"/>
              <w:rPr>
                <w:rFonts w:ascii="Helvetica" w:eastAsia="Times New Roman" w:hAnsi="Helvetica" w:cs="Arial"/>
                <w:color w:val="222222"/>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23D43D" w14:textId="77777777" w:rsidR="000A6F69" w:rsidRPr="00643518" w:rsidRDefault="000A6F69" w:rsidP="00F1166C">
            <w:pPr>
              <w:spacing w:line="207" w:lineRule="atLeast"/>
              <w:rPr>
                <w:rFonts w:ascii="Helvetica" w:eastAsia="Times New Roman" w:hAnsi="Helvetica" w:cs="Arial"/>
                <w:color w:val="222222"/>
              </w:rPr>
            </w:pPr>
            <w:r>
              <w:rPr>
                <w:rFonts w:ascii="Helvetica" w:eastAsia="Times New Roman" w:hAnsi="Helvetica" w:cs="Arial"/>
                <w:color w:val="222222"/>
              </w:rPr>
              <w:t xml:space="preserve">Sufficient time to file a mid-cycle review. </w:t>
            </w:r>
            <w:r w:rsidRPr="00643518">
              <w:rPr>
                <w:rFonts w:ascii="Helvetica" w:eastAsia="Times New Roman" w:hAnsi="Helvetica" w:cs="Arial"/>
                <w:color w:val="222222"/>
              </w:rPr>
              <w:t xml:space="preserve">Start </w:t>
            </w:r>
            <w:r>
              <w:rPr>
                <w:rFonts w:ascii="Helvetica" w:eastAsia="Times New Roman" w:hAnsi="Helvetica" w:cs="Arial"/>
                <w:color w:val="222222"/>
              </w:rPr>
              <w:t xml:space="preserve">mid-cycle filing </w:t>
            </w:r>
            <w:r w:rsidRPr="00643518">
              <w:rPr>
                <w:rFonts w:ascii="Helvetica" w:eastAsia="Times New Roman" w:hAnsi="Helvetica" w:cs="Arial"/>
                <w:color w:val="222222"/>
              </w:rPr>
              <w:t>process after N+2</w:t>
            </w:r>
            <w:r>
              <w:rPr>
                <w:rFonts w:ascii="Helvetica" w:eastAsia="Times New Roman" w:hAnsi="Helvetica" w:cs="Arial"/>
                <w:color w:val="222222"/>
              </w:rPr>
              <w:t>. H</w:t>
            </w:r>
            <w:r w:rsidRPr="00643518">
              <w:rPr>
                <w:rFonts w:ascii="Helvetica" w:eastAsia="Times New Roman" w:hAnsi="Helvetica" w:cs="Arial"/>
                <w:color w:val="222222"/>
              </w:rPr>
              <w:t>ave 2 years of data to assess if/what goes in filing</w:t>
            </w:r>
            <w:r>
              <w:rPr>
                <w:rFonts w:ascii="Helvetica" w:eastAsia="Times New Roman" w:hAnsi="Helvetica" w:cs="Arial"/>
                <w:color w:val="222222"/>
              </w:rPr>
              <w:t xml:space="preserve">.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91EC45"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w:t>
            </w:r>
          </w:p>
        </w:tc>
      </w:tr>
      <w:tr w:rsidR="000A6F69" w:rsidRPr="00643518" w14:paraId="4CC673B5" w14:textId="77777777" w:rsidTr="00F1166C">
        <w:tc>
          <w:tcPr>
            <w:tcW w:w="19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62E2A96"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Market certainty</w:t>
            </w:r>
            <w:r>
              <w:rPr>
                <w:rFonts w:ascii="Helvetica" w:eastAsia="Times New Roman" w:hAnsi="Helvetica" w:cs="Arial"/>
                <w:color w:val="222222"/>
              </w:rPr>
              <w:t xml:space="preserve"> </w:t>
            </w:r>
          </w:p>
        </w:tc>
        <w:tc>
          <w:tcPr>
            <w:tcW w:w="20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246ACD"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21F7B0"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xml:space="preserve">Less </w:t>
            </w:r>
            <w:proofErr w:type="gramStart"/>
            <w:r w:rsidRPr="00643518">
              <w:rPr>
                <w:rFonts w:ascii="Helvetica" w:eastAsia="Times New Roman" w:hAnsi="Helvetica" w:cs="Arial"/>
                <w:color w:val="222222"/>
              </w:rPr>
              <w:t>long term</w:t>
            </w:r>
            <w:proofErr w:type="gramEnd"/>
            <w:r w:rsidRPr="00643518">
              <w:rPr>
                <w:rFonts w:ascii="Helvetica" w:eastAsia="Times New Roman" w:hAnsi="Helvetica" w:cs="Arial"/>
                <w:color w:val="222222"/>
              </w:rPr>
              <w:t xml:space="preserve"> certainty</w:t>
            </w:r>
            <w:r>
              <w:rPr>
                <w:rFonts w:ascii="Helvetica" w:eastAsia="Times New Roman" w:hAnsi="Helvetica" w:cs="Arial"/>
                <w:color w:val="222222"/>
              </w:rPr>
              <w:t xml:space="preserve"> for implementers</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80423"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xml:space="preserve">All else equal </w:t>
            </w:r>
            <w:proofErr w:type="gramStart"/>
            <w:r w:rsidRPr="00643518">
              <w:rPr>
                <w:rFonts w:ascii="Helvetica" w:eastAsia="Times New Roman" w:hAnsi="Helvetica" w:cs="Arial"/>
                <w:color w:val="222222"/>
              </w:rPr>
              <w:t>longer term</w:t>
            </w:r>
            <w:proofErr w:type="gramEnd"/>
            <w:r w:rsidRPr="00643518">
              <w:rPr>
                <w:rFonts w:ascii="Helvetica" w:eastAsia="Times New Roman" w:hAnsi="Helvetica" w:cs="Arial"/>
                <w:color w:val="222222"/>
              </w:rPr>
              <w:t xml:space="preserve"> budget “no</w:t>
            </w:r>
            <w:r>
              <w:rPr>
                <w:rFonts w:ascii="Helvetica" w:eastAsia="Times New Roman" w:hAnsi="Helvetica" w:cs="Arial"/>
                <w:color w:val="222222"/>
              </w:rPr>
              <w:t>t</w:t>
            </w:r>
            <w:r w:rsidRPr="00643518">
              <w:rPr>
                <w:rFonts w:ascii="Helvetica" w:eastAsia="Times New Roman" w:hAnsi="Helvetica" w:cs="Arial"/>
                <w:color w:val="222222"/>
              </w:rPr>
              <w:t xml:space="preserve"> to exceed” provides more certainty</w:t>
            </w:r>
            <w:r>
              <w:rPr>
                <w:rFonts w:ascii="Helvetica" w:eastAsia="Times New Roman" w:hAnsi="Helvetica" w:cs="Arial"/>
                <w:color w:val="222222"/>
              </w:rPr>
              <w:t xml:space="preserve"> for implementers</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38D74"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w:t>
            </w:r>
          </w:p>
        </w:tc>
      </w:tr>
      <w:tr w:rsidR="000A6F69" w:rsidRPr="00643518" w14:paraId="768D0C05" w14:textId="77777777" w:rsidTr="00F1166C">
        <w:tc>
          <w:tcPr>
            <w:tcW w:w="19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451B50D"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Responsiveness to market and policy changes</w:t>
            </w:r>
          </w:p>
        </w:tc>
        <w:tc>
          <w:tcPr>
            <w:tcW w:w="20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9BACCE"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More responsive (though a mid</w:t>
            </w:r>
            <w:r>
              <w:rPr>
                <w:rFonts w:ascii="Helvetica" w:eastAsia="Times New Roman" w:hAnsi="Helvetica" w:cs="Arial"/>
                <w:color w:val="222222"/>
              </w:rPr>
              <w:t>-</w:t>
            </w:r>
            <w:r w:rsidRPr="00643518">
              <w:rPr>
                <w:rFonts w:ascii="Helvetica" w:eastAsia="Times New Roman" w:hAnsi="Helvetica" w:cs="Arial"/>
                <w:color w:val="222222"/>
              </w:rPr>
              <w:t xml:space="preserve">cycle </w:t>
            </w:r>
            <w:r>
              <w:rPr>
                <w:rFonts w:ascii="Helvetica" w:eastAsia="Times New Roman" w:hAnsi="Helvetica" w:cs="Arial"/>
                <w:color w:val="222222"/>
              </w:rPr>
              <w:t xml:space="preserve">filing </w:t>
            </w:r>
            <w:r w:rsidRPr="00643518">
              <w:rPr>
                <w:rFonts w:ascii="Helvetica" w:eastAsia="Times New Roman" w:hAnsi="Helvetica" w:cs="Arial"/>
                <w:color w:val="222222"/>
              </w:rPr>
              <w:t>could also address how PA will adjust)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1490E"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C7F6B"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 </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D103D7" w14:textId="77777777" w:rsidR="000A6F69" w:rsidRPr="00643518" w:rsidRDefault="000A6F69" w:rsidP="00F1166C">
            <w:pPr>
              <w:spacing w:line="207" w:lineRule="atLeast"/>
              <w:rPr>
                <w:rFonts w:ascii="Helvetica" w:eastAsia="Times New Roman" w:hAnsi="Helvetica" w:cs="Arial"/>
                <w:color w:val="222222"/>
              </w:rPr>
            </w:pPr>
            <w:r w:rsidRPr="00643518">
              <w:rPr>
                <w:rFonts w:ascii="Helvetica" w:eastAsia="Times New Roman" w:hAnsi="Helvetica" w:cs="Arial"/>
                <w:color w:val="222222"/>
              </w:rPr>
              <w:t>Slower to respond (though a mid</w:t>
            </w:r>
            <w:r>
              <w:rPr>
                <w:rFonts w:ascii="Helvetica" w:eastAsia="Times New Roman" w:hAnsi="Helvetica" w:cs="Arial"/>
                <w:color w:val="222222"/>
              </w:rPr>
              <w:t>-</w:t>
            </w:r>
            <w:r w:rsidRPr="00643518">
              <w:rPr>
                <w:rFonts w:ascii="Helvetica" w:eastAsia="Times New Roman" w:hAnsi="Helvetica" w:cs="Arial"/>
                <w:color w:val="222222"/>
              </w:rPr>
              <w:t xml:space="preserve">cycle </w:t>
            </w:r>
            <w:r>
              <w:rPr>
                <w:rFonts w:ascii="Helvetica" w:eastAsia="Times New Roman" w:hAnsi="Helvetica" w:cs="Arial"/>
                <w:color w:val="222222"/>
              </w:rPr>
              <w:t xml:space="preserve">filing </w:t>
            </w:r>
            <w:r w:rsidRPr="00643518">
              <w:rPr>
                <w:rFonts w:ascii="Helvetica" w:eastAsia="Times New Roman" w:hAnsi="Helvetica" w:cs="Arial"/>
                <w:color w:val="222222"/>
              </w:rPr>
              <w:t>could also address how PA will adjust)</w:t>
            </w:r>
          </w:p>
        </w:tc>
      </w:tr>
    </w:tbl>
    <w:p w14:paraId="1C130F82" w14:textId="77777777" w:rsidR="000A6F69" w:rsidRPr="00643518" w:rsidRDefault="000A6F69" w:rsidP="000A6F69">
      <w:pPr>
        <w:shd w:val="clear" w:color="auto" w:fill="FFFFFF"/>
        <w:rPr>
          <w:rFonts w:ascii="Arial" w:eastAsia="Times New Roman" w:hAnsi="Arial" w:cs="Arial"/>
          <w:color w:val="222222"/>
        </w:rPr>
      </w:pPr>
      <w:r w:rsidRPr="00643518">
        <w:rPr>
          <w:rFonts w:ascii="Arial" w:eastAsia="Times New Roman" w:hAnsi="Arial" w:cs="Arial"/>
          <w:color w:val="222222"/>
        </w:rPr>
        <w:t> </w:t>
      </w:r>
    </w:p>
    <w:p w14:paraId="2246B316" w14:textId="77777777" w:rsidR="000A6F69" w:rsidRPr="00643518" w:rsidRDefault="000A6F69" w:rsidP="000A6F69">
      <w:pPr>
        <w:shd w:val="clear" w:color="auto" w:fill="FFFFFF"/>
        <w:rPr>
          <w:rFonts w:ascii="Arial" w:eastAsia="Times New Roman" w:hAnsi="Arial" w:cs="Arial"/>
          <w:color w:val="222222"/>
        </w:rPr>
      </w:pPr>
      <w:r w:rsidRPr="00643518">
        <w:rPr>
          <w:rFonts w:ascii="Arial" w:eastAsia="Times New Roman" w:hAnsi="Arial" w:cs="Arial"/>
          <w:color w:val="222222"/>
        </w:rPr>
        <w:t>Assumption items for discussion</w:t>
      </w:r>
      <w:r>
        <w:rPr>
          <w:rFonts w:ascii="Arial" w:eastAsia="Times New Roman" w:hAnsi="Arial" w:cs="Arial"/>
          <w:color w:val="222222"/>
        </w:rPr>
        <w:t>:</w:t>
      </w:r>
    </w:p>
    <w:p w14:paraId="0D512A10" w14:textId="77777777" w:rsidR="000A6F69" w:rsidRPr="00643518" w:rsidRDefault="000A6F69" w:rsidP="000A6F69">
      <w:pPr>
        <w:numPr>
          <w:ilvl w:val="0"/>
          <w:numId w:val="11"/>
        </w:numPr>
        <w:shd w:val="clear" w:color="auto" w:fill="FFFFFF"/>
        <w:spacing w:before="100" w:beforeAutospacing="1" w:after="100" w:afterAutospacing="1"/>
        <w:rPr>
          <w:rFonts w:ascii="Arial" w:eastAsia="Times New Roman" w:hAnsi="Arial" w:cs="Arial"/>
          <w:color w:val="222222"/>
        </w:rPr>
      </w:pPr>
      <w:r w:rsidRPr="00643518">
        <w:rPr>
          <w:rFonts w:ascii="Arial" w:eastAsia="Times New Roman" w:hAnsi="Arial" w:cs="Arial"/>
          <w:color w:val="222222"/>
        </w:rPr>
        <w:t>Hold ACC and goals at time of application constant for duration of cycle</w:t>
      </w:r>
      <w:r>
        <w:rPr>
          <w:rFonts w:ascii="Arial" w:eastAsia="Times New Roman" w:hAnsi="Arial" w:cs="Arial"/>
          <w:color w:val="222222"/>
        </w:rPr>
        <w:t xml:space="preserve"> </w:t>
      </w:r>
    </w:p>
    <w:p w14:paraId="7DC75DD5" w14:textId="77777777" w:rsidR="000A6F69" w:rsidRPr="00643518" w:rsidRDefault="000A6F69" w:rsidP="000A6F69">
      <w:pPr>
        <w:numPr>
          <w:ilvl w:val="0"/>
          <w:numId w:val="11"/>
        </w:numPr>
        <w:shd w:val="clear" w:color="auto" w:fill="FFFFFF"/>
        <w:spacing w:before="100" w:beforeAutospacing="1" w:after="100" w:afterAutospacing="1"/>
        <w:rPr>
          <w:rFonts w:ascii="Arial" w:eastAsia="Times New Roman" w:hAnsi="Arial" w:cs="Arial"/>
          <w:color w:val="222222"/>
        </w:rPr>
      </w:pPr>
      <w:r w:rsidRPr="00643518">
        <w:rPr>
          <w:rFonts w:ascii="Arial" w:eastAsia="Times New Roman" w:hAnsi="Arial" w:cs="Arial"/>
          <w:color w:val="222222"/>
        </w:rPr>
        <w:t>Should this apply to ISP and DEER at measure level as well?</w:t>
      </w:r>
    </w:p>
    <w:p w14:paraId="6467B328" w14:textId="77777777" w:rsidR="000A6F69" w:rsidRPr="00643518" w:rsidRDefault="000A6F69" w:rsidP="000A6F69">
      <w:pPr>
        <w:numPr>
          <w:ilvl w:val="0"/>
          <w:numId w:val="11"/>
        </w:numPr>
        <w:shd w:val="clear" w:color="auto" w:fill="FFFFFF"/>
        <w:spacing w:before="100" w:beforeAutospacing="1" w:after="100" w:afterAutospacing="1"/>
        <w:rPr>
          <w:rFonts w:ascii="Arial" w:eastAsia="Times New Roman" w:hAnsi="Arial" w:cs="Arial"/>
          <w:color w:val="222222"/>
        </w:rPr>
      </w:pPr>
      <w:r w:rsidRPr="00643518">
        <w:rPr>
          <w:rFonts w:ascii="Arial" w:eastAsia="Times New Roman" w:hAnsi="Arial" w:cs="Arial"/>
          <w:color w:val="222222"/>
        </w:rPr>
        <w:t>Code changes accounted for within the cycle</w:t>
      </w:r>
    </w:p>
    <w:p w14:paraId="7950EC41" w14:textId="77777777" w:rsidR="000A6F69" w:rsidRPr="00B85D0F" w:rsidRDefault="000A6F69" w:rsidP="000A6F69">
      <w:pPr>
        <w:rPr>
          <w:rFonts w:ascii="Calibri" w:hAnsi="Calibri" w:cs="Calibri"/>
        </w:rPr>
      </w:pPr>
    </w:p>
    <w:p w14:paraId="6D9ED467" w14:textId="77777777" w:rsidR="000A6F69" w:rsidRPr="000A6F69" w:rsidRDefault="000A6F69" w:rsidP="000A6F69">
      <w:pPr>
        <w:spacing w:after="200" w:line="276" w:lineRule="auto"/>
        <w:rPr>
          <w:rFonts w:ascii="Times New Roman" w:eastAsia="Calibri" w:hAnsi="Times New Roman" w:cs="Times New Roman"/>
          <w:bCs/>
        </w:rPr>
      </w:pPr>
    </w:p>
    <w:p w14:paraId="35A93F46" w14:textId="314D0D60" w:rsidR="000A6F69" w:rsidRDefault="000A6F69">
      <w:pPr>
        <w:rPr>
          <w:rFonts w:ascii="Times New Roman" w:eastAsia="Calibri" w:hAnsi="Times New Roman" w:cs="Times New Roman"/>
        </w:rPr>
      </w:pPr>
      <w:r>
        <w:rPr>
          <w:rFonts w:ascii="Times New Roman" w:eastAsia="Calibri" w:hAnsi="Times New Roman" w:cs="Times New Roman"/>
        </w:rPr>
        <w:br w:type="page"/>
      </w:r>
    </w:p>
    <w:p w14:paraId="7406E201" w14:textId="77777777" w:rsidR="000A6F69" w:rsidRPr="000A6F69" w:rsidRDefault="000A6F69" w:rsidP="000A6F69">
      <w:pPr>
        <w:spacing w:after="200" w:line="276" w:lineRule="auto"/>
        <w:rPr>
          <w:rFonts w:ascii="Times New Roman" w:eastAsia="Calibri" w:hAnsi="Times New Roman" w:cs="Times New Roman"/>
        </w:rPr>
      </w:pPr>
    </w:p>
    <w:p w14:paraId="14B27BEB" w14:textId="570ABA3C" w:rsidR="000A6F69" w:rsidRDefault="000A6F69" w:rsidP="000A6F69">
      <w:pPr>
        <w:jc w:val="center"/>
        <w:rPr>
          <w:rFonts w:ascii="Times New Roman" w:eastAsia="Times New Roman" w:hAnsi="Times New Roman" w:cs="Times New Roman"/>
          <w:b/>
          <w:bCs/>
          <w:color w:val="222222"/>
          <w:sz w:val="28"/>
          <w:szCs w:val="28"/>
        </w:rPr>
      </w:pPr>
      <w:r w:rsidRPr="000A6F69">
        <w:rPr>
          <w:rFonts w:ascii="Times New Roman" w:eastAsia="Times New Roman" w:hAnsi="Times New Roman" w:cs="Times New Roman"/>
          <w:b/>
          <w:bCs/>
          <w:color w:val="222222"/>
          <w:sz w:val="28"/>
          <w:szCs w:val="28"/>
        </w:rPr>
        <w:t>Appendix</w:t>
      </w:r>
      <w:r>
        <w:rPr>
          <w:rFonts w:ascii="Times New Roman" w:eastAsia="Times New Roman" w:hAnsi="Times New Roman" w:cs="Times New Roman"/>
          <w:b/>
          <w:bCs/>
          <w:color w:val="222222"/>
          <w:sz w:val="28"/>
          <w:szCs w:val="28"/>
        </w:rPr>
        <w:t xml:space="preserve"> C: EE Cycle Options</w:t>
      </w:r>
    </w:p>
    <w:p w14:paraId="5197855C" w14:textId="3CE3F409" w:rsidR="000A6F69" w:rsidRDefault="000A6F69" w:rsidP="00810122">
      <w:pPr>
        <w:rPr>
          <w:rFonts w:ascii="Times New Roman" w:eastAsia="Times New Roman" w:hAnsi="Times New Roman" w:cs="Times New Roman"/>
          <w:b/>
          <w:bCs/>
          <w:color w:val="222222"/>
          <w:sz w:val="28"/>
          <w:szCs w:val="28"/>
        </w:rPr>
      </w:pPr>
    </w:p>
    <w:p w14:paraId="5E2EB6F0" w14:textId="77777777" w:rsidR="000A6F69" w:rsidRPr="000A6F69" w:rsidRDefault="000A6F69" w:rsidP="000A6F69">
      <w:pPr>
        <w:rPr>
          <w:rFonts w:cs="Times New Roman"/>
        </w:rPr>
      </w:pPr>
      <w:r w:rsidRPr="000A6F69">
        <w:rPr>
          <w:rFonts w:cs="Times New Roman"/>
        </w:rPr>
        <w:t>General Assumptions</w:t>
      </w:r>
    </w:p>
    <w:p w14:paraId="412CF0C0" w14:textId="77777777" w:rsidR="000A6F69" w:rsidRPr="000A6F69" w:rsidRDefault="000A6F69" w:rsidP="000A6F69">
      <w:pPr>
        <w:rPr>
          <w:rFonts w:cs="Times New Roman"/>
        </w:rPr>
      </w:pPr>
    </w:p>
    <w:p w14:paraId="741CCE3D" w14:textId="77777777" w:rsidR="000A6F69" w:rsidRPr="000A6F69" w:rsidRDefault="000A6F69" w:rsidP="000A6F69">
      <w:pPr>
        <w:rPr>
          <w:rFonts w:cs="Times New Roman"/>
        </w:rPr>
      </w:pPr>
      <w:r w:rsidRPr="000A6F69">
        <w:rPr>
          <w:rFonts w:cs="Times New Roman"/>
        </w:rPr>
        <w:t xml:space="preserve">(1) Presents a general sketch of the 2 options, 4 year and </w:t>
      </w:r>
      <w:proofErr w:type="gramStart"/>
      <w:r w:rsidRPr="000A6F69">
        <w:rPr>
          <w:rFonts w:cs="Times New Roman"/>
        </w:rPr>
        <w:t>6 year</w:t>
      </w:r>
      <w:proofErr w:type="gramEnd"/>
      <w:r w:rsidRPr="000A6F69">
        <w:rPr>
          <w:rFonts w:cs="Times New Roman"/>
        </w:rPr>
        <w:t xml:space="preserve"> cycles.</w:t>
      </w:r>
    </w:p>
    <w:p w14:paraId="1020E7DC" w14:textId="77777777" w:rsidR="000A6F69" w:rsidRPr="000A6F69" w:rsidRDefault="000A6F69" w:rsidP="000A6F69">
      <w:pPr>
        <w:rPr>
          <w:rFonts w:cs="Times New Roman"/>
        </w:rPr>
      </w:pPr>
      <w:r w:rsidRPr="000A6F69">
        <w:rPr>
          <w:rFonts w:cs="Times New Roman"/>
        </w:rPr>
        <w:t>(2) Does not include all the Bus Stops, only those that are pertinent to the planning process.</w:t>
      </w:r>
    </w:p>
    <w:p w14:paraId="596B9366" w14:textId="77777777" w:rsidR="000A6F69" w:rsidRPr="000A6F69" w:rsidRDefault="000A6F69" w:rsidP="000A6F69">
      <w:pPr>
        <w:rPr>
          <w:rFonts w:cs="Times New Roman"/>
        </w:rPr>
      </w:pPr>
      <w:r w:rsidRPr="000A6F69">
        <w:rPr>
          <w:rFonts w:cs="Times New Roman"/>
        </w:rPr>
        <w:t>(3) "N" represents the first year of portfolio implementation.  It can be replaced with the year we agree is the start year for the new process.</w:t>
      </w:r>
    </w:p>
    <w:p w14:paraId="0F029DE7" w14:textId="77777777" w:rsidR="000A6F69" w:rsidRPr="000A6F69" w:rsidRDefault="000A6F69" w:rsidP="000A6F69">
      <w:pPr>
        <w:rPr>
          <w:rFonts w:cs="Times New Roman"/>
        </w:rPr>
      </w:pPr>
      <w:r w:rsidRPr="000A6F69">
        <w:rPr>
          <w:rFonts w:cs="Times New Roman"/>
        </w:rPr>
        <w:t>(4) The schedule does not include the Stakeholder input process since we are addressing that topic separately.  Once we agree to the process, it can be added to the schedule.</w:t>
      </w:r>
    </w:p>
    <w:p w14:paraId="1015E067" w14:textId="46E74990" w:rsidR="000A6F69" w:rsidRDefault="000A6F69" w:rsidP="000A6F69">
      <w:pPr>
        <w:rPr>
          <w:rFonts w:cs="Times New Roman"/>
        </w:rPr>
      </w:pPr>
      <w:r w:rsidRPr="000A6F69">
        <w:rPr>
          <w:rFonts w:cs="Times New Roman"/>
        </w:rPr>
        <w:t>(5) Based on discussions, there are options for a biennial update AL during the cycle and an option to file an update AL based on triggers.</w:t>
      </w:r>
    </w:p>
    <w:p w14:paraId="4F06DC98" w14:textId="55499633" w:rsidR="000A6F69" w:rsidRDefault="000A6F69" w:rsidP="000A6F69">
      <w:pPr>
        <w:rPr>
          <w:rFonts w:cs="Times New Roman"/>
        </w:rPr>
      </w:pPr>
    </w:p>
    <w:p w14:paraId="0313FA59" w14:textId="31FDFB65" w:rsidR="000A6F69" w:rsidRDefault="000A6F69" w:rsidP="000A6F69">
      <w:pPr>
        <w:rPr>
          <w:rFonts w:cs="Times New Roman"/>
        </w:rPr>
      </w:pPr>
    </w:p>
    <w:p w14:paraId="008BEDA3" w14:textId="0EFBA7CC" w:rsidR="000A6F69" w:rsidRDefault="00F23D62" w:rsidP="000A6F69">
      <w:pPr>
        <w:rPr>
          <w:rFonts w:cs="Times New Roman"/>
        </w:rPr>
      </w:pPr>
      <w:r w:rsidRPr="00F23D62">
        <w:rPr>
          <w:rFonts w:cs="Times New Roman"/>
          <w:noProof/>
        </w:rPr>
        <w:drawing>
          <wp:inline distT="0" distB="0" distL="0" distR="0" wp14:anchorId="783C108F" wp14:editId="745F8198">
            <wp:extent cx="5943600" cy="4410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10710"/>
                    </a:xfrm>
                    <a:prstGeom prst="rect">
                      <a:avLst/>
                    </a:prstGeom>
                  </pic:spPr>
                </pic:pic>
              </a:graphicData>
            </a:graphic>
          </wp:inline>
        </w:drawing>
      </w:r>
    </w:p>
    <w:p w14:paraId="6760EF16" w14:textId="28B2DA7A" w:rsidR="00F23D62" w:rsidRDefault="00F23D62" w:rsidP="000A6F69">
      <w:pPr>
        <w:rPr>
          <w:rFonts w:cs="Times New Roman"/>
        </w:rPr>
      </w:pPr>
    </w:p>
    <w:p w14:paraId="70743FC7" w14:textId="07037AFD" w:rsidR="00F23D62" w:rsidRDefault="00F23D62" w:rsidP="000A6F69">
      <w:pPr>
        <w:rPr>
          <w:rFonts w:cs="Times New Roman"/>
        </w:rPr>
      </w:pPr>
      <w:r w:rsidRPr="00F23D62">
        <w:rPr>
          <w:rFonts w:cs="Times New Roman"/>
          <w:noProof/>
        </w:rPr>
        <w:lastRenderedPageBreak/>
        <w:drawing>
          <wp:inline distT="0" distB="0" distL="0" distR="0" wp14:anchorId="2B91F6E1" wp14:editId="667DB46B">
            <wp:extent cx="5943600" cy="4410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10710"/>
                    </a:xfrm>
                    <a:prstGeom prst="rect">
                      <a:avLst/>
                    </a:prstGeom>
                  </pic:spPr>
                </pic:pic>
              </a:graphicData>
            </a:graphic>
          </wp:inline>
        </w:drawing>
      </w:r>
    </w:p>
    <w:p w14:paraId="096AEAC7" w14:textId="2C481E6A" w:rsidR="000A6F69" w:rsidRDefault="000A6F69" w:rsidP="000A6F69">
      <w:pPr>
        <w:rPr>
          <w:rFonts w:cs="Times New Roman"/>
        </w:rPr>
      </w:pPr>
    </w:p>
    <w:p w14:paraId="65C39A8D" w14:textId="77A2229C" w:rsidR="000A6F69" w:rsidRDefault="000A6F69" w:rsidP="000A6F69">
      <w:pPr>
        <w:rPr>
          <w:rFonts w:cs="Times New Roman"/>
        </w:rPr>
      </w:pPr>
    </w:p>
    <w:p w14:paraId="35B633A7" w14:textId="77777777" w:rsidR="000A6F69" w:rsidRDefault="000A6F69" w:rsidP="000A6F69">
      <w:pPr>
        <w:rPr>
          <w:rFonts w:cs="Times New Roman"/>
        </w:rPr>
      </w:pPr>
    </w:p>
    <w:p w14:paraId="714B7B35" w14:textId="77C2A52C" w:rsidR="000A6F69" w:rsidRDefault="000A6F69" w:rsidP="000A6F69">
      <w:pPr>
        <w:rPr>
          <w:rFonts w:cs="Times New Roman"/>
        </w:rPr>
      </w:pPr>
    </w:p>
    <w:p w14:paraId="0147922F" w14:textId="31BFB8AB" w:rsidR="000A6F69" w:rsidRDefault="000A6F69" w:rsidP="000A6F69">
      <w:pPr>
        <w:rPr>
          <w:rFonts w:cs="Times New Roman"/>
        </w:rPr>
      </w:pPr>
    </w:p>
    <w:p w14:paraId="231C3651" w14:textId="6B28FFD3" w:rsidR="000A6F69" w:rsidRPr="007D47A4" w:rsidRDefault="000A6F69" w:rsidP="000A6F69">
      <w:pPr>
        <w:rPr>
          <w:rFonts w:cs="Times New Roman"/>
        </w:rPr>
      </w:pPr>
    </w:p>
    <w:sectPr w:rsidR="000A6F69" w:rsidRPr="007D47A4" w:rsidSect="00A54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F900" w14:textId="77777777" w:rsidR="003262E8" w:rsidRDefault="003262E8" w:rsidP="007D47A4">
      <w:r>
        <w:separator/>
      </w:r>
    </w:p>
  </w:endnote>
  <w:endnote w:type="continuationSeparator" w:id="0">
    <w:p w14:paraId="25FF83FE" w14:textId="77777777" w:rsidR="003262E8" w:rsidRDefault="003262E8" w:rsidP="007D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5684" w14:textId="77777777" w:rsidR="003262E8" w:rsidRDefault="003262E8" w:rsidP="007D47A4">
      <w:r>
        <w:separator/>
      </w:r>
    </w:p>
  </w:footnote>
  <w:footnote w:type="continuationSeparator" w:id="0">
    <w:p w14:paraId="650AFAEE" w14:textId="77777777" w:rsidR="003262E8" w:rsidRDefault="003262E8" w:rsidP="007D47A4">
      <w:r>
        <w:continuationSeparator/>
      </w:r>
    </w:p>
  </w:footnote>
  <w:footnote w:id="1">
    <w:p w14:paraId="40B91DBF" w14:textId="27363CB7" w:rsidR="006529DD" w:rsidRPr="00B067D3" w:rsidRDefault="006529DD">
      <w:pPr>
        <w:pStyle w:val="FootnoteText"/>
        <w:rPr>
          <w:highlight w:val="yellow"/>
        </w:rPr>
      </w:pPr>
      <w:r w:rsidRPr="00B067D3">
        <w:rPr>
          <w:rStyle w:val="FootnoteReference"/>
        </w:rPr>
        <w:footnoteRef/>
      </w:r>
      <w:r w:rsidRPr="00B067D3">
        <w:t xml:space="preserve"> </w:t>
      </w:r>
      <w:r w:rsidR="005F08AD" w:rsidRPr="00B067D3">
        <w:t>The term “EE Budget Application” is used here to represent a portfolio/budget/</w:t>
      </w:r>
      <w:r w:rsidR="00021B63" w:rsidRPr="00B067D3">
        <w:t>EE</w:t>
      </w:r>
      <w:r w:rsidR="005F08AD" w:rsidRPr="00B067D3">
        <w:t xml:space="preserve"> application that would replace what was previously called the </w:t>
      </w:r>
      <w:r w:rsidR="00EB1DAA" w:rsidRPr="00B067D3">
        <w:t>Business Plan</w:t>
      </w:r>
      <w:r w:rsidR="005F08AD" w:rsidRPr="00B067D3">
        <w:t xml:space="preserve"> (the timing and details of the transition still to be discussed). The Business Plan was a type of application which had a specific format for a 10-yr cycle; the EE Budget Application would </w:t>
      </w:r>
      <w:r w:rsidR="00021B63" w:rsidRPr="00B067D3">
        <w:t xml:space="preserve">be for a shorter period and </w:t>
      </w:r>
      <w:r w:rsidR="005F08AD" w:rsidRPr="00B067D3">
        <w:t>take a different format</w:t>
      </w:r>
      <w:r w:rsidR="00021B63" w:rsidRPr="00B067D3">
        <w:t xml:space="preserve"> and level of detail</w:t>
      </w:r>
      <w:r w:rsidR="005F08AD" w:rsidRPr="00B067D3">
        <w:t xml:space="preserve">. </w:t>
      </w:r>
    </w:p>
  </w:footnote>
  <w:footnote w:id="2">
    <w:p w14:paraId="49707C64" w14:textId="687A1A7C" w:rsidR="00D75851" w:rsidRDefault="00D75851">
      <w:pPr>
        <w:pStyle w:val="FootnoteText"/>
      </w:pPr>
      <w:r>
        <w:rPr>
          <w:rStyle w:val="FootnoteReference"/>
        </w:rPr>
        <w:footnoteRef/>
      </w:r>
      <w:r>
        <w:t xml:space="preserve"> Budgets for attrition years are usually decided up front in the application decision, so no additional filings would be required.  An additional filing would only be needed if the PA was requesting a deviation from what was initially approved for the attrition years.</w:t>
      </w:r>
    </w:p>
  </w:footnote>
  <w:footnote w:id="3">
    <w:p w14:paraId="5C1541F1" w14:textId="615B74D0" w:rsidR="006529DD" w:rsidRDefault="006529DD">
      <w:pPr>
        <w:pStyle w:val="FootnoteText"/>
      </w:pPr>
      <w:r w:rsidRPr="002B37AB">
        <w:rPr>
          <w:rStyle w:val="FootnoteReference"/>
        </w:rPr>
        <w:footnoteRef/>
      </w:r>
      <w:r w:rsidRPr="002B37AB">
        <w:t xml:space="preserve"> To be confirmed</w:t>
      </w:r>
    </w:p>
  </w:footnote>
  <w:footnote w:id="4">
    <w:p w14:paraId="134A6BAF" w14:textId="0A107A9A" w:rsidR="00D75851" w:rsidRDefault="00D75851">
      <w:pPr>
        <w:pStyle w:val="FootnoteText"/>
      </w:pPr>
      <w:r>
        <w:rPr>
          <w:rStyle w:val="FootnoteReference"/>
        </w:rPr>
        <w:footnoteRef/>
      </w:r>
      <w:r>
        <w:t xml:space="preserve"> </w:t>
      </w:r>
      <w:r>
        <w:rPr>
          <w:rFonts w:cs="Times New Roman"/>
        </w:rPr>
        <w:t>The Sub-WG#1 w</w:t>
      </w:r>
      <w:r w:rsidR="00152DA3">
        <w:rPr>
          <w:rFonts w:cs="Times New Roman"/>
        </w:rPr>
        <w:t xml:space="preserve">ould like to discuss with the Working Group the merits of using forward-looking vs. </w:t>
      </w:r>
      <w:r w:rsidR="00021B63">
        <w:rPr>
          <w:rFonts w:cs="Times New Roman"/>
        </w:rPr>
        <w:t xml:space="preserve">(or in addition to) </w:t>
      </w:r>
      <w:r w:rsidR="00152DA3">
        <w:rPr>
          <w:rFonts w:cs="Times New Roman"/>
        </w:rPr>
        <w:t>backward-looking triggers.</w:t>
      </w:r>
    </w:p>
  </w:footnote>
  <w:footnote w:id="5">
    <w:p w14:paraId="38ED37A6" w14:textId="77777777" w:rsidR="000A6F69" w:rsidRDefault="000A6F69" w:rsidP="000A6F69">
      <w:pPr>
        <w:pStyle w:val="FootnoteText"/>
      </w:pPr>
      <w:r>
        <w:rPr>
          <w:rStyle w:val="FootnoteReference"/>
        </w:rPr>
        <w:footnoteRef/>
      </w:r>
      <w:r>
        <w:t xml:space="preserve"> </w:t>
      </w:r>
      <w:r w:rsidRPr="00B10D65">
        <w:rPr>
          <w:rFonts w:ascii="Times New Roman" w:hAnsi="Times New Roman" w:cs="Times New Roman"/>
          <w:sz w:val="20"/>
          <w:szCs w:val="20"/>
        </w:rPr>
        <w:t>Zero-based budgeting is a method of budgeting in which all expenses must be justified for each new period. The process of zero-based budgeting starts from a "zero base," and every function within an organization is analyzed for its needs and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4EF"/>
    <w:multiLevelType w:val="hybridMultilevel"/>
    <w:tmpl w:val="951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7014E"/>
    <w:multiLevelType w:val="hybridMultilevel"/>
    <w:tmpl w:val="7A80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02C46"/>
    <w:multiLevelType w:val="hybridMultilevel"/>
    <w:tmpl w:val="7C3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0567D"/>
    <w:multiLevelType w:val="hybridMultilevel"/>
    <w:tmpl w:val="7764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E44EC"/>
    <w:multiLevelType w:val="hybridMultilevel"/>
    <w:tmpl w:val="A43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22724"/>
    <w:multiLevelType w:val="hybridMultilevel"/>
    <w:tmpl w:val="B39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10CE2"/>
    <w:multiLevelType w:val="hybridMultilevel"/>
    <w:tmpl w:val="16FAE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BC2778"/>
    <w:multiLevelType w:val="hybridMultilevel"/>
    <w:tmpl w:val="856C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F28D2"/>
    <w:multiLevelType w:val="hybridMultilevel"/>
    <w:tmpl w:val="7128A2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5857AD"/>
    <w:multiLevelType w:val="multilevel"/>
    <w:tmpl w:val="889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8D106D"/>
    <w:multiLevelType w:val="hybridMultilevel"/>
    <w:tmpl w:val="8FE4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6"/>
  </w:num>
  <w:num w:numId="6">
    <w:abstractNumId w:val="5"/>
  </w:num>
  <w:num w:numId="7">
    <w:abstractNumId w:val="3"/>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8B"/>
    <w:rsid w:val="00021B63"/>
    <w:rsid w:val="000A6F69"/>
    <w:rsid w:val="000C488E"/>
    <w:rsid w:val="00152DA3"/>
    <w:rsid w:val="00167793"/>
    <w:rsid w:val="001C4268"/>
    <w:rsid w:val="002B37AB"/>
    <w:rsid w:val="003262E8"/>
    <w:rsid w:val="0036633E"/>
    <w:rsid w:val="00455F85"/>
    <w:rsid w:val="00527BCD"/>
    <w:rsid w:val="005F08AD"/>
    <w:rsid w:val="0065109A"/>
    <w:rsid w:val="006529DD"/>
    <w:rsid w:val="0074735F"/>
    <w:rsid w:val="00761824"/>
    <w:rsid w:val="0077208B"/>
    <w:rsid w:val="007D47A4"/>
    <w:rsid w:val="007F7AB7"/>
    <w:rsid w:val="00810122"/>
    <w:rsid w:val="00827704"/>
    <w:rsid w:val="008909A9"/>
    <w:rsid w:val="008A0968"/>
    <w:rsid w:val="0093042A"/>
    <w:rsid w:val="00A546B5"/>
    <w:rsid w:val="00A60E00"/>
    <w:rsid w:val="00B067D3"/>
    <w:rsid w:val="00B95B4B"/>
    <w:rsid w:val="00BF327F"/>
    <w:rsid w:val="00C31278"/>
    <w:rsid w:val="00C91314"/>
    <w:rsid w:val="00CB2B53"/>
    <w:rsid w:val="00D07ACA"/>
    <w:rsid w:val="00D75851"/>
    <w:rsid w:val="00D87DBD"/>
    <w:rsid w:val="00DB1863"/>
    <w:rsid w:val="00EB1DAA"/>
    <w:rsid w:val="00F23D62"/>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4F010"/>
  <w15:docId w15:val="{6FA4331E-2535-E448-A583-CC07E44F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8B"/>
    <w:pPr>
      <w:ind w:left="720"/>
      <w:contextualSpacing/>
    </w:pPr>
  </w:style>
  <w:style w:type="paragraph" w:styleId="BalloonText">
    <w:name w:val="Balloon Text"/>
    <w:basedOn w:val="Normal"/>
    <w:link w:val="BalloonTextChar"/>
    <w:uiPriority w:val="99"/>
    <w:semiHidden/>
    <w:unhideWhenUsed/>
    <w:rsid w:val="007720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08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0122"/>
    <w:rPr>
      <w:sz w:val="16"/>
      <w:szCs w:val="16"/>
    </w:rPr>
  </w:style>
  <w:style w:type="paragraph" w:styleId="CommentText">
    <w:name w:val="annotation text"/>
    <w:basedOn w:val="Normal"/>
    <w:link w:val="CommentTextChar"/>
    <w:uiPriority w:val="99"/>
    <w:semiHidden/>
    <w:unhideWhenUsed/>
    <w:rsid w:val="00810122"/>
    <w:rPr>
      <w:sz w:val="20"/>
      <w:szCs w:val="20"/>
    </w:rPr>
  </w:style>
  <w:style w:type="character" w:customStyle="1" w:styleId="CommentTextChar">
    <w:name w:val="Comment Text Char"/>
    <w:basedOn w:val="DefaultParagraphFont"/>
    <w:link w:val="CommentText"/>
    <w:uiPriority w:val="99"/>
    <w:semiHidden/>
    <w:rsid w:val="00810122"/>
    <w:rPr>
      <w:sz w:val="20"/>
      <w:szCs w:val="20"/>
    </w:rPr>
  </w:style>
  <w:style w:type="paragraph" w:styleId="CommentSubject">
    <w:name w:val="annotation subject"/>
    <w:basedOn w:val="CommentText"/>
    <w:next w:val="CommentText"/>
    <w:link w:val="CommentSubjectChar"/>
    <w:uiPriority w:val="99"/>
    <w:semiHidden/>
    <w:unhideWhenUsed/>
    <w:rsid w:val="00810122"/>
    <w:rPr>
      <w:b/>
      <w:bCs/>
    </w:rPr>
  </w:style>
  <w:style w:type="character" w:customStyle="1" w:styleId="CommentSubjectChar">
    <w:name w:val="Comment Subject Char"/>
    <w:basedOn w:val="CommentTextChar"/>
    <w:link w:val="CommentSubject"/>
    <w:uiPriority w:val="99"/>
    <w:semiHidden/>
    <w:rsid w:val="00810122"/>
    <w:rPr>
      <w:b/>
      <w:bCs/>
      <w:sz w:val="20"/>
      <w:szCs w:val="20"/>
    </w:rPr>
  </w:style>
  <w:style w:type="paragraph" w:styleId="FootnoteText">
    <w:name w:val="footnote text"/>
    <w:basedOn w:val="Normal"/>
    <w:link w:val="FootnoteTextChar"/>
    <w:uiPriority w:val="99"/>
    <w:unhideWhenUsed/>
    <w:rsid w:val="007D47A4"/>
  </w:style>
  <w:style w:type="character" w:customStyle="1" w:styleId="FootnoteTextChar">
    <w:name w:val="Footnote Text Char"/>
    <w:basedOn w:val="DefaultParagraphFont"/>
    <w:link w:val="FootnoteText"/>
    <w:uiPriority w:val="99"/>
    <w:rsid w:val="007D47A4"/>
  </w:style>
  <w:style w:type="character" w:styleId="FootnoteReference">
    <w:name w:val="footnote reference"/>
    <w:basedOn w:val="DefaultParagraphFont"/>
    <w:uiPriority w:val="99"/>
    <w:unhideWhenUsed/>
    <w:rsid w:val="007D47A4"/>
    <w:rPr>
      <w:vertAlign w:val="superscript"/>
    </w:rPr>
  </w:style>
  <w:style w:type="paragraph" w:styleId="Revision">
    <w:name w:val="Revision"/>
    <w:hidden/>
    <w:uiPriority w:val="99"/>
    <w:semiHidden/>
    <w:rsid w:val="0036633E"/>
  </w:style>
  <w:style w:type="character" w:styleId="Hyperlink">
    <w:name w:val="Hyperlink"/>
    <w:basedOn w:val="DefaultParagraphFont"/>
    <w:uiPriority w:val="99"/>
    <w:unhideWhenUsed/>
    <w:rsid w:val="0074735F"/>
    <w:rPr>
      <w:color w:val="0000FF"/>
      <w:u w:val="single"/>
    </w:rPr>
  </w:style>
  <w:style w:type="character" w:styleId="UnresolvedMention">
    <w:name w:val="Unresolved Mention"/>
    <w:basedOn w:val="DefaultParagraphFont"/>
    <w:uiPriority w:val="99"/>
    <w:semiHidden/>
    <w:unhideWhenUsed/>
    <w:rsid w:val="00747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4633">
      <w:bodyDiv w:val="1"/>
      <w:marLeft w:val="0"/>
      <w:marRight w:val="0"/>
      <w:marTop w:val="0"/>
      <w:marBottom w:val="0"/>
      <w:divBdr>
        <w:top w:val="none" w:sz="0" w:space="0" w:color="auto"/>
        <w:left w:val="none" w:sz="0" w:space="0" w:color="auto"/>
        <w:bottom w:val="none" w:sz="0" w:space="0" w:color="auto"/>
        <w:right w:val="none" w:sz="0" w:space="0" w:color="auto"/>
      </w:divBdr>
    </w:div>
    <w:div w:id="250044227">
      <w:bodyDiv w:val="1"/>
      <w:marLeft w:val="0"/>
      <w:marRight w:val="0"/>
      <w:marTop w:val="0"/>
      <w:marBottom w:val="0"/>
      <w:divBdr>
        <w:top w:val="none" w:sz="0" w:space="0" w:color="auto"/>
        <w:left w:val="none" w:sz="0" w:space="0" w:color="auto"/>
        <w:bottom w:val="none" w:sz="0" w:space="0" w:color="auto"/>
        <w:right w:val="none" w:sz="0" w:space="0" w:color="auto"/>
      </w:divBdr>
    </w:div>
    <w:div w:id="764888298">
      <w:bodyDiv w:val="1"/>
      <w:marLeft w:val="0"/>
      <w:marRight w:val="0"/>
      <w:marTop w:val="0"/>
      <w:marBottom w:val="0"/>
      <w:divBdr>
        <w:top w:val="none" w:sz="0" w:space="0" w:color="auto"/>
        <w:left w:val="none" w:sz="0" w:space="0" w:color="auto"/>
        <w:bottom w:val="none" w:sz="0" w:space="0" w:color="auto"/>
        <w:right w:val="none" w:sz="0" w:space="0" w:color="auto"/>
      </w:divBdr>
    </w:div>
    <w:div w:id="1297762130">
      <w:bodyDiv w:val="1"/>
      <w:marLeft w:val="0"/>
      <w:marRight w:val="0"/>
      <w:marTop w:val="0"/>
      <w:marBottom w:val="0"/>
      <w:divBdr>
        <w:top w:val="none" w:sz="0" w:space="0" w:color="auto"/>
        <w:left w:val="none" w:sz="0" w:space="0" w:color="auto"/>
        <w:bottom w:val="none" w:sz="0" w:space="0" w:color="auto"/>
        <w:right w:val="none" w:sz="0" w:space="0" w:color="auto"/>
      </w:divBdr>
    </w:div>
    <w:div w:id="1688481115">
      <w:bodyDiv w:val="1"/>
      <w:marLeft w:val="0"/>
      <w:marRight w:val="0"/>
      <w:marTop w:val="0"/>
      <w:marBottom w:val="0"/>
      <w:divBdr>
        <w:top w:val="none" w:sz="0" w:space="0" w:color="auto"/>
        <w:left w:val="none" w:sz="0" w:space="0" w:color="auto"/>
        <w:bottom w:val="none" w:sz="0" w:space="0" w:color="auto"/>
        <w:right w:val="none" w:sz="0" w:space="0" w:color="auto"/>
      </w:divBdr>
    </w:div>
    <w:div w:id="21212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Jonathan Raab</cp:lastModifiedBy>
  <cp:revision>2</cp:revision>
  <dcterms:created xsi:type="dcterms:W3CDTF">2019-11-14T19:32:00Z</dcterms:created>
  <dcterms:modified xsi:type="dcterms:W3CDTF">2019-11-14T19:32:00Z</dcterms:modified>
</cp:coreProperties>
</file>