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7777777" w:rsidR="00BB5B68" w:rsidRDefault="00BB5B68"/>
    <w:p w14:paraId="4E6B236A" w14:textId="77777777" w:rsidR="00D41887" w:rsidRPr="00D41887" w:rsidRDefault="00D41887" w:rsidP="00D41887"/>
    <w:p w14:paraId="0139C591" w14:textId="77777777" w:rsidR="00D41887" w:rsidRPr="00D41887" w:rsidRDefault="00D41887" w:rsidP="00D41887"/>
    <w:p w14:paraId="2B8FC304" w14:textId="77777777" w:rsidR="00D41887" w:rsidRPr="00D41887" w:rsidRDefault="00D41887" w:rsidP="00D41887"/>
    <w:p w14:paraId="3CDABAEC" w14:textId="77777777" w:rsidR="00D41887" w:rsidRPr="00D41887" w:rsidRDefault="00D41887" w:rsidP="00D41887"/>
    <w:p w14:paraId="2AF35431" w14:textId="77777777" w:rsidR="00D41887" w:rsidRPr="00D41887" w:rsidRDefault="00D41887" w:rsidP="00D41887"/>
    <w:p w14:paraId="772070CC" w14:textId="77777777" w:rsidR="00D41887" w:rsidRPr="00D41887" w:rsidRDefault="00D41887" w:rsidP="00D41887"/>
    <w:p w14:paraId="78E6D517" w14:textId="77777777" w:rsidR="00D41887" w:rsidRPr="00D41887" w:rsidRDefault="00D41887" w:rsidP="00D41887"/>
    <w:p w14:paraId="239191C4" w14:textId="77777777" w:rsidR="00D41887" w:rsidRPr="00D41887" w:rsidRDefault="00D41887" w:rsidP="00D41887"/>
    <w:p w14:paraId="4F3947F0" w14:textId="77777777" w:rsidR="00D41887" w:rsidRDefault="00D41887" w:rsidP="00D41887"/>
    <w:p w14:paraId="24F4DE8C" w14:textId="54CFAF28" w:rsidR="00651709" w:rsidRDefault="00D41887" w:rsidP="00651709">
      <w:pPr>
        <w:tabs>
          <w:tab w:val="left" w:pos="2625"/>
        </w:tabs>
        <w:jc w:val="center"/>
        <w:rPr>
          <w:rFonts w:ascii="Arial" w:hAnsi="Arial" w:cs="Arial"/>
          <w:sz w:val="52"/>
          <w:szCs w:val="52"/>
        </w:rPr>
      </w:pPr>
      <w:r>
        <w:rPr>
          <w:rFonts w:ascii="Arial" w:hAnsi="Arial" w:cs="Arial"/>
          <w:sz w:val="52"/>
          <w:szCs w:val="52"/>
        </w:rPr>
        <w:t>Statewide</w:t>
      </w:r>
      <w:r w:rsidR="0039744C">
        <w:rPr>
          <w:rFonts w:ascii="Arial" w:hAnsi="Arial" w:cs="Arial"/>
          <w:sz w:val="52"/>
          <w:szCs w:val="52"/>
        </w:rPr>
        <w:t xml:space="preserve"> Residential HVAC</w:t>
      </w:r>
      <w:r>
        <w:rPr>
          <w:rFonts w:ascii="Arial" w:hAnsi="Arial" w:cs="Arial"/>
          <w:sz w:val="52"/>
          <w:szCs w:val="52"/>
        </w:rPr>
        <w:t xml:space="preserve"> </w:t>
      </w:r>
      <w:r w:rsidR="00651709">
        <w:rPr>
          <w:rFonts w:ascii="Arial" w:hAnsi="Arial" w:cs="Arial"/>
          <w:sz w:val="52"/>
          <w:szCs w:val="52"/>
        </w:rPr>
        <w:t>Quality Install</w:t>
      </w:r>
      <w:r w:rsidR="006B32D0">
        <w:rPr>
          <w:rFonts w:ascii="Arial" w:hAnsi="Arial" w:cs="Arial"/>
          <w:sz w:val="52"/>
          <w:szCs w:val="52"/>
        </w:rPr>
        <w:t>ation</w:t>
      </w:r>
      <w:r w:rsidR="00657D4A">
        <w:rPr>
          <w:rFonts w:ascii="Arial" w:hAnsi="Arial" w:cs="Arial"/>
          <w:sz w:val="52"/>
          <w:szCs w:val="52"/>
        </w:rPr>
        <w:t xml:space="preserve"> and </w:t>
      </w:r>
      <w:r w:rsidR="00651709">
        <w:rPr>
          <w:rFonts w:ascii="Arial" w:hAnsi="Arial" w:cs="Arial"/>
          <w:sz w:val="52"/>
          <w:szCs w:val="52"/>
        </w:rPr>
        <w:t>Quality Maintenance Program</w:t>
      </w:r>
    </w:p>
    <w:p w14:paraId="6322AEA5" w14:textId="2E2EB46B" w:rsidR="00651709" w:rsidRDefault="00651709" w:rsidP="00651709">
      <w:pPr>
        <w:tabs>
          <w:tab w:val="left" w:pos="2625"/>
        </w:tabs>
        <w:jc w:val="center"/>
        <w:rPr>
          <w:rFonts w:ascii="Arial" w:hAnsi="Arial" w:cs="Arial"/>
          <w:sz w:val="52"/>
          <w:szCs w:val="52"/>
        </w:rPr>
      </w:pPr>
      <w:r>
        <w:rPr>
          <w:rFonts w:ascii="Arial" w:hAnsi="Arial" w:cs="Arial"/>
          <w:sz w:val="52"/>
          <w:szCs w:val="52"/>
        </w:rPr>
        <w:t>Implementation Plan</w:t>
      </w:r>
    </w:p>
    <w:p w14:paraId="43CDB350" w14:textId="77777777" w:rsidR="00651709" w:rsidRDefault="00651709" w:rsidP="00651709">
      <w:pPr>
        <w:tabs>
          <w:tab w:val="left" w:pos="2625"/>
        </w:tabs>
        <w:jc w:val="center"/>
        <w:rPr>
          <w:rFonts w:ascii="Arial" w:hAnsi="Arial" w:cs="Arial"/>
          <w:sz w:val="52"/>
          <w:szCs w:val="52"/>
        </w:rPr>
      </w:pPr>
    </w:p>
    <w:p w14:paraId="487C85C8" w14:textId="77777777" w:rsidR="00651709" w:rsidRDefault="00651709" w:rsidP="00651709">
      <w:pPr>
        <w:tabs>
          <w:tab w:val="left" w:pos="2625"/>
        </w:tabs>
        <w:jc w:val="center"/>
        <w:rPr>
          <w:rFonts w:ascii="Arial" w:hAnsi="Arial" w:cs="Arial"/>
          <w:sz w:val="52"/>
          <w:szCs w:val="52"/>
        </w:rPr>
      </w:pPr>
    </w:p>
    <w:p w14:paraId="677F146D" w14:textId="77777777" w:rsidR="00651709" w:rsidRDefault="00651709" w:rsidP="00651709">
      <w:pPr>
        <w:tabs>
          <w:tab w:val="left" w:pos="2625"/>
        </w:tabs>
        <w:jc w:val="center"/>
        <w:rPr>
          <w:rFonts w:ascii="Arial" w:hAnsi="Arial" w:cs="Arial"/>
          <w:sz w:val="52"/>
          <w:szCs w:val="52"/>
        </w:rPr>
      </w:pPr>
    </w:p>
    <w:p w14:paraId="4FFC1F25" w14:textId="1054D8FC" w:rsidR="00651709" w:rsidRDefault="00422085" w:rsidP="00651709">
      <w:pPr>
        <w:tabs>
          <w:tab w:val="left" w:pos="2625"/>
        </w:tabs>
        <w:jc w:val="center"/>
        <w:rPr>
          <w:rFonts w:ascii="Arial" w:hAnsi="Arial" w:cs="Arial"/>
          <w:sz w:val="28"/>
          <w:szCs w:val="28"/>
        </w:rPr>
      </w:pPr>
      <w:r w:rsidRPr="00E46964">
        <w:rPr>
          <w:rFonts w:ascii="Arial" w:hAnsi="Arial" w:cs="Arial"/>
          <w:sz w:val="28"/>
          <w:szCs w:val="28"/>
        </w:rPr>
        <w:t xml:space="preserve">March </w:t>
      </w:r>
      <w:r w:rsidR="00E46964" w:rsidRPr="00E46964">
        <w:rPr>
          <w:rFonts w:ascii="Arial" w:hAnsi="Arial" w:cs="Arial"/>
          <w:sz w:val="28"/>
          <w:szCs w:val="28"/>
        </w:rPr>
        <w:t>27</w:t>
      </w:r>
      <w:r>
        <w:rPr>
          <w:rFonts w:ascii="Arial" w:hAnsi="Arial" w:cs="Arial"/>
          <w:sz w:val="28"/>
          <w:szCs w:val="28"/>
        </w:rPr>
        <w:t>, 2023</w:t>
      </w:r>
    </w:p>
    <w:p w14:paraId="3C962167" w14:textId="77777777" w:rsidR="001B495A" w:rsidRDefault="001B495A" w:rsidP="00651709">
      <w:pPr>
        <w:tabs>
          <w:tab w:val="left" w:pos="2625"/>
        </w:tabs>
        <w:jc w:val="center"/>
        <w:rPr>
          <w:rFonts w:ascii="Arial" w:hAnsi="Arial" w:cs="Arial"/>
          <w:sz w:val="28"/>
          <w:szCs w:val="28"/>
        </w:rPr>
      </w:pPr>
    </w:p>
    <w:p w14:paraId="2BAA2398" w14:textId="77777777" w:rsidR="001B495A" w:rsidRDefault="001B495A" w:rsidP="00651709">
      <w:pPr>
        <w:tabs>
          <w:tab w:val="left" w:pos="2625"/>
        </w:tabs>
        <w:jc w:val="center"/>
        <w:rPr>
          <w:rFonts w:ascii="Arial" w:hAnsi="Arial" w:cs="Arial"/>
          <w:sz w:val="28"/>
          <w:szCs w:val="28"/>
        </w:rPr>
      </w:pPr>
    </w:p>
    <w:p w14:paraId="3F92C8CE" w14:textId="77777777" w:rsidR="001B495A" w:rsidRDefault="001B495A" w:rsidP="00651709">
      <w:pPr>
        <w:tabs>
          <w:tab w:val="left" w:pos="2625"/>
        </w:tabs>
        <w:jc w:val="center"/>
        <w:rPr>
          <w:rFonts w:ascii="Arial" w:hAnsi="Arial" w:cs="Arial"/>
          <w:sz w:val="28"/>
          <w:szCs w:val="28"/>
        </w:rPr>
      </w:pPr>
    </w:p>
    <w:p w14:paraId="7902EA36" w14:textId="77777777" w:rsidR="001B495A" w:rsidRDefault="001B495A" w:rsidP="00651709">
      <w:pPr>
        <w:tabs>
          <w:tab w:val="left" w:pos="2625"/>
        </w:tabs>
        <w:jc w:val="center"/>
        <w:rPr>
          <w:rFonts w:ascii="Arial" w:hAnsi="Arial" w:cs="Arial"/>
          <w:sz w:val="28"/>
          <w:szCs w:val="28"/>
        </w:rPr>
      </w:pPr>
    </w:p>
    <w:p w14:paraId="540356C2" w14:textId="77777777" w:rsidR="001B495A" w:rsidRDefault="001B495A" w:rsidP="00651709">
      <w:pPr>
        <w:tabs>
          <w:tab w:val="left" w:pos="2625"/>
        </w:tabs>
        <w:jc w:val="center"/>
        <w:rPr>
          <w:rFonts w:ascii="Arial" w:hAnsi="Arial" w:cs="Arial"/>
          <w:sz w:val="28"/>
          <w:szCs w:val="28"/>
        </w:rPr>
      </w:pPr>
    </w:p>
    <w:p w14:paraId="4B2D2371" w14:textId="77777777" w:rsidR="001B495A" w:rsidRDefault="001B495A" w:rsidP="00651709">
      <w:pPr>
        <w:tabs>
          <w:tab w:val="left" w:pos="2625"/>
        </w:tabs>
        <w:jc w:val="center"/>
        <w:rPr>
          <w:rFonts w:ascii="Arial" w:hAnsi="Arial" w:cs="Arial"/>
          <w:sz w:val="28"/>
          <w:szCs w:val="28"/>
        </w:rPr>
      </w:pPr>
    </w:p>
    <w:p w14:paraId="0071BB21" w14:textId="77777777" w:rsidR="004E3CFA" w:rsidRDefault="004E3CFA" w:rsidP="00374213">
      <w:pPr>
        <w:tabs>
          <w:tab w:val="left" w:pos="2625"/>
        </w:tabs>
        <w:jc w:val="center"/>
        <w:rPr>
          <w:rFonts w:ascii="Arial" w:hAnsi="Arial" w:cs="Arial"/>
        </w:rPr>
      </w:pPr>
    </w:p>
    <w:p w14:paraId="6651B487" w14:textId="77777777" w:rsidR="004E3CFA" w:rsidRDefault="004E3CFA" w:rsidP="00374213">
      <w:pPr>
        <w:tabs>
          <w:tab w:val="left" w:pos="2625"/>
        </w:tabs>
        <w:jc w:val="center"/>
        <w:rPr>
          <w:rFonts w:ascii="Arial" w:hAnsi="Arial" w:cs="Arial"/>
        </w:rPr>
      </w:pPr>
    </w:p>
    <w:p w14:paraId="5741891D" w14:textId="77777777" w:rsidR="004E3CFA" w:rsidRDefault="004E3CFA" w:rsidP="00374213">
      <w:pPr>
        <w:tabs>
          <w:tab w:val="left" w:pos="2625"/>
        </w:tabs>
        <w:jc w:val="center"/>
        <w:rPr>
          <w:rFonts w:ascii="Arial" w:hAnsi="Arial" w:cs="Arial"/>
        </w:rPr>
      </w:pPr>
    </w:p>
    <w:p w14:paraId="1A5CE42B" w14:textId="77777777" w:rsidR="004E3CFA" w:rsidRDefault="004E3CFA" w:rsidP="00374213">
      <w:pPr>
        <w:tabs>
          <w:tab w:val="left" w:pos="2625"/>
        </w:tabs>
        <w:jc w:val="center"/>
        <w:rPr>
          <w:rFonts w:ascii="Arial" w:hAnsi="Arial" w:cs="Arial"/>
        </w:rPr>
      </w:pPr>
    </w:p>
    <w:p w14:paraId="2ED9A252" w14:textId="77777777" w:rsidR="004E3CFA" w:rsidRDefault="004E3CFA" w:rsidP="00374213">
      <w:pPr>
        <w:tabs>
          <w:tab w:val="left" w:pos="2625"/>
        </w:tabs>
        <w:jc w:val="center"/>
        <w:rPr>
          <w:rFonts w:ascii="Arial" w:hAnsi="Arial" w:cs="Arial"/>
        </w:rPr>
      </w:pPr>
    </w:p>
    <w:p w14:paraId="7F6378A5" w14:textId="77777777" w:rsidR="004E3CFA" w:rsidRDefault="004E3CFA" w:rsidP="00374213">
      <w:pPr>
        <w:tabs>
          <w:tab w:val="left" w:pos="2625"/>
        </w:tabs>
        <w:jc w:val="center"/>
        <w:rPr>
          <w:rFonts w:ascii="Arial" w:hAnsi="Arial" w:cs="Arial"/>
        </w:rPr>
      </w:pPr>
    </w:p>
    <w:p w14:paraId="0B1D4955" w14:textId="77777777" w:rsidR="004E3CFA" w:rsidRDefault="004E3CFA" w:rsidP="00374213">
      <w:pPr>
        <w:tabs>
          <w:tab w:val="left" w:pos="2625"/>
        </w:tabs>
        <w:jc w:val="center"/>
        <w:rPr>
          <w:rFonts w:ascii="Arial" w:hAnsi="Arial" w:cs="Arial"/>
        </w:rPr>
      </w:pPr>
    </w:p>
    <w:p w14:paraId="0CE672B0" w14:textId="77777777" w:rsidR="004E3CFA" w:rsidRDefault="004E3CFA" w:rsidP="00374213">
      <w:pPr>
        <w:tabs>
          <w:tab w:val="left" w:pos="2625"/>
        </w:tabs>
        <w:jc w:val="center"/>
        <w:rPr>
          <w:rFonts w:ascii="Arial" w:hAnsi="Arial" w:cs="Arial"/>
        </w:rPr>
      </w:pPr>
    </w:p>
    <w:p w14:paraId="1587E533" w14:textId="77777777" w:rsidR="004E3CFA" w:rsidRDefault="004E3CFA" w:rsidP="00374213">
      <w:pPr>
        <w:tabs>
          <w:tab w:val="left" w:pos="2625"/>
        </w:tabs>
        <w:jc w:val="center"/>
        <w:rPr>
          <w:rFonts w:ascii="Arial" w:hAnsi="Arial" w:cs="Arial"/>
        </w:rPr>
      </w:pPr>
    </w:p>
    <w:p w14:paraId="10FF121A" w14:textId="77777777" w:rsidR="004E3CFA" w:rsidRDefault="004E3CFA" w:rsidP="00374213">
      <w:pPr>
        <w:tabs>
          <w:tab w:val="left" w:pos="2625"/>
        </w:tabs>
        <w:jc w:val="center"/>
        <w:rPr>
          <w:rFonts w:ascii="Arial" w:hAnsi="Arial" w:cs="Arial"/>
        </w:rPr>
      </w:pPr>
    </w:p>
    <w:p w14:paraId="7F33B3EF" w14:textId="77777777" w:rsidR="004E3CFA" w:rsidRDefault="004E3CFA" w:rsidP="00374213">
      <w:pPr>
        <w:tabs>
          <w:tab w:val="left" w:pos="2625"/>
        </w:tabs>
        <w:jc w:val="center"/>
        <w:rPr>
          <w:rFonts w:ascii="Arial" w:hAnsi="Arial" w:cs="Arial"/>
        </w:rPr>
      </w:pPr>
    </w:p>
    <w:p w14:paraId="53744BF1" w14:textId="77777777" w:rsidR="004E3CFA" w:rsidRDefault="004E3CFA" w:rsidP="00374213">
      <w:pPr>
        <w:tabs>
          <w:tab w:val="left" w:pos="2625"/>
        </w:tabs>
        <w:jc w:val="center"/>
        <w:rPr>
          <w:rFonts w:ascii="Arial" w:hAnsi="Arial" w:cs="Arial"/>
        </w:rPr>
      </w:pPr>
    </w:p>
    <w:p w14:paraId="628589CE" w14:textId="7D8ADE04" w:rsidR="00374213" w:rsidRPr="00374213" w:rsidRDefault="00374213" w:rsidP="00374213">
      <w:pPr>
        <w:tabs>
          <w:tab w:val="left" w:pos="2625"/>
        </w:tabs>
        <w:jc w:val="center"/>
        <w:rPr>
          <w:rFonts w:ascii="Arial" w:hAnsi="Arial" w:cs="Arial"/>
        </w:rPr>
      </w:pPr>
      <w:r w:rsidRPr="00374213">
        <w:rPr>
          <w:rFonts w:ascii="Arial" w:hAnsi="Arial" w:cs="Arial"/>
        </w:rPr>
        <w:t>Page Intentionally Left Blank</w:t>
      </w:r>
    </w:p>
    <w:p w14:paraId="11B057C6" w14:textId="77777777" w:rsidR="001B495A" w:rsidRDefault="001B495A" w:rsidP="00651709">
      <w:pPr>
        <w:tabs>
          <w:tab w:val="left" w:pos="2625"/>
        </w:tabs>
        <w:jc w:val="center"/>
        <w:rPr>
          <w:rFonts w:ascii="Arial" w:hAnsi="Arial" w:cs="Arial"/>
          <w:sz w:val="28"/>
          <w:szCs w:val="28"/>
        </w:rPr>
      </w:pPr>
    </w:p>
    <w:p w14:paraId="1A9045B9" w14:textId="77777777" w:rsidR="004E3CFA" w:rsidRDefault="004E3CFA" w:rsidP="00651709">
      <w:pPr>
        <w:tabs>
          <w:tab w:val="left" w:pos="2625"/>
        </w:tabs>
        <w:jc w:val="center"/>
        <w:rPr>
          <w:rFonts w:ascii="Arial" w:hAnsi="Arial" w:cs="Arial"/>
          <w:sz w:val="28"/>
          <w:szCs w:val="28"/>
        </w:rPr>
      </w:pPr>
    </w:p>
    <w:p w14:paraId="532F2792" w14:textId="77777777" w:rsidR="004E3CFA" w:rsidRDefault="004E3CFA" w:rsidP="00651709">
      <w:pPr>
        <w:tabs>
          <w:tab w:val="left" w:pos="2625"/>
        </w:tabs>
        <w:jc w:val="center"/>
        <w:rPr>
          <w:rFonts w:ascii="Arial" w:hAnsi="Arial" w:cs="Arial"/>
          <w:sz w:val="28"/>
          <w:szCs w:val="28"/>
        </w:rPr>
      </w:pPr>
    </w:p>
    <w:p w14:paraId="59DF1BE3" w14:textId="77777777" w:rsidR="004E3CFA" w:rsidRDefault="004E3CFA" w:rsidP="00651709">
      <w:pPr>
        <w:tabs>
          <w:tab w:val="left" w:pos="2625"/>
        </w:tabs>
        <w:jc w:val="center"/>
        <w:rPr>
          <w:rFonts w:ascii="Arial" w:hAnsi="Arial" w:cs="Arial"/>
          <w:sz w:val="28"/>
          <w:szCs w:val="28"/>
        </w:rPr>
      </w:pPr>
    </w:p>
    <w:p w14:paraId="5FD770D9" w14:textId="77777777" w:rsidR="004E3CFA" w:rsidRDefault="004E3CFA" w:rsidP="00651709">
      <w:pPr>
        <w:tabs>
          <w:tab w:val="left" w:pos="2625"/>
        </w:tabs>
        <w:jc w:val="center"/>
        <w:rPr>
          <w:rFonts w:ascii="Arial" w:hAnsi="Arial" w:cs="Arial"/>
          <w:sz w:val="28"/>
          <w:szCs w:val="28"/>
        </w:rPr>
      </w:pPr>
    </w:p>
    <w:p w14:paraId="143EB03A" w14:textId="77777777" w:rsidR="004E3CFA" w:rsidRDefault="004E3CFA" w:rsidP="00651709">
      <w:pPr>
        <w:tabs>
          <w:tab w:val="left" w:pos="2625"/>
        </w:tabs>
        <w:jc w:val="center"/>
        <w:rPr>
          <w:rFonts w:ascii="Arial" w:hAnsi="Arial" w:cs="Arial"/>
          <w:sz w:val="28"/>
          <w:szCs w:val="28"/>
        </w:rPr>
      </w:pPr>
    </w:p>
    <w:p w14:paraId="1FF7E1B8" w14:textId="77777777" w:rsidR="004E3CFA" w:rsidRDefault="004E3CFA" w:rsidP="00651709">
      <w:pPr>
        <w:tabs>
          <w:tab w:val="left" w:pos="2625"/>
        </w:tabs>
        <w:jc w:val="center"/>
        <w:rPr>
          <w:rFonts w:ascii="Arial" w:hAnsi="Arial" w:cs="Arial"/>
          <w:sz w:val="28"/>
          <w:szCs w:val="28"/>
        </w:rPr>
      </w:pPr>
    </w:p>
    <w:p w14:paraId="6D70ABBC" w14:textId="77777777" w:rsidR="004E3CFA" w:rsidRDefault="004E3CFA" w:rsidP="00651709">
      <w:pPr>
        <w:tabs>
          <w:tab w:val="left" w:pos="2625"/>
        </w:tabs>
        <w:jc w:val="center"/>
        <w:rPr>
          <w:rFonts w:ascii="Arial" w:hAnsi="Arial" w:cs="Arial"/>
          <w:sz w:val="28"/>
          <w:szCs w:val="28"/>
        </w:rPr>
      </w:pPr>
    </w:p>
    <w:p w14:paraId="42E2A6D2" w14:textId="77777777" w:rsidR="004E3CFA" w:rsidRDefault="004E3CFA" w:rsidP="00651709">
      <w:pPr>
        <w:tabs>
          <w:tab w:val="left" w:pos="2625"/>
        </w:tabs>
        <w:jc w:val="center"/>
        <w:rPr>
          <w:rFonts w:ascii="Arial" w:hAnsi="Arial" w:cs="Arial"/>
          <w:sz w:val="28"/>
          <w:szCs w:val="28"/>
        </w:rPr>
      </w:pPr>
    </w:p>
    <w:p w14:paraId="411640F2" w14:textId="77777777" w:rsidR="004E3CFA" w:rsidRDefault="004E3CFA" w:rsidP="00651709">
      <w:pPr>
        <w:tabs>
          <w:tab w:val="left" w:pos="2625"/>
        </w:tabs>
        <w:jc w:val="center"/>
        <w:rPr>
          <w:rFonts w:ascii="Arial" w:hAnsi="Arial" w:cs="Arial"/>
          <w:sz w:val="28"/>
          <w:szCs w:val="28"/>
        </w:rPr>
      </w:pPr>
    </w:p>
    <w:p w14:paraId="0C7DB882" w14:textId="77777777" w:rsidR="004E3CFA" w:rsidRDefault="004E3CFA" w:rsidP="00651709">
      <w:pPr>
        <w:tabs>
          <w:tab w:val="left" w:pos="2625"/>
        </w:tabs>
        <w:jc w:val="center"/>
        <w:rPr>
          <w:rFonts w:ascii="Arial" w:hAnsi="Arial" w:cs="Arial"/>
          <w:sz w:val="28"/>
          <w:szCs w:val="28"/>
        </w:rPr>
      </w:pPr>
    </w:p>
    <w:p w14:paraId="2287EC98" w14:textId="77777777" w:rsidR="004E3CFA" w:rsidRDefault="004E3CFA" w:rsidP="00651709">
      <w:pPr>
        <w:tabs>
          <w:tab w:val="left" w:pos="2625"/>
        </w:tabs>
        <w:jc w:val="center"/>
        <w:rPr>
          <w:rFonts w:ascii="Arial" w:hAnsi="Arial" w:cs="Arial"/>
          <w:sz w:val="28"/>
          <w:szCs w:val="28"/>
        </w:rPr>
      </w:pPr>
    </w:p>
    <w:p w14:paraId="464EAE7F" w14:textId="77777777" w:rsidR="004E3CFA" w:rsidRDefault="004E3CFA" w:rsidP="00651709">
      <w:pPr>
        <w:tabs>
          <w:tab w:val="left" w:pos="2625"/>
        </w:tabs>
        <w:jc w:val="center"/>
        <w:rPr>
          <w:rFonts w:ascii="Arial" w:hAnsi="Arial" w:cs="Arial"/>
          <w:sz w:val="28"/>
          <w:szCs w:val="28"/>
        </w:rPr>
      </w:pPr>
    </w:p>
    <w:p w14:paraId="04C618BD" w14:textId="77777777" w:rsidR="004E3CFA" w:rsidRDefault="004E3CFA" w:rsidP="00651709">
      <w:pPr>
        <w:tabs>
          <w:tab w:val="left" w:pos="2625"/>
        </w:tabs>
        <w:jc w:val="center"/>
        <w:rPr>
          <w:rFonts w:ascii="Arial" w:hAnsi="Arial" w:cs="Arial"/>
          <w:sz w:val="28"/>
          <w:szCs w:val="28"/>
        </w:rPr>
      </w:pPr>
    </w:p>
    <w:sdt>
      <w:sdtPr>
        <w:rPr>
          <w:rFonts w:asciiTheme="minorHAnsi" w:eastAsiaTheme="minorHAnsi" w:hAnsiTheme="minorHAnsi" w:cstheme="minorBidi"/>
          <w:color w:val="auto"/>
          <w:sz w:val="22"/>
          <w:szCs w:val="22"/>
        </w:rPr>
        <w:id w:val="1558055864"/>
        <w:docPartObj>
          <w:docPartGallery w:val="Table of Contents"/>
          <w:docPartUnique/>
        </w:docPartObj>
      </w:sdtPr>
      <w:sdtEndPr>
        <w:rPr>
          <w:b/>
          <w:bCs/>
          <w:noProof/>
        </w:rPr>
      </w:sdtEndPr>
      <w:sdtContent>
        <w:p w14:paraId="43D58060" w14:textId="16A40C10" w:rsidR="000D5F22" w:rsidRDefault="000D5F22">
          <w:pPr>
            <w:pStyle w:val="TOCHeading"/>
          </w:pPr>
          <w:r>
            <w:t>Contents</w:t>
          </w:r>
        </w:p>
        <w:p w14:paraId="219908CB" w14:textId="7677494A" w:rsidR="008C108B" w:rsidRDefault="000D5F22" w:rsidP="008C108B">
          <w:pPr>
            <w:pStyle w:val="TOC1"/>
            <w:rPr>
              <w:rFonts w:eastAsiaTheme="minorEastAsia"/>
            </w:rPr>
          </w:pPr>
          <w:r>
            <w:fldChar w:fldCharType="begin"/>
          </w:r>
          <w:r>
            <w:instrText xml:space="preserve"> TOC \o "1-3" \h \z \u </w:instrText>
          </w:r>
          <w:r>
            <w:fldChar w:fldCharType="separate"/>
          </w:r>
          <w:hyperlink w:anchor="_Toc129168552" w:history="1">
            <w:r w:rsidR="008C108B" w:rsidRPr="008C108B">
              <w:rPr>
                <w:rStyle w:val="Hyperlink"/>
                <w:rFonts w:eastAsia="Century Gothic"/>
              </w:rPr>
              <w:t>Program Overview</w:t>
            </w:r>
            <w:r w:rsidR="008C108B">
              <w:rPr>
                <w:webHidden/>
              </w:rPr>
              <w:tab/>
            </w:r>
            <w:r w:rsidR="008C108B">
              <w:rPr>
                <w:webHidden/>
              </w:rPr>
              <w:fldChar w:fldCharType="begin"/>
            </w:r>
            <w:r w:rsidR="008C108B">
              <w:rPr>
                <w:webHidden/>
              </w:rPr>
              <w:instrText xml:space="preserve"> PAGEREF _Toc129168552 \h </w:instrText>
            </w:r>
            <w:r w:rsidR="008C108B">
              <w:rPr>
                <w:webHidden/>
              </w:rPr>
            </w:r>
            <w:r w:rsidR="008C108B">
              <w:rPr>
                <w:webHidden/>
              </w:rPr>
              <w:fldChar w:fldCharType="separate"/>
            </w:r>
            <w:r w:rsidR="00E641E9">
              <w:rPr>
                <w:webHidden/>
              </w:rPr>
              <w:t>1</w:t>
            </w:r>
            <w:r w:rsidR="008C108B">
              <w:rPr>
                <w:webHidden/>
              </w:rPr>
              <w:fldChar w:fldCharType="end"/>
            </w:r>
          </w:hyperlink>
        </w:p>
        <w:p w14:paraId="06F318D5" w14:textId="7DD722A7" w:rsidR="008C108B" w:rsidRPr="008C108B" w:rsidRDefault="009B7888" w:rsidP="008C108B">
          <w:pPr>
            <w:pStyle w:val="TOC1"/>
            <w:rPr>
              <w:rFonts w:eastAsiaTheme="minorEastAsia"/>
            </w:rPr>
          </w:pPr>
          <w:hyperlink w:anchor="_Toc129168553" w:history="1">
            <w:r w:rsidR="008C108B" w:rsidRPr="008C108B">
              <w:rPr>
                <w:rStyle w:val="Hyperlink"/>
              </w:rPr>
              <w:t>Program Budget and Savings</w:t>
            </w:r>
            <w:r w:rsidR="008C108B" w:rsidRPr="008C108B">
              <w:rPr>
                <w:webHidden/>
              </w:rPr>
              <w:tab/>
            </w:r>
            <w:r w:rsidR="008C108B" w:rsidRPr="008C108B">
              <w:rPr>
                <w:webHidden/>
              </w:rPr>
              <w:fldChar w:fldCharType="begin"/>
            </w:r>
            <w:r w:rsidR="008C108B" w:rsidRPr="008C108B">
              <w:rPr>
                <w:webHidden/>
              </w:rPr>
              <w:instrText xml:space="preserve"> PAGEREF _Toc129168553 \h </w:instrText>
            </w:r>
            <w:r w:rsidR="008C108B" w:rsidRPr="008C108B">
              <w:rPr>
                <w:webHidden/>
              </w:rPr>
            </w:r>
            <w:r w:rsidR="008C108B" w:rsidRPr="008C108B">
              <w:rPr>
                <w:webHidden/>
              </w:rPr>
              <w:fldChar w:fldCharType="separate"/>
            </w:r>
            <w:r w:rsidR="00E641E9">
              <w:rPr>
                <w:webHidden/>
              </w:rPr>
              <w:t>1</w:t>
            </w:r>
            <w:r w:rsidR="008C108B" w:rsidRPr="008C108B">
              <w:rPr>
                <w:webHidden/>
              </w:rPr>
              <w:fldChar w:fldCharType="end"/>
            </w:r>
          </w:hyperlink>
        </w:p>
        <w:p w14:paraId="370C68FD" w14:textId="1AA0C55C" w:rsidR="008C108B" w:rsidRDefault="009B7888" w:rsidP="00CA001C">
          <w:pPr>
            <w:pStyle w:val="TOC2"/>
            <w:rPr>
              <w:rFonts w:eastAsiaTheme="minorEastAsia"/>
              <w:noProof/>
            </w:rPr>
          </w:pPr>
          <w:hyperlink w:anchor="_Toc129168554" w:history="1">
            <w:r w:rsidR="008C108B" w:rsidRPr="003D4CBD">
              <w:rPr>
                <w:rStyle w:val="Hyperlink"/>
                <w:rFonts w:ascii="Arial" w:hAnsi="Arial"/>
                <w:bCs/>
                <w:iCs/>
                <w:noProof/>
                <w:spacing w:val="10"/>
              </w:rPr>
              <w:t>1.</w:t>
            </w:r>
            <w:r w:rsidR="008C108B">
              <w:rPr>
                <w:rFonts w:eastAsiaTheme="minorEastAsia"/>
                <w:noProof/>
              </w:rPr>
              <w:tab/>
            </w:r>
            <w:r w:rsidR="008C108B" w:rsidRPr="003D4CBD">
              <w:rPr>
                <w:rStyle w:val="Hyperlink"/>
                <w:rFonts w:ascii="Arial" w:hAnsi="Arial"/>
                <w:bCs/>
                <w:iCs/>
                <w:noProof/>
                <w:spacing w:val="10"/>
              </w:rPr>
              <w:t>Program and/or Sub-Program Name</w:t>
            </w:r>
            <w:r w:rsidR="008C108B">
              <w:rPr>
                <w:noProof/>
                <w:webHidden/>
              </w:rPr>
              <w:tab/>
            </w:r>
            <w:r w:rsidR="008C108B">
              <w:rPr>
                <w:noProof/>
                <w:webHidden/>
              </w:rPr>
              <w:fldChar w:fldCharType="begin"/>
            </w:r>
            <w:r w:rsidR="008C108B">
              <w:rPr>
                <w:noProof/>
                <w:webHidden/>
              </w:rPr>
              <w:instrText xml:space="preserve"> PAGEREF _Toc129168554 \h </w:instrText>
            </w:r>
            <w:r w:rsidR="008C108B">
              <w:rPr>
                <w:noProof/>
                <w:webHidden/>
              </w:rPr>
            </w:r>
            <w:r w:rsidR="008C108B">
              <w:rPr>
                <w:noProof/>
                <w:webHidden/>
              </w:rPr>
              <w:fldChar w:fldCharType="separate"/>
            </w:r>
            <w:r w:rsidR="00E641E9">
              <w:rPr>
                <w:noProof/>
                <w:webHidden/>
              </w:rPr>
              <w:t>1</w:t>
            </w:r>
            <w:r w:rsidR="008C108B">
              <w:rPr>
                <w:noProof/>
                <w:webHidden/>
              </w:rPr>
              <w:fldChar w:fldCharType="end"/>
            </w:r>
          </w:hyperlink>
        </w:p>
        <w:p w14:paraId="722481EE" w14:textId="758AE2B2" w:rsidR="008C108B" w:rsidRDefault="009B7888" w:rsidP="00CA001C">
          <w:pPr>
            <w:pStyle w:val="TOC2"/>
            <w:rPr>
              <w:rFonts w:eastAsiaTheme="minorEastAsia"/>
              <w:noProof/>
            </w:rPr>
          </w:pPr>
          <w:hyperlink w:anchor="_Toc129168555" w:history="1">
            <w:r w:rsidR="008C108B" w:rsidRPr="003D4CBD">
              <w:rPr>
                <w:rStyle w:val="Hyperlink"/>
                <w:rFonts w:ascii="Arial" w:hAnsi="Arial"/>
                <w:bCs/>
                <w:iCs/>
                <w:noProof/>
                <w:spacing w:val="10"/>
              </w:rPr>
              <w:t>2.</w:t>
            </w:r>
            <w:r w:rsidR="008C108B">
              <w:rPr>
                <w:rFonts w:eastAsiaTheme="minorEastAsia"/>
                <w:noProof/>
              </w:rPr>
              <w:tab/>
            </w:r>
            <w:r w:rsidR="008C108B" w:rsidRPr="003D4CBD">
              <w:rPr>
                <w:rStyle w:val="Hyperlink"/>
                <w:rFonts w:ascii="Arial" w:hAnsi="Arial"/>
                <w:bCs/>
                <w:iCs/>
                <w:noProof/>
                <w:spacing w:val="10"/>
              </w:rPr>
              <w:t>Program / Sub-Program ID number</w:t>
            </w:r>
            <w:r w:rsidR="008C108B">
              <w:rPr>
                <w:noProof/>
                <w:webHidden/>
              </w:rPr>
              <w:tab/>
            </w:r>
            <w:r w:rsidR="008C108B">
              <w:rPr>
                <w:noProof/>
                <w:webHidden/>
              </w:rPr>
              <w:fldChar w:fldCharType="begin"/>
            </w:r>
            <w:r w:rsidR="008C108B">
              <w:rPr>
                <w:noProof/>
                <w:webHidden/>
              </w:rPr>
              <w:instrText xml:space="preserve"> PAGEREF _Toc129168555 \h </w:instrText>
            </w:r>
            <w:r w:rsidR="008C108B">
              <w:rPr>
                <w:noProof/>
                <w:webHidden/>
              </w:rPr>
            </w:r>
            <w:r w:rsidR="008C108B">
              <w:rPr>
                <w:noProof/>
                <w:webHidden/>
              </w:rPr>
              <w:fldChar w:fldCharType="separate"/>
            </w:r>
            <w:r w:rsidR="00E641E9">
              <w:rPr>
                <w:noProof/>
                <w:webHidden/>
              </w:rPr>
              <w:t>1</w:t>
            </w:r>
            <w:r w:rsidR="008C108B">
              <w:rPr>
                <w:noProof/>
                <w:webHidden/>
              </w:rPr>
              <w:fldChar w:fldCharType="end"/>
            </w:r>
          </w:hyperlink>
        </w:p>
        <w:p w14:paraId="7D99875C" w14:textId="4AED0849" w:rsidR="008C108B" w:rsidRDefault="009B7888" w:rsidP="00CA001C">
          <w:pPr>
            <w:pStyle w:val="TOC2"/>
            <w:rPr>
              <w:rFonts w:eastAsiaTheme="minorEastAsia"/>
              <w:noProof/>
            </w:rPr>
          </w:pPr>
          <w:hyperlink w:anchor="_Toc129168556" w:history="1">
            <w:r w:rsidR="008C108B" w:rsidRPr="003D4CBD">
              <w:rPr>
                <w:rStyle w:val="Hyperlink"/>
                <w:rFonts w:ascii="Arial" w:hAnsi="Arial"/>
                <w:bCs/>
                <w:iCs/>
                <w:noProof/>
                <w:spacing w:val="10"/>
              </w:rPr>
              <w:t>3.</w:t>
            </w:r>
            <w:r w:rsidR="008C108B">
              <w:rPr>
                <w:rFonts w:eastAsiaTheme="minorEastAsia"/>
                <w:noProof/>
              </w:rPr>
              <w:tab/>
            </w:r>
            <w:r w:rsidR="008C108B" w:rsidRPr="003D4CBD">
              <w:rPr>
                <w:rStyle w:val="Hyperlink"/>
                <w:rFonts w:ascii="Arial" w:hAnsi="Arial"/>
                <w:bCs/>
                <w:iCs/>
                <w:noProof/>
                <w:spacing w:val="10"/>
              </w:rPr>
              <w:t>Program / Sub-program Budget Table</w:t>
            </w:r>
            <w:r w:rsidR="008C108B">
              <w:rPr>
                <w:noProof/>
                <w:webHidden/>
              </w:rPr>
              <w:tab/>
            </w:r>
            <w:r w:rsidR="008C108B">
              <w:rPr>
                <w:noProof/>
                <w:webHidden/>
              </w:rPr>
              <w:fldChar w:fldCharType="begin"/>
            </w:r>
            <w:r w:rsidR="008C108B">
              <w:rPr>
                <w:noProof/>
                <w:webHidden/>
              </w:rPr>
              <w:instrText xml:space="preserve"> PAGEREF _Toc129168556 \h </w:instrText>
            </w:r>
            <w:r w:rsidR="008C108B">
              <w:rPr>
                <w:noProof/>
                <w:webHidden/>
              </w:rPr>
            </w:r>
            <w:r w:rsidR="008C108B">
              <w:rPr>
                <w:noProof/>
                <w:webHidden/>
              </w:rPr>
              <w:fldChar w:fldCharType="separate"/>
            </w:r>
            <w:r w:rsidR="00E641E9">
              <w:rPr>
                <w:noProof/>
                <w:webHidden/>
              </w:rPr>
              <w:t>1</w:t>
            </w:r>
            <w:r w:rsidR="008C108B">
              <w:rPr>
                <w:noProof/>
                <w:webHidden/>
              </w:rPr>
              <w:fldChar w:fldCharType="end"/>
            </w:r>
          </w:hyperlink>
        </w:p>
        <w:p w14:paraId="05EAD707" w14:textId="7765C386" w:rsidR="008C108B" w:rsidRDefault="009B7888" w:rsidP="00CA001C">
          <w:pPr>
            <w:pStyle w:val="TOC2"/>
            <w:rPr>
              <w:rFonts w:eastAsiaTheme="minorEastAsia"/>
              <w:noProof/>
            </w:rPr>
          </w:pPr>
          <w:hyperlink w:anchor="_Toc129168557" w:history="1">
            <w:r w:rsidR="008C108B" w:rsidRPr="003D4CBD">
              <w:rPr>
                <w:rStyle w:val="Hyperlink"/>
                <w:rFonts w:ascii="Arial" w:hAnsi="Arial"/>
                <w:bCs/>
                <w:iCs/>
                <w:noProof/>
                <w:spacing w:val="10"/>
              </w:rPr>
              <w:t>4.</w:t>
            </w:r>
            <w:r w:rsidR="008C108B">
              <w:rPr>
                <w:rFonts w:eastAsiaTheme="minorEastAsia"/>
                <w:noProof/>
              </w:rPr>
              <w:tab/>
            </w:r>
            <w:r w:rsidR="008C108B" w:rsidRPr="003D4CBD">
              <w:rPr>
                <w:rStyle w:val="Hyperlink"/>
                <w:rFonts w:ascii="Arial" w:hAnsi="Arial"/>
                <w:bCs/>
                <w:iCs/>
                <w:noProof/>
                <w:spacing w:val="10"/>
              </w:rPr>
              <w:t>Program / Sub-program Gross Impacts Table</w:t>
            </w:r>
            <w:r w:rsidR="008C108B">
              <w:rPr>
                <w:noProof/>
                <w:webHidden/>
              </w:rPr>
              <w:tab/>
            </w:r>
            <w:r w:rsidR="008C108B">
              <w:rPr>
                <w:noProof/>
                <w:webHidden/>
              </w:rPr>
              <w:fldChar w:fldCharType="begin"/>
            </w:r>
            <w:r w:rsidR="008C108B">
              <w:rPr>
                <w:noProof/>
                <w:webHidden/>
              </w:rPr>
              <w:instrText xml:space="preserve"> PAGEREF _Toc129168557 \h </w:instrText>
            </w:r>
            <w:r w:rsidR="008C108B">
              <w:rPr>
                <w:noProof/>
                <w:webHidden/>
              </w:rPr>
            </w:r>
            <w:r w:rsidR="008C108B">
              <w:rPr>
                <w:noProof/>
                <w:webHidden/>
              </w:rPr>
              <w:fldChar w:fldCharType="separate"/>
            </w:r>
            <w:r w:rsidR="00E641E9">
              <w:rPr>
                <w:noProof/>
                <w:webHidden/>
              </w:rPr>
              <w:t>2</w:t>
            </w:r>
            <w:r w:rsidR="008C108B">
              <w:rPr>
                <w:noProof/>
                <w:webHidden/>
              </w:rPr>
              <w:fldChar w:fldCharType="end"/>
            </w:r>
          </w:hyperlink>
        </w:p>
        <w:p w14:paraId="1D47CBBC" w14:textId="7F157315" w:rsidR="008C108B" w:rsidRDefault="009B7888" w:rsidP="00CA001C">
          <w:pPr>
            <w:pStyle w:val="TOC2"/>
            <w:rPr>
              <w:rFonts w:eastAsiaTheme="minorEastAsia"/>
              <w:noProof/>
            </w:rPr>
          </w:pPr>
          <w:hyperlink w:anchor="_Toc129168558" w:history="1">
            <w:r w:rsidR="008C108B" w:rsidRPr="003D4CBD">
              <w:rPr>
                <w:rStyle w:val="Hyperlink"/>
                <w:rFonts w:ascii="Arial" w:hAnsi="Arial"/>
                <w:bCs/>
                <w:iCs/>
                <w:noProof/>
                <w:spacing w:val="10"/>
              </w:rPr>
              <w:t>5.</w:t>
            </w:r>
            <w:r w:rsidR="008C108B">
              <w:rPr>
                <w:rFonts w:eastAsiaTheme="minorEastAsia"/>
                <w:noProof/>
              </w:rPr>
              <w:tab/>
            </w:r>
            <w:r w:rsidR="008C108B" w:rsidRPr="003D4CBD">
              <w:rPr>
                <w:rStyle w:val="Hyperlink"/>
                <w:rFonts w:ascii="Arial" w:hAnsi="Arial"/>
                <w:bCs/>
                <w:iCs/>
                <w:noProof/>
                <w:spacing w:val="10"/>
              </w:rPr>
              <w:t>Program / Sub-Program Cost Effectiveness (TRC)</w:t>
            </w:r>
            <w:r w:rsidR="008C108B">
              <w:rPr>
                <w:noProof/>
                <w:webHidden/>
              </w:rPr>
              <w:tab/>
            </w:r>
            <w:r w:rsidR="008C108B">
              <w:rPr>
                <w:noProof/>
                <w:webHidden/>
              </w:rPr>
              <w:fldChar w:fldCharType="begin"/>
            </w:r>
            <w:r w:rsidR="008C108B">
              <w:rPr>
                <w:noProof/>
                <w:webHidden/>
              </w:rPr>
              <w:instrText xml:space="preserve"> PAGEREF _Toc129168558 \h </w:instrText>
            </w:r>
            <w:r w:rsidR="008C108B">
              <w:rPr>
                <w:noProof/>
                <w:webHidden/>
              </w:rPr>
            </w:r>
            <w:r w:rsidR="008C108B">
              <w:rPr>
                <w:noProof/>
                <w:webHidden/>
              </w:rPr>
              <w:fldChar w:fldCharType="separate"/>
            </w:r>
            <w:r w:rsidR="00E641E9">
              <w:rPr>
                <w:noProof/>
                <w:webHidden/>
              </w:rPr>
              <w:t>2</w:t>
            </w:r>
            <w:r w:rsidR="008C108B">
              <w:rPr>
                <w:noProof/>
                <w:webHidden/>
              </w:rPr>
              <w:fldChar w:fldCharType="end"/>
            </w:r>
          </w:hyperlink>
        </w:p>
        <w:p w14:paraId="665FBADE" w14:textId="711FDB93" w:rsidR="008C108B" w:rsidRDefault="009B7888" w:rsidP="00CA001C">
          <w:pPr>
            <w:pStyle w:val="TOC2"/>
            <w:rPr>
              <w:rFonts w:eastAsiaTheme="minorEastAsia"/>
              <w:noProof/>
            </w:rPr>
          </w:pPr>
          <w:hyperlink w:anchor="_Toc129168559" w:history="1">
            <w:r w:rsidR="008C108B" w:rsidRPr="003D4CBD">
              <w:rPr>
                <w:rStyle w:val="Hyperlink"/>
                <w:rFonts w:ascii="Arial" w:hAnsi="Arial"/>
                <w:bCs/>
                <w:iCs/>
                <w:noProof/>
                <w:spacing w:val="10"/>
              </w:rPr>
              <w:t>6.</w:t>
            </w:r>
            <w:r w:rsidR="008C108B">
              <w:rPr>
                <w:rFonts w:eastAsiaTheme="minorEastAsia"/>
                <w:noProof/>
              </w:rPr>
              <w:tab/>
            </w:r>
            <w:r w:rsidR="008C108B" w:rsidRPr="003D4CBD">
              <w:rPr>
                <w:rStyle w:val="Hyperlink"/>
                <w:rFonts w:ascii="Arial" w:hAnsi="Arial"/>
                <w:bCs/>
                <w:iCs/>
                <w:noProof/>
                <w:spacing w:val="10"/>
              </w:rPr>
              <w:t>Program / Sub-Program Cost Effectiveness (PAC)</w:t>
            </w:r>
            <w:r w:rsidR="008C108B">
              <w:rPr>
                <w:noProof/>
                <w:webHidden/>
              </w:rPr>
              <w:tab/>
            </w:r>
            <w:r w:rsidR="008C108B">
              <w:rPr>
                <w:noProof/>
                <w:webHidden/>
              </w:rPr>
              <w:fldChar w:fldCharType="begin"/>
            </w:r>
            <w:r w:rsidR="008C108B">
              <w:rPr>
                <w:noProof/>
                <w:webHidden/>
              </w:rPr>
              <w:instrText xml:space="preserve"> PAGEREF _Toc129168559 \h </w:instrText>
            </w:r>
            <w:r w:rsidR="008C108B">
              <w:rPr>
                <w:noProof/>
                <w:webHidden/>
              </w:rPr>
            </w:r>
            <w:r w:rsidR="008C108B">
              <w:rPr>
                <w:noProof/>
                <w:webHidden/>
              </w:rPr>
              <w:fldChar w:fldCharType="separate"/>
            </w:r>
            <w:r w:rsidR="00E641E9">
              <w:rPr>
                <w:noProof/>
                <w:webHidden/>
              </w:rPr>
              <w:t>2</w:t>
            </w:r>
            <w:r w:rsidR="008C108B">
              <w:rPr>
                <w:noProof/>
                <w:webHidden/>
              </w:rPr>
              <w:fldChar w:fldCharType="end"/>
            </w:r>
          </w:hyperlink>
        </w:p>
        <w:p w14:paraId="0190D31C" w14:textId="0FB4F467" w:rsidR="008C108B" w:rsidRDefault="009B7888" w:rsidP="00CA001C">
          <w:pPr>
            <w:pStyle w:val="TOC2"/>
            <w:rPr>
              <w:rFonts w:eastAsiaTheme="minorEastAsia"/>
              <w:noProof/>
            </w:rPr>
          </w:pPr>
          <w:hyperlink w:anchor="_Toc129168560" w:history="1">
            <w:r w:rsidR="008C108B" w:rsidRPr="003D4CBD">
              <w:rPr>
                <w:rStyle w:val="Hyperlink"/>
                <w:rFonts w:ascii="Arial" w:hAnsi="Arial"/>
                <w:bCs/>
                <w:iCs/>
                <w:noProof/>
                <w:spacing w:val="10"/>
              </w:rPr>
              <w:t>7.</w:t>
            </w:r>
            <w:r w:rsidR="008C108B">
              <w:rPr>
                <w:rFonts w:eastAsiaTheme="minorEastAsia"/>
                <w:noProof/>
              </w:rPr>
              <w:tab/>
            </w:r>
            <w:r w:rsidR="008C108B" w:rsidRPr="003D4CBD">
              <w:rPr>
                <w:rStyle w:val="Hyperlink"/>
                <w:rFonts w:ascii="Arial" w:hAnsi="Arial"/>
                <w:bCs/>
                <w:iCs/>
                <w:noProof/>
                <w:spacing w:val="10"/>
              </w:rPr>
              <w:t>Type of Program / Sub-Program Implementer (PA-delivered, third party-delivered or Partnership):</w:t>
            </w:r>
            <w:r w:rsidR="008C108B">
              <w:rPr>
                <w:noProof/>
                <w:webHidden/>
              </w:rPr>
              <w:tab/>
            </w:r>
            <w:r w:rsidR="008C108B">
              <w:rPr>
                <w:noProof/>
                <w:webHidden/>
              </w:rPr>
              <w:fldChar w:fldCharType="begin"/>
            </w:r>
            <w:r w:rsidR="008C108B">
              <w:rPr>
                <w:noProof/>
                <w:webHidden/>
              </w:rPr>
              <w:instrText xml:space="preserve"> PAGEREF _Toc129168560 \h </w:instrText>
            </w:r>
            <w:r w:rsidR="008C108B">
              <w:rPr>
                <w:noProof/>
                <w:webHidden/>
              </w:rPr>
            </w:r>
            <w:r w:rsidR="008C108B">
              <w:rPr>
                <w:noProof/>
                <w:webHidden/>
              </w:rPr>
              <w:fldChar w:fldCharType="separate"/>
            </w:r>
            <w:r w:rsidR="00E641E9">
              <w:rPr>
                <w:noProof/>
                <w:webHidden/>
              </w:rPr>
              <w:t>2</w:t>
            </w:r>
            <w:r w:rsidR="008C108B">
              <w:rPr>
                <w:noProof/>
                <w:webHidden/>
              </w:rPr>
              <w:fldChar w:fldCharType="end"/>
            </w:r>
          </w:hyperlink>
        </w:p>
        <w:p w14:paraId="2BFF8156" w14:textId="1471302D" w:rsidR="008C108B" w:rsidRDefault="009B7888" w:rsidP="00CA001C">
          <w:pPr>
            <w:pStyle w:val="TOC2"/>
            <w:rPr>
              <w:rFonts w:eastAsiaTheme="minorEastAsia"/>
              <w:noProof/>
            </w:rPr>
          </w:pPr>
          <w:hyperlink w:anchor="_Toc129168561" w:history="1">
            <w:r w:rsidR="008C108B" w:rsidRPr="003D4CBD">
              <w:rPr>
                <w:rStyle w:val="Hyperlink"/>
                <w:rFonts w:ascii="Arial" w:hAnsi="Arial"/>
                <w:bCs/>
                <w:iCs/>
                <w:noProof/>
                <w:spacing w:val="10"/>
              </w:rPr>
              <w:t>8.</w:t>
            </w:r>
            <w:r w:rsidR="008C108B">
              <w:rPr>
                <w:rFonts w:eastAsiaTheme="minorEastAsia"/>
                <w:noProof/>
              </w:rPr>
              <w:tab/>
            </w:r>
            <w:r w:rsidR="008C108B" w:rsidRPr="003D4CBD">
              <w:rPr>
                <w:rStyle w:val="Hyperlink"/>
                <w:rFonts w:ascii="Arial" w:hAnsi="Arial"/>
                <w:bCs/>
                <w:iCs/>
                <w:noProof/>
                <w:spacing w:val="10"/>
              </w:rPr>
              <w:t>Market Sector</w:t>
            </w:r>
            <w:r w:rsidR="008C108B">
              <w:rPr>
                <w:noProof/>
                <w:webHidden/>
              </w:rPr>
              <w:tab/>
            </w:r>
            <w:r w:rsidR="008C108B">
              <w:rPr>
                <w:noProof/>
                <w:webHidden/>
              </w:rPr>
              <w:fldChar w:fldCharType="begin"/>
            </w:r>
            <w:r w:rsidR="008C108B">
              <w:rPr>
                <w:noProof/>
                <w:webHidden/>
              </w:rPr>
              <w:instrText xml:space="preserve"> PAGEREF _Toc129168561 \h </w:instrText>
            </w:r>
            <w:r w:rsidR="008C108B">
              <w:rPr>
                <w:noProof/>
                <w:webHidden/>
              </w:rPr>
            </w:r>
            <w:r w:rsidR="008C108B">
              <w:rPr>
                <w:noProof/>
                <w:webHidden/>
              </w:rPr>
              <w:fldChar w:fldCharType="separate"/>
            </w:r>
            <w:r w:rsidR="00E641E9">
              <w:rPr>
                <w:noProof/>
                <w:webHidden/>
              </w:rPr>
              <w:t>2</w:t>
            </w:r>
            <w:r w:rsidR="008C108B">
              <w:rPr>
                <w:noProof/>
                <w:webHidden/>
              </w:rPr>
              <w:fldChar w:fldCharType="end"/>
            </w:r>
          </w:hyperlink>
        </w:p>
        <w:p w14:paraId="04118183" w14:textId="19943580" w:rsidR="008C108B" w:rsidRDefault="009B7888" w:rsidP="00CA001C">
          <w:pPr>
            <w:pStyle w:val="TOC2"/>
            <w:rPr>
              <w:rFonts w:eastAsiaTheme="minorEastAsia"/>
              <w:noProof/>
            </w:rPr>
          </w:pPr>
          <w:hyperlink w:anchor="_Toc129168562" w:history="1">
            <w:r w:rsidR="008C108B" w:rsidRPr="003D4CBD">
              <w:rPr>
                <w:rStyle w:val="Hyperlink"/>
                <w:rFonts w:ascii="Arial" w:hAnsi="Arial"/>
                <w:bCs/>
                <w:iCs/>
                <w:noProof/>
                <w:spacing w:val="10"/>
              </w:rPr>
              <w:t>9.</w:t>
            </w:r>
            <w:r w:rsidR="008C108B">
              <w:rPr>
                <w:rFonts w:eastAsiaTheme="minorEastAsia"/>
                <w:noProof/>
              </w:rPr>
              <w:tab/>
            </w:r>
            <w:r w:rsidR="008C108B" w:rsidRPr="003D4CBD">
              <w:rPr>
                <w:rStyle w:val="Hyperlink"/>
                <w:rFonts w:ascii="Arial" w:hAnsi="Arial"/>
                <w:bCs/>
                <w:iCs/>
                <w:noProof/>
                <w:spacing w:val="10"/>
              </w:rPr>
              <w:t>Program/Sub-Program Type</w:t>
            </w:r>
            <w:r w:rsidR="008C108B">
              <w:rPr>
                <w:noProof/>
                <w:webHidden/>
              </w:rPr>
              <w:tab/>
            </w:r>
            <w:r w:rsidR="008C108B">
              <w:rPr>
                <w:noProof/>
                <w:webHidden/>
              </w:rPr>
              <w:fldChar w:fldCharType="begin"/>
            </w:r>
            <w:r w:rsidR="008C108B">
              <w:rPr>
                <w:noProof/>
                <w:webHidden/>
              </w:rPr>
              <w:instrText xml:space="preserve"> PAGEREF _Toc129168562 \h </w:instrText>
            </w:r>
            <w:r w:rsidR="008C108B">
              <w:rPr>
                <w:noProof/>
                <w:webHidden/>
              </w:rPr>
            </w:r>
            <w:r w:rsidR="008C108B">
              <w:rPr>
                <w:noProof/>
                <w:webHidden/>
              </w:rPr>
              <w:fldChar w:fldCharType="separate"/>
            </w:r>
            <w:r w:rsidR="00E641E9">
              <w:rPr>
                <w:noProof/>
                <w:webHidden/>
              </w:rPr>
              <w:t>2</w:t>
            </w:r>
            <w:r w:rsidR="008C108B">
              <w:rPr>
                <w:noProof/>
                <w:webHidden/>
              </w:rPr>
              <w:fldChar w:fldCharType="end"/>
            </w:r>
          </w:hyperlink>
        </w:p>
        <w:p w14:paraId="2EA21F39" w14:textId="6BFCF32E" w:rsidR="008C108B" w:rsidRDefault="009B7888" w:rsidP="00CA001C">
          <w:pPr>
            <w:pStyle w:val="TOC2"/>
            <w:rPr>
              <w:rFonts w:eastAsiaTheme="minorEastAsia"/>
              <w:noProof/>
            </w:rPr>
          </w:pPr>
          <w:hyperlink w:anchor="_Toc129168563" w:history="1">
            <w:r w:rsidR="008C108B" w:rsidRPr="003D4CBD">
              <w:rPr>
                <w:rStyle w:val="Hyperlink"/>
                <w:rFonts w:ascii="Arial" w:hAnsi="Arial"/>
                <w:bCs/>
                <w:iCs/>
                <w:noProof/>
                <w:spacing w:val="10"/>
              </w:rPr>
              <w:t>10.</w:t>
            </w:r>
            <w:r w:rsidR="008C108B">
              <w:rPr>
                <w:rFonts w:eastAsiaTheme="minorEastAsia"/>
                <w:noProof/>
              </w:rPr>
              <w:tab/>
            </w:r>
            <w:r w:rsidR="008C108B" w:rsidRPr="003D4CBD">
              <w:rPr>
                <w:rStyle w:val="Hyperlink"/>
                <w:rFonts w:ascii="Arial" w:hAnsi="Arial"/>
                <w:bCs/>
                <w:iCs/>
                <w:noProof/>
                <w:spacing w:val="10"/>
              </w:rPr>
              <w:t>Market channel(s) (i.e., downstream, midstream, and/or upstream) and Intervention Strategies (e.g., direct install, incentive, finance, audit, technical assistance, etc.), campaign goals, and timeline</w:t>
            </w:r>
            <w:r w:rsidR="008C108B">
              <w:rPr>
                <w:noProof/>
                <w:webHidden/>
              </w:rPr>
              <w:tab/>
            </w:r>
            <w:r w:rsidR="008C108B">
              <w:rPr>
                <w:noProof/>
                <w:webHidden/>
              </w:rPr>
              <w:fldChar w:fldCharType="begin"/>
            </w:r>
            <w:r w:rsidR="008C108B">
              <w:rPr>
                <w:noProof/>
                <w:webHidden/>
              </w:rPr>
              <w:instrText xml:space="preserve"> PAGEREF _Toc129168563 \h </w:instrText>
            </w:r>
            <w:r w:rsidR="008C108B">
              <w:rPr>
                <w:noProof/>
                <w:webHidden/>
              </w:rPr>
            </w:r>
            <w:r w:rsidR="008C108B">
              <w:rPr>
                <w:noProof/>
                <w:webHidden/>
              </w:rPr>
              <w:fldChar w:fldCharType="separate"/>
            </w:r>
            <w:r w:rsidR="00E641E9">
              <w:rPr>
                <w:noProof/>
                <w:webHidden/>
              </w:rPr>
              <w:t>2</w:t>
            </w:r>
            <w:r w:rsidR="008C108B">
              <w:rPr>
                <w:noProof/>
                <w:webHidden/>
              </w:rPr>
              <w:fldChar w:fldCharType="end"/>
            </w:r>
          </w:hyperlink>
        </w:p>
        <w:p w14:paraId="1C949860" w14:textId="61494A92" w:rsidR="008C108B" w:rsidRDefault="009B7888" w:rsidP="008C108B">
          <w:pPr>
            <w:pStyle w:val="TOC1"/>
            <w:rPr>
              <w:rFonts w:eastAsiaTheme="minorEastAsia"/>
            </w:rPr>
          </w:pPr>
          <w:hyperlink w:anchor="_Toc129168564" w:history="1">
            <w:r w:rsidR="008C108B" w:rsidRPr="003D4CBD">
              <w:rPr>
                <w:rStyle w:val="Hyperlink"/>
              </w:rPr>
              <w:t>Implementation Plan Narrative</w:t>
            </w:r>
            <w:r w:rsidR="008C108B">
              <w:rPr>
                <w:webHidden/>
              </w:rPr>
              <w:tab/>
            </w:r>
            <w:r w:rsidR="008C108B">
              <w:rPr>
                <w:webHidden/>
              </w:rPr>
              <w:fldChar w:fldCharType="begin"/>
            </w:r>
            <w:r w:rsidR="008C108B">
              <w:rPr>
                <w:webHidden/>
              </w:rPr>
              <w:instrText xml:space="preserve"> PAGEREF _Toc129168564 \h </w:instrText>
            </w:r>
            <w:r w:rsidR="008C108B">
              <w:rPr>
                <w:webHidden/>
              </w:rPr>
            </w:r>
            <w:r w:rsidR="008C108B">
              <w:rPr>
                <w:webHidden/>
              </w:rPr>
              <w:fldChar w:fldCharType="separate"/>
            </w:r>
            <w:r w:rsidR="00E641E9">
              <w:rPr>
                <w:webHidden/>
              </w:rPr>
              <w:t>3</w:t>
            </w:r>
            <w:r w:rsidR="008C108B">
              <w:rPr>
                <w:webHidden/>
              </w:rPr>
              <w:fldChar w:fldCharType="end"/>
            </w:r>
          </w:hyperlink>
        </w:p>
        <w:p w14:paraId="0BA661B9" w14:textId="10722038" w:rsidR="008C108B" w:rsidRDefault="009B7888" w:rsidP="00CA001C">
          <w:pPr>
            <w:pStyle w:val="TOC2"/>
            <w:rPr>
              <w:rFonts w:eastAsiaTheme="minorEastAsia"/>
              <w:noProof/>
            </w:rPr>
          </w:pPr>
          <w:hyperlink w:anchor="_Toc129168565" w:history="1">
            <w:r w:rsidR="008C108B" w:rsidRPr="003D4CBD">
              <w:rPr>
                <w:rStyle w:val="Hyperlink"/>
                <w:rFonts w:ascii="Arial" w:hAnsi="Arial"/>
                <w:bCs/>
                <w:iCs/>
                <w:noProof/>
                <w:spacing w:val="10"/>
              </w:rPr>
              <w:t>1.</w:t>
            </w:r>
            <w:r w:rsidR="008C108B">
              <w:rPr>
                <w:rFonts w:eastAsiaTheme="minorEastAsia"/>
                <w:noProof/>
              </w:rPr>
              <w:tab/>
            </w:r>
            <w:r w:rsidR="008C108B" w:rsidRPr="003D4CBD">
              <w:rPr>
                <w:rStyle w:val="Hyperlink"/>
                <w:rFonts w:ascii="Arial" w:hAnsi="Arial"/>
                <w:bCs/>
                <w:iCs/>
                <w:noProof/>
                <w:spacing w:val="10"/>
              </w:rPr>
              <w:t>Program Description</w:t>
            </w:r>
            <w:r w:rsidR="008C108B">
              <w:rPr>
                <w:noProof/>
                <w:webHidden/>
              </w:rPr>
              <w:tab/>
            </w:r>
            <w:r w:rsidR="008C108B">
              <w:rPr>
                <w:noProof/>
                <w:webHidden/>
              </w:rPr>
              <w:fldChar w:fldCharType="begin"/>
            </w:r>
            <w:r w:rsidR="008C108B">
              <w:rPr>
                <w:noProof/>
                <w:webHidden/>
              </w:rPr>
              <w:instrText xml:space="preserve"> PAGEREF _Toc129168565 \h </w:instrText>
            </w:r>
            <w:r w:rsidR="008C108B">
              <w:rPr>
                <w:noProof/>
                <w:webHidden/>
              </w:rPr>
            </w:r>
            <w:r w:rsidR="008C108B">
              <w:rPr>
                <w:noProof/>
                <w:webHidden/>
              </w:rPr>
              <w:fldChar w:fldCharType="separate"/>
            </w:r>
            <w:r w:rsidR="00E641E9">
              <w:rPr>
                <w:noProof/>
                <w:webHidden/>
              </w:rPr>
              <w:t>3</w:t>
            </w:r>
            <w:r w:rsidR="008C108B">
              <w:rPr>
                <w:noProof/>
                <w:webHidden/>
              </w:rPr>
              <w:fldChar w:fldCharType="end"/>
            </w:r>
          </w:hyperlink>
        </w:p>
        <w:p w14:paraId="08FFB2F1" w14:textId="19AC1907" w:rsidR="008C108B" w:rsidRDefault="009B7888" w:rsidP="00CA001C">
          <w:pPr>
            <w:pStyle w:val="TOC2"/>
            <w:rPr>
              <w:rFonts w:eastAsiaTheme="minorEastAsia"/>
              <w:noProof/>
            </w:rPr>
          </w:pPr>
          <w:hyperlink w:anchor="_Toc129168566" w:history="1">
            <w:r w:rsidR="008C108B" w:rsidRPr="003D4CBD">
              <w:rPr>
                <w:rStyle w:val="Hyperlink"/>
                <w:rFonts w:ascii="Arial" w:hAnsi="Arial"/>
                <w:bCs/>
                <w:iCs/>
                <w:noProof/>
                <w:spacing w:val="10"/>
              </w:rPr>
              <w:t>2.</w:t>
            </w:r>
            <w:r w:rsidR="008C108B">
              <w:rPr>
                <w:rFonts w:eastAsiaTheme="minorEastAsia"/>
                <w:noProof/>
              </w:rPr>
              <w:tab/>
            </w:r>
            <w:r w:rsidR="008C108B" w:rsidRPr="003D4CBD">
              <w:rPr>
                <w:rStyle w:val="Hyperlink"/>
                <w:rFonts w:ascii="Arial" w:hAnsi="Arial"/>
                <w:bCs/>
                <w:iCs/>
                <w:noProof/>
                <w:spacing w:val="10"/>
              </w:rPr>
              <w:t>Program Delivery and Customer Services</w:t>
            </w:r>
            <w:r w:rsidR="008C108B">
              <w:rPr>
                <w:noProof/>
                <w:webHidden/>
              </w:rPr>
              <w:tab/>
            </w:r>
            <w:r w:rsidR="008C108B">
              <w:rPr>
                <w:noProof/>
                <w:webHidden/>
              </w:rPr>
              <w:fldChar w:fldCharType="begin"/>
            </w:r>
            <w:r w:rsidR="008C108B">
              <w:rPr>
                <w:noProof/>
                <w:webHidden/>
              </w:rPr>
              <w:instrText xml:space="preserve"> PAGEREF _Toc129168566 \h </w:instrText>
            </w:r>
            <w:r w:rsidR="008C108B">
              <w:rPr>
                <w:noProof/>
                <w:webHidden/>
              </w:rPr>
            </w:r>
            <w:r w:rsidR="008C108B">
              <w:rPr>
                <w:noProof/>
                <w:webHidden/>
              </w:rPr>
              <w:fldChar w:fldCharType="separate"/>
            </w:r>
            <w:r w:rsidR="00E641E9">
              <w:rPr>
                <w:noProof/>
                <w:webHidden/>
              </w:rPr>
              <w:t>3</w:t>
            </w:r>
            <w:r w:rsidR="008C108B">
              <w:rPr>
                <w:noProof/>
                <w:webHidden/>
              </w:rPr>
              <w:fldChar w:fldCharType="end"/>
            </w:r>
          </w:hyperlink>
        </w:p>
        <w:p w14:paraId="54807046" w14:textId="4D6099F8" w:rsidR="008C108B" w:rsidRDefault="009B7888" w:rsidP="00CA001C">
          <w:pPr>
            <w:pStyle w:val="TOC2"/>
            <w:rPr>
              <w:rFonts w:eastAsiaTheme="minorEastAsia"/>
              <w:noProof/>
            </w:rPr>
          </w:pPr>
          <w:hyperlink w:anchor="_Toc129168567" w:history="1">
            <w:r w:rsidR="008C108B" w:rsidRPr="003D4CBD">
              <w:rPr>
                <w:rStyle w:val="Hyperlink"/>
                <w:rFonts w:ascii="Arial" w:hAnsi="Arial"/>
                <w:bCs/>
                <w:iCs/>
                <w:noProof/>
                <w:spacing w:val="10"/>
              </w:rPr>
              <w:t>3.</w:t>
            </w:r>
            <w:r w:rsidR="008C108B">
              <w:rPr>
                <w:rFonts w:eastAsiaTheme="minorEastAsia"/>
                <w:noProof/>
              </w:rPr>
              <w:tab/>
            </w:r>
            <w:r w:rsidR="008C108B" w:rsidRPr="003D4CBD">
              <w:rPr>
                <w:rStyle w:val="Hyperlink"/>
                <w:rFonts w:ascii="Arial" w:hAnsi="Arial"/>
                <w:bCs/>
                <w:iCs/>
                <w:noProof/>
                <w:spacing w:val="10"/>
              </w:rPr>
              <w:t>Program Design and Best Practices</w:t>
            </w:r>
            <w:r w:rsidR="008C108B">
              <w:rPr>
                <w:noProof/>
                <w:webHidden/>
              </w:rPr>
              <w:tab/>
            </w:r>
            <w:r w:rsidR="008C108B">
              <w:rPr>
                <w:noProof/>
                <w:webHidden/>
              </w:rPr>
              <w:fldChar w:fldCharType="begin"/>
            </w:r>
            <w:r w:rsidR="008C108B">
              <w:rPr>
                <w:noProof/>
                <w:webHidden/>
              </w:rPr>
              <w:instrText xml:space="preserve"> PAGEREF _Toc129168567 \h </w:instrText>
            </w:r>
            <w:r w:rsidR="008C108B">
              <w:rPr>
                <w:noProof/>
                <w:webHidden/>
              </w:rPr>
            </w:r>
            <w:r w:rsidR="008C108B">
              <w:rPr>
                <w:noProof/>
                <w:webHidden/>
              </w:rPr>
              <w:fldChar w:fldCharType="separate"/>
            </w:r>
            <w:r w:rsidR="00E641E9">
              <w:rPr>
                <w:noProof/>
                <w:webHidden/>
              </w:rPr>
              <w:t>3</w:t>
            </w:r>
            <w:r w:rsidR="008C108B">
              <w:rPr>
                <w:noProof/>
                <w:webHidden/>
              </w:rPr>
              <w:fldChar w:fldCharType="end"/>
            </w:r>
          </w:hyperlink>
        </w:p>
        <w:p w14:paraId="5E600FC6" w14:textId="776D6692" w:rsidR="008C108B" w:rsidRDefault="009B7888" w:rsidP="00CA001C">
          <w:pPr>
            <w:pStyle w:val="TOC2"/>
            <w:rPr>
              <w:rFonts w:eastAsiaTheme="minorEastAsia"/>
              <w:noProof/>
            </w:rPr>
          </w:pPr>
          <w:hyperlink w:anchor="_Toc129168568" w:history="1">
            <w:r w:rsidR="008C108B" w:rsidRPr="003D4CBD">
              <w:rPr>
                <w:rStyle w:val="Hyperlink"/>
                <w:rFonts w:ascii="Arial" w:hAnsi="Arial"/>
                <w:bCs/>
                <w:iCs/>
                <w:noProof/>
                <w:spacing w:val="10"/>
              </w:rPr>
              <w:t>4.</w:t>
            </w:r>
            <w:r w:rsidR="008C108B">
              <w:rPr>
                <w:rFonts w:eastAsiaTheme="minorEastAsia"/>
                <w:noProof/>
              </w:rPr>
              <w:tab/>
            </w:r>
            <w:r w:rsidR="008C108B" w:rsidRPr="003D4CBD">
              <w:rPr>
                <w:rStyle w:val="Hyperlink"/>
                <w:rFonts w:ascii="Arial" w:hAnsi="Arial"/>
                <w:bCs/>
                <w:iCs/>
                <w:noProof/>
                <w:spacing w:val="10"/>
              </w:rPr>
              <w:t>Innovation</w:t>
            </w:r>
            <w:r w:rsidR="008C108B">
              <w:rPr>
                <w:noProof/>
                <w:webHidden/>
              </w:rPr>
              <w:tab/>
            </w:r>
            <w:r w:rsidR="008C108B">
              <w:rPr>
                <w:noProof/>
                <w:webHidden/>
              </w:rPr>
              <w:fldChar w:fldCharType="begin"/>
            </w:r>
            <w:r w:rsidR="008C108B">
              <w:rPr>
                <w:noProof/>
                <w:webHidden/>
              </w:rPr>
              <w:instrText xml:space="preserve"> PAGEREF _Toc129168568 \h </w:instrText>
            </w:r>
            <w:r w:rsidR="008C108B">
              <w:rPr>
                <w:noProof/>
                <w:webHidden/>
              </w:rPr>
            </w:r>
            <w:r w:rsidR="008C108B">
              <w:rPr>
                <w:noProof/>
                <w:webHidden/>
              </w:rPr>
              <w:fldChar w:fldCharType="separate"/>
            </w:r>
            <w:r w:rsidR="00E641E9">
              <w:rPr>
                <w:noProof/>
                <w:webHidden/>
              </w:rPr>
              <w:t>4</w:t>
            </w:r>
            <w:r w:rsidR="008C108B">
              <w:rPr>
                <w:noProof/>
                <w:webHidden/>
              </w:rPr>
              <w:fldChar w:fldCharType="end"/>
            </w:r>
          </w:hyperlink>
        </w:p>
        <w:p w14:paraId="2649F519" w14:textId="4D9C3171" w:rsidR="008C108B" w:rsidRDefault="009B7888" w:rsidP="00CA001C">
          <w:pPr>
            <w:pStyle w:val="TOC2"/>
            <w:rPr>
              <w:rFonts w:eastAsiaTheme="minorEastAsia"/>
              <w:noProof/>
            </w:rPr>
          </w:pPr>
          <w:hyperlink w:anchor="_Toc129168569" w:history="1">
            <w:r w:rsidR="008C108B" w:rsidRPr="003D4CBD">
              <w:rPr>
                <w:rStyle w:val="Hyperlink"/>
                <w:rFonts w:ascii="Arial" w:hAnsi="Arial"/>
                <w:bCs/>
                <w:iCs/>
                <w:noProof/>
                <w:spacing w:val="10"/>
              </w:rPr>
              <w:t>5.</w:t>
            </w:r>
            <w:r w:rsidR="008C108B">
              <w:rPr>
                <w:rFonts w:eastAsiaTheme="minorEastAsia"/>
                <w:noProof/>
              </w:rPr>
              <w:tab/>
            </w:r>
            <w:r w:rsidR="008C108B" w:rsidRPr="003D4CBD">
              <w:rPr>
                <w:rStyle w:val="Hyperlink"/>
                <w:rFonts w:ascii="Arial" w:hAnsi="Arial"/>
                <w:bCs/>
                <w:iCs/>
                <w:noProof/>
                <w:spacing w:val="10"/>
              </w:rPr>
              <w:t>Metrics</w:t>
            </w:r>
            <w:r w:rsidR="008C108B">
              <w:rPr>
                <w:noProof/>
                <w:webHidden/>
              </w:rPr>
              <w:tab/>
            </w:r>
            <w:r w:rsidR="008C108B">
              <w:rPr>
                <w:noProof/>
                <w:webHidden/>
              </w:rPr>
              <w:fldChar w:fldCharType="begin"/>
            </w:r>
            <w:r w:rsidR="008C108B">
              <w:rPr>
                <w:noProof/>
                <w:webHidden/>
              </w:rPr>
              <w:instrText xml:space="preserve"> PAGEREF _Toc129168569 \h </w:instrText>
            </w:r>
            <w:r w:rsidR="008C108B">
              <w:rPr>
                <w:noProof/>
                <w:webHidden/>
              </w:rPr>
            </w:r>
            <w:r w:rsidR="008C108B">
              <w:rPr>
                <w:noProof/>
                <w:webHidden/>
              </w:rPr>
              <w:fldChar w:fldCharType="separate"/>
            </w:r>
            <w:r w:rsidR="00E641E9">
              <w:rPr>
                <w:noProof/>
                <w:webHidden/>
              </w:rPr>
              <w:t>4</w:t>
            </w:r>
            <w:r w:rsidR="008C108B">
              <w:rPr>
                <w:noProof/>
                <w:webHidden/>
              </w:rPr>
              <w:fldChar w:fldCharType="end"/>
            </w:r>
          </w:hyperlink>
        </w:p>
        <w:p w14:paraId="7E4C9592" w14:textId="5EC8F4F5" w:rsidR="008C108B" w:rsidRDefault="009B7888" w:rsidP="00CA001C">
          <w:pPr>
            <w:pStyle w:val="TOC2"/>
            <w:rPr>
              <w:rFonts w:eastAsiaTheme="minorEastAsia"/>
              <w:noProof/>
            </w:rPr>
          </w:pPr>
          <w:hyperlink w:anchor="_Toc129168570" w:history="1">
            <w:r w:rsidR="008C108B" w:rsidRPr="003D4CBD">
              <w:rPr>
                <w:rStyle w:val="Hyperlink"/>
                <w:rFonts w:ascii="Arial" w:hAnsi="Arial"/>
                <w:bCs/>
                <w:iCs/>
                <w:noProof/>
                <w:spacing w:val="10"/>
              </w:rPr>
              <w:t>6.</w:t>
            </w:r>
            <w:r w:rsidR="008C108B">
              <w:rPr>
                <w:rFonts w:eastAsiaTheme="minorEastAsia"/>
                <w:noProof/>
              </w:rPr>
              <w:tab/>
            </w:r>
            <w:r w:rsidR="008C108B" w:rsidRPr="003D4CBD">
              <w:rPr>
                <w:rStyle w:val="Hyperlink"/>
                <w:rFonts w:ascii="Arial" w:hAnsi="Arial"/>
                <w:bCs/>
                <w:iCs/>
                <w:noProof/>
                <w:spacing w:val="10"/>
              </w:rPr>
              <w:t>For Programs claiming to</w:t>
            </w:r>
            <w:r w:rsidR="008C108B" w:rsidRPr="003D4CBD">
              <w:rPr>
                <w:rStyle w:val="Hyperlink"/>
                <w:rFonts w:ascii="Cambria Math" w:hAnsi="Cambria Math" w:cs="Cambria Math"/>
                <w:bCs/>
                <w:iCs/>
                <w:noProof/>
                <w:spacing w:val="10"/>
              </w:rPr>
              <w:t>‐</w:t>
            </w:r>
            <w:r w:rsidR="008C108B" w:rsidRPr="003D4CBD">
              <w:rPr>
                <w:rStyle w:val="Hyperlink"/>
                <w:rFonts w:ascii="Arial" w:hAnsi="Arial"/>
                <w:bCs/>
                <w:iCs/>
                <w:noProof/>
                <w:spacing w:val="10"/>
              </w:rPr>
              <w:t>code savings</w:t>
            </w:r>
            <w:r w:rsidR="008C108B">
              <w:rPr>
                <w:noProof/>
                <w:webHidden/>
              </w:rPr>
              <w:tab/>
            </w:r>
            <w:r w:rsidR="008C108B">
              <w:rPr>
                <w:noProof/>
                <w:webHidden/>
              </w:rPr>
              <w:fldChar w:fldCharType="begin"/>
            </w:r>
            <w:r w:rsidR="008C108B">
              <w:rPr>
                <w:noProof/>
                <w:webHidden/>
              </w:rPr>
              <w:instrText xml:space="preserve"> PAGEREF _Toc129168570 \h </w:instrText>
            </w:r>
            <w:r w:rsidR="008C108B">
              <w:rPr>
                <w:noProof/>
                <w:webHidden/>
              </w:rPr>
            </w:r>
            <w:r w:rsidR="008C108B">
              <w:rPr>
                <w:noProof/>
                <w:webHidden/>
              </w:rPr>
              <w:fldChar w:fldCharType="separate"/>
            </w:r>
            <w:r w:rsidR="00E641E9">
              <w:rPr>
                <w:noProof/>
                <w:webHidden/>
              </w:rPr>
              <w:t>5</w:t>
            </w:r>
            <w:r w:rsidR="008C108B">
              <w:rPr>
                <w:noProof/>
                <w:webHidden/>
              </w:rPr>
              <w:fldChar w:fldCharType="end"/>
            </w:r>
          </w:hyperlink>
        </w:p>
        <w:p w14:paraId="5B130BE8" w14:textId="52F5BAAF" w:rsidR="008C108B" w:rsidRDefault="009B7888" w:rsidP="00CA001C">
          <w:pPr>
            <w:pStyle w:val="TOC2"/>
            <w:rPr>
              <w:rFonts w:eastAsiaTheme="minorEastAsia"/>
              <w:noProof/>
            </w:rPr>
          </w:pPr>
          <w:hyperlink w:anchor="_Toc129168571" w:history="1">
            <w:r w:rsidR="008C108B" w:rsidRPr="003D4CBD">
              <w:rPr>
                <w:rStyle w:val="Hyperlink"/>
                <w:rFonts w:ascii="Arial" w:hAnsi="Arial"/>
                <w:bCs/>
                <w:iCs/>
                <w:noProof/>
                <w:spacing w:val="10"/>
              </w:rPr>
              <w:t>7.</w:t>
            </w:r>
            <w:r w:rsidR="008C108B">
              <w:rPr>
                <w:rFonts w:eastAsiaTheme="minorEastAsia"/>
                <w:noProof/>
              </w:rPr>
              <w:tab/>
            </w:r>
            <w:r w:rsidR="008C108B" w:rsidRPr="003D4CBD">
              <w:rPr>
                <w:rStyle w:val="Hyperlink"/>
                <w:rFonts w:ascii="Arial" w:hAnsi="Arial"/>
                <w:bCs/>
                <w:iCs/>
                <w:noProof/>
                <w:spacing w:val="10"/>
              </w:rPr>
              <w:t>Pilots</w:t>
            </w:r>
            <w:r w:rsidR="008C108B">
              <w:rPr>
                <w:noProof/>
                <w:webHidden/>
              </w:rPr>
              <w:tab/>
            </w:r>
            <w:r w:rsidR="008C108B">
              <w:rPr>
                <w:noProof/>
                <w:webHidden/>
              </w:rPr>
              <w:fldChar w:fldCharType="begin"/>
            </w:r>
            <w:r w:rsidR="008C108B">
              <w:rPr>
                <w:noProof/>
                <w:webHidden/>
              </w:rPr>
              <w:instrText xml:space="preserve"> PAGEREF _Toc129168571 \h </w:instrText>
            </w:r>
            <w:r w:rsidR="008C108B">
              <w:rPr>
                <w:noProof/>
                <w:webHidden/>
              </w:rPr>
            </w:r>
            <w:r w:rsidR="008C108B">
              <w:rPr>
                <w:noProof/>
                <w:webHidden/>
              </w:rPr>
              <w:fldChar w:fldCharType="separate"/>
            </w:r>
            <w:r w:rsidR="00E641E9">
              <w:rPr>
                <w:noProof/>
                <w:webHidden/>
              </w:rPr>
              <w:t>5</w:t>
            </w:r>
            <w:r w:rsidR="008C108B">
              <w:rPr>
                <w:noProof/>
                <w:webHidden/>
              </w:rPr>
              <w:fldChar w:fldCharType="end"/>
            </w:r>
          </w:hyperlink>
        </w:p>
        <w:p w14:paraId="04BCA584" w14:textId="4226DE3F" w:rsidR="008C108B" w:rsidRDefault="009B7888" w:rsidP="00CA001C">
          <w:pPr>
            <w:pStyle w:val="TOC2"/>
            <w:rPr>
              <w:rFonts w:eastAsiaTheme="minorEastAsia"/>
              <w:noProof/>
            </w:rPr>
          </w:pPr>
          <w:hyperlink w:anchor="_Toc129168572" w:history="1">
            <w:r w:rsidR="008C108B" w:rsidRPr="003D4CBD">
              <w:rPr>
                <w:rStyle w:val="Hyperlink"/>
                <w:rFonts w:ascii="Arial" w:hAnsi="Arial"/>
                <w:bCs/>
                <w:iCs/>
                <w:noProof/>
                <w:spacing w:val="10"/>
              </w:rPr>
              <w:t>8.</w:t>
            </w:r>
            <w:r w:rsidR="008C108B">
              <w:rPr>
                <w:rFonts w:eastAsiaTheme="minorEastAsia"/>
                <w:noProof/>
              </w:rPr>
              <w:tab/>
            </w:r>
            <w:r w:rsidR="008C108B" w:rsidRPr="003D4CBD">
              <w:rPr>
                <w:rStyle w:val="Hyperlink"/>
                <w:rFonts w:ascii="Arial" w:hAnsi="Arial"/>
                <w:bCs/>
                <w:iCs/>
                <w:noProof/>
                <w:spacing w:val="10"/>
              </w:rPr>
              <w:t>Workforce Education and Training</w:t>
            </w:r>
            <w:r w:rsidR="008C108B">
              <w:rPr>
                <w:noProof/>
                <w:webHidden/>
              </w:rPr>
              <w:tab/>
            </w:r>
            <w:r w:rsidR="008C108B">
              <w:rPr>
                <w:noProof/>
                <w:webHidden/>
              </w:rPr>
              <w:fldChar w:fldCharType="begin"/>
            </w:r>
            <w:r w:rsidR="008C108B">
              <w:rPr>
                <w:noProof/>
                <w:webHidden/>
              </w:rPr>
              <w:instrText xml:space="preserve"> PAGEREF _Toc129168572 \h </w:instrText>
            </w:r>
            <w:r w:rsidR="008C108B">
              <w:rPr>
                <w:noProof/>
                <w:webHidden/>
              </w:rPr>
            </w:r>
            <w:r w:rsidR="008C108B">
              <w:rPr>
                <w:noProof/>
                <w:webHidden/>
              </w:rPr>
              <w:fldChar w:fldCharType="separate"/>
            </w:r>
            <w:r w:rsidR="00E641E9">
              <w:rPr>
                <w:noProof/>
                <w:webHidden/>
              </w:rPr>
              <w:t>5</w:t>
            </w:r>
            <w:r w:rsidR="008C108B">
              <w:rPr>
                <w:noProof/>
                <w:webHidden/>
              </w:rPr>
              <w:fldChar w:fldCharType="end"/>
            </w:r>
          </w:hyperlink>
        </w:p>
        <w:p w14:paraId="54267173" w14:textId="7E39E6F4" w:rsidR="008C108B" w:rsidRDefault="009B7888" w:rsidP="00CA001C">
          <w:pPr>
            <w:pStyle w:val="TOC2"/>
            <w:rPr>
              <w:rFonts w:eastAsiaTheme="minorEastAsia"/>
              <w:noProof/>
            </w:rPr>
          </w:pPr>
          <w:hyperlink w:anchor="_Toc129168573" w:history="1">
            <w:r w:rsidR="008C108B" w:rsidRPr="003D4CBD">
              <w:rPr>
                <w:rStyle w:val="Hyperlink"/>
                <w:rFonts w:ascii="Arial" w:hAnsi="Arial"/>
                <w:bCs/>
                <w:iCs/>
                <w:noProof/>
                <w:spacing w:val="10"/>
              </w:rPr>
              <w:t>9.</w:t>
            </w:r>
            <w:r w:rsidR="008C108B">
              <w:rPr>
                <w:rFonts w:eastAsiaTheme="minorEastAsia"/>
                <w:noProof/>
              </w:rPr>
              <w:tab/>
            </w:r>
            <w:r w:rsidR="008C108B" w:rsidRPr="003D4CBD">
              <w:rPr>
                <w:rStyle w:val="Hyperlink"/>
                <w:rFonts w:ascii="Arial" w:hAnsi="Arial"/>
                <w:bCs/>
                <w:iCs/>
                <w:noProof/>
                <w:spacing w:val="10"/>
              </w:rPr>
              <w:t>Workforce Standards</w:t>
            </w:r>
            <w:r w:rsidR="008C108B">
              <w:rPr>
                <w:noProof/>
                <w:webHidden/>
              </w:rPr>
              <w:tab/>
            </w:r>
            <w:r w:rsidR="008C108B">
              <w:rPr>
                <w:noProof/>
                <w:webHidden/>
              </w:rPr>
              <w:fldChar w:fldCharType="begin"/>
            </w:r>
            <w:r w:rsidR="008C108B">
              <w:rPr>
                <w:noProof/>
                <w:webHidden/>
              </w:rPr>
              <w:instrText xml:space="preserve"> PAGEREF _Toc129168573 \h </w:instrText>
            </w:r>
            <w:r w:rsidR="008C108B">
              <w:rPr>
                <w:noProof/>
                <w:webHidden/>
              </w:rPr>
            </w:r>
            <w:r w:rsidR="008C108B">
              <w:rPr>
                <w:noProof/>
                <w:webHidden/>
              </w:rPr>
              <w:fldChar w:fldCharType="separate"/>
            </w:r>
            <w:r w:rsidR="00E641E9">
              <w:rPr>
                <w:noProof/>
                <w:webHidden/>
              </w:rPr>
              <w:t>5</w:t>
            </w:r>
            <w:r w:rsidR="008C108B">
              <w:rPr>
                <w:noProof/>
                <w:webHidden/>
              </w:rPr>
              <w:fldChar w:fldCharType="end"/>
            </w:r>
          </w:hyperlink>
        </w:p>
        <w:p w14:paraId="61DB20F7" w14:textId="6E5214C2" w:rsidR="008C108B" w:rsidRDefault="009B7888" w:rsidP="00CA001C">
          <w:pPr>
            <w:pStyle w:val="TOC2"/>
            <w:rPr>
              <w:rFonts w:eastAsiaTheme="minorEastAsia"/>
              <w:noProof/>
            </w:rPr>
          </w:pPr>
          <w:hyperlink w:anchor="_Toc129168574" w:history="1">
            <w:r w:rsidR="008C108B" w:rsidRPr="003D4CBD">
              <w:rPr>
                <w:rStyle w:val="Hyperlink"/>
                <w:rFonts w:ascii="Arial" w:hAnsi="Arial"/>
                <w:bCs/>
                <w:iCs/>
                <w:noProof/>
                <w:spacing w:val="10"/>
              </w:rPr>
              <w:t>10.</w:t>
            </w:r>
            <w:r w:rsidR="008C108B">
              <w:rPr>
                <w:rFonts w:eastAsiaTheme="minorEastAsia"/>
                <w:noProof/>
              </w:rPr>
              <w:tab/>
            </w:r>
            <w:r w:rsidR="008C108B" w:rsidRPr="003D4CBD">
              <w:rPr>
                <w:rStyle w:val="Hyperlink"/>
                <w:rFonts w:ascii="Arial" w:hAnsi="Arial"/>
                <w:bCs/>
                <w:iCs/>
                <w:noProof/>
                <w:spacing w:val="10"/>
              </w:rPr>
              <w:t>Disadvantaged Worker Plan</w:t>
            </w:r>
            <w:r w:rsidR="008C108B">
              <w:rPr>
                <w:noProof/>
                <w:webHidden/>
              </w:rPr>
              <w:tab/>
            </w:r>
            <w:r w:rsidR="008C108B">
              <w:rPr>
                <w:noProof/>
                <w:webHidden/>
              </w:rPr>
              <w:fldChar w:fldCharType="begin"/>
            </w:r>
            <w:r w:rsidR="008C108B">
              <w:rPr>
                <w:noProof/>
                <w:webHidden/>
              </w:rPr>
              <w:instrText xml:space="preserve"> PAGEREF _Toc129168574 \h </w:instrText>
            </w:r>
            <w:r w:rsidR="008C108B">
              <w:rPr>
                <w:noProof/>
                <w:webHidden/>
              </w:rPr>
            </w:r>
            <w:r w:rsidR="008C108B">
              <w:rPr>
                <w:noProof/>
                <w:webHidden/>
              </w:rPr>
              <w:fldChar w:fldCharType="separate"/>
            </w:r>
            <w:r w:rsidR="00E641E9">
              <w:rPr>
                <w:noProof/>
                <w:webHidden/>
              </w:rPr>
              <w:t>5</w:t>
            </w:r>
            <w:r w:rsidR="008C108B">
              <w:rPr>
                <w:noProof/>
                <w:webHidden/>
              </w:rPr>
              <w:fldChar w:fldCharType="end"/>
            </w:r>
          </w:hyperlink>
        </w:p>
        <w:p w14:paraId="2E8C9BEB" w14:textId="19807737" w:rsidR="008C108B" w:rsidRDefault="009B7888" w:rsidP="00CA001C">
          <w:pPr>
            <w:pStyle w:val="TOC2"/>
            <w:rPr>
              <w:rFonts w:eastAsiaTheme="minorEastAsia"/>
              <w:noProof/>
            </w:rPr>
          </w:pPr>
          <w:hyperlink w:anchor="_Toc129168575" w:history="1">
            <w:r w:rsidR="008C108B" w:rsidRPr="003D4CBD">
              <w:rPr>
                <w:rStyle w:val="Hyperlink"/>
                <w:rFonts w:ascii="Arial" w:hAnsi="Arial"/>
                <w:bCs/>
                <w:iCs/>
                <w:noProof/>
                <w:spacing w:val="10"/>
              </w:rPr>
              <w:t>11.</w:t>
            </w:r>
            <w:r w:rsidR="008C108B">
              <w:rPr>
                <w:rFonts w:eastAsiaTheme="minorEastAsia"/>
                <w:noProof/>
              </w:rPr>
              <w:tab/>
            </w:r>
            <w:r w:rsidR="008C108B" w:rsidRPr="003D4CBD">
              <w:rPr>
                <w:rStyle w:val="Hyperlink"/>
                <w:rFonts w:ascii="Arial" w:hAnsi="Arial"/>
                <w:bCs/>
                <w:iCs/>
                <w:noProof/>
                <w:spacing w:val="10"/>
              </w:rPr>
              <w:t>Additional information</w:t>
            </w:r>
            <w:r w:rsidR="008C108B">
              <w:rPr>
                <w:noProof/>
                <w:webHidden/>
              </w:rPr>
              <w:tab/>
            </w:r>
            <w:r w:rsidR="008C108B">
              <w:rPr>
                <w:noProof/>
                <w:webHidden/>
              </w:rPr>
              <w:fldChar w:fldCharType="begin"/>
            </w:r>
            <w:r w:rsidR="008C108B">
              <w:rPr>
                <w:noProof/>
                <w:webHidden/>
              </w:rPr>
              <w:instrText xml:space="preserve"> PAGEREF _Toc129168575 \h </w:instrText>
            </w:r>
            <w:r w:rsidR="008C108B">
              <w:rPr>
                <w:noProof/>
                <w:webHidden/>
              </w:rPr>
            </w:r>
            <w:r w:rsidR="008C108B">
              <w:rPr>
                <w:noProof/>
                <w:webHidden/>
              </w:rPr>
              <w:fldChar w:fldCharType="separate"/>
            </w:r>
            <w:r w:rsidR="00E641E9">
              <w:rPr>
                <w:noProof/>
                <w:webHidden/>
              </w:rPr>
              <w:t>6</w:t>
            </w:r>
            <w:r w:rsidR="008C108B">
              <w:rPr>
                <w:noProof/>
                <w:webHidden/>
              </w:rPr>
              <w:fldChar w:fldCharType="end"/>
            </w:r>
          </w:hyperlink>
        </w:p>
        <w:p w14:paraId="63464755" w14:textId="3644E2A0" w:rsidR="008C108B" w:rsidRDefault="009B7888" w:rsidP="008C108B">
          <w:pPr>
            <w:pStyle w:val="TOC1"/>
            <w:rPr>
              <w:rFonts w:eastAsiaTheme="minorEastAsia"/>
            </w:rPr>
          </w:pPr>
          <w:hyperlink w:anchor="_Toc129168576" w:history="1">
            <w:r w:rsidR="008C108B" w:rsidRPr="003D4CBD">
              <w:rPr>
                <w:rStyle w:val="Hyperlink"/>
                <w:rFonts w:eastAsia="Century Gothic"/>
              </w:rPr>
              <w:t>Supporting Documents</w:t>
            </w:r>
            <w:r w:rsidR="008C108B">
              <w:rPr>
                <w:webHidden/>
              </w:rPr>
              <w:tab/>
            </w:r>
            <w:r w:rsidR="008C108B">
              <w:rPr>
                <w:webHidden/>
              </w:rPr>
              <w:fldChar w:fldCharType="begin"/>
            </w:r>
            <w:r w:rsidR="008C108B">
              <w:rPr>
                <w:webHidden/>
              </w:rPr>
              <w:instrText xml:space="preserve"> PAGEREF _Toc129168576 \h </w:instrText>
            </w:r>
            <w:r w:rsidR="008C108B">
              <w:rPr>
                <w:webHidden/>
              </w:rPr>
            </w:r>
            <w:r w:rsidR="008C108B">
              <w:rPr>
                <w:webHidden/>
              </w:rPr>
              <w:fldChar w:fldCharType="separate"/>
            </w:r>
            <w:r w:rsidR="00E641E9">
              <w:rPr>
                <w:webHidden/>
              </w:rPr>
              <w:t>6</w:t>
            </w:r>
            <w:r w:rsidR="008C108B">
              <w:rPr>
                <w:webHidden/>
              </w:rPr>
              <w:fldChar w:fldCharType="end"/>
            </w:r>
          </w:hyperlink>
        </w:p>
        <w:p w14:paraId="1A2B743A" w14:textId="4005FB61" w:rsidR="008C108B" w:rsidRDefault="009B7888" w:rsidP="00CA001C">
          <w:pPr>
            <w:pStyle w:val="TOC2"/>
            <w:rPr>
              <w:rFonts w:eastAsiaTheme="minorEastAsia"/>
              <w:noProof/>
            </w:rPr>
          </w:pPr>
          <w:hyperlink w:anchor="_Toc129168577" w:history="1">
            <w:r w:rsidR="008C108B" w:rsidRPr="003D4CBD">
              <w:rPr>
                <w:rStyle w:val="Hyperlink"/>
                <w:rFonts w:ascii="Arial" w:hAnsi="Arial"/>
                <w:bCs/>
                <w:iCs/>
                <w:noProof/>
                <w:spacing w:val="10"/>
              </w:rPr>
              <w:t>1.</w:t>
            </w:r>
            <w:r w:rsidR="008C108B">
              <w:rPr>
                <w:rFonts w:eastAsiaTheme="minorEastAsia"/>
                <w:noProof/>
              </w:rPr>
              <w:tab/>
            </w:r>
            <w:r w:rsidR="008C108B" w:rsidRPr="003D4CBD">
              <w:rPr>
                <w:rStyle w:val="Hyperlink"/>
                <w:rFonts w:ascii="Arial" w:hAnsi="Arial"/>
                <w:bCs/>
                <w:iCs/>
                <w:noProof/>
                <w:spacing w:val="10"/>
              </w:rPr>
              <w:t>Program Manuals and Program Rules</w:t>
            </w:r>
            <w:r w:rsidR="008C108B">
              <w:rPr>
                <w:noProof/>
                <w:webHidden/>
              </w:rPr>
              <w:tab/>
            </w:r>
            <w:r w:rsidR="008C108B">
              <w:rPr>
                <w:noProof/>
                <w:webHidden/>
              </w:rPr>
              <w:fldChar w:fldCharType="begin"/>
            </w:r>
            <w:r w:rsidR="008C108B">
              <w:rPr>
                <w:noProof/>
                <w:webHidden/>
              </w:rPr>
              <w:instrText xml:space="preserve"> PAGEREF _Toc129168577 \h </w:instrText>
            </w:r>
            <w:r w:rsidR="008C108B">
              <w:rPr>
                <w:noProof/>
                <w:webHidden/>
              </w:rPr>
            </w:r>
            <w:r w:rsidR="008C108B">
              <w:rPr>
                <w:noProof/>
                <w:webHidden/>
              </w:rPr>
              <w:fldChar w:fldCharType="separate"/>
            </w:r>
            <w:r w:rsidR="00E641E9">
              <w:rPr>
                <w:noProof/>
                <w:webHidden/>
              </w:rPr>
              <w:t>6</w:t>
            </w:r>
            <w:r w:rsidR="008C108B">
              <w:rPr>
                <w:noProof/>
                <w:webHidden/>
              </w:rPr>
              <w:fldChar w:fldCharType="end"/>
            </w:r>
          </w:hyperlink>
        </w:p>
        <w:p w14:paraId="1016A193" w14:textId="0E606035" w:rsidR="008C108B" w:rsidRDefault="009B7888" w:rsidP="00CA001C">
          <w:pPr>
            <w:pStyle w:val="TOC2"/>
            <w:rPr>
              <w:rFonts w:eastAsiaTheme="minorEastAsia"/>
              <w:noProof/>
            </w:rPr>
          </w:pPr>
          <w:hyperlink w:anchor="_Toc129168578" w:history="1">
            <w:r w:rsidR="008C108B" w:rsidRPr="003D4CBD">
              <w:rPr>
                <w:rStyle w:val="Hyperlink"/>
                <w:rFonts w:ascii="Arial" w:hAnsi="Arial"/>
                <w:bCs/>
                <w:iCs/>
                <w:noProof/>
                <w:spacing w:val="10"/>
              </w:rPr>
              <w:t>2.</w:t>
            </w:r>
            <w:r w:rsidR="008C108B">
              <w:rPr>
                <w:rFonts w:eastAsiaTheme="minorEastAsia"/>
                <w:noProof/>
              </w:rPr>
              <w:tab/>
            </w:r>
            <w:r w:rsidR="008C108B" w:rsidRPr="003D4CBD">
              <w:rPr>
                <w:rStyle w:val="Hyperlink"/>
                <w:rFonts w:ascii="Arial" w:hAnsi="Arial"/>
                <w:bCs/>
                <w:iCs/>
                <w:noProof/>
                <w:spacing w:val="10"/>
              </w:rPr>
              <w:t>Program Theory and Program Logic Model</w:t>
            </w:r>
            <w:r w:rsidR="008C108B">
              <w:rPr>
                <w:noProof/>
                <w:webHidden/>
              </w:rPr>
              <w:tab/>
            </w:r>
            <w:r w:rsidR="008C108B">
              <w:rPr>
                <w:noProof/>
                <w:webHidden/>
              </w:rPr>
              <w:fldChar w:fldCharType="begin"/>
            </w:r>
            <w:r w:rsidR="008C108B">
              <w:rPr>
                <w:noProof/>
                <w:webHidden/>
              </w:rPr>
              <w:instrText xml:space="preserve"> PAGEREF _Toc129168578 \h </w:instrText>
            </w:r>
            <w:r w:rsidR="008C108B">
              <w:rPr>
                <w:noProof/>
                <w:webHidden/>
              </w:rPr>
            </w:r>
            <w:r w:rsidR="008C108B">
              <w:rPr>
                <w:noProof/>
                <w:webHidden/>
              </w:rPr>
              <w:fldChar w:fldCharType="separate"/>
            </w:r>
            <w:r w:rsidR="00E641E9">
              <w:rPr>
                <w:noProof/>
                <w:webHidden/>
              </w:rPr>
              <w:t>8</w:t>
            </w:r>
            <w:r w:rsidR="008C108B">
              <w:rPr>
                <w:noProof/>
                <w:webHidden/>
              </w:rPr>
              <w:fldChar w:fldCharType="end"/>
            </w:r>
          </w:hyperlink>
        </w:p>
        <w:p w14:paraId="4F414956" w14:textId="0A4A42C7" w:rsidR="008C108B" w:rsidRDefault="009B7888" w:rsidP="00CA001C">
          <w:pPr>
            <w:pStyle w:val="TOC2"/>
            <w:rPr>
              <w:rFonts w:eastAsiaTheme="minorEastAsia"/>
              <w:noProof/>
            </w:rPr>
          </w:pPr>
          <w:hyperlink w:anchor="_Toc129168579" w:history="1">
            <w:r w:rsidR="008C108B" w:rsidRPr="003D4CBD">
              <w:rPr>
                <w:rStyle w:val="Hyperlink"/>
                <w:rFonts w:ascii="Arial" w:hAnsi="Arial"/>
                <w:bCs/>
                <w:iCs/>
                <w:noProof/>
                <w:spacing w:val="10"/>
              </w:rPr>
              <w:t>3.</w:t>
            </w:r>
            <w:r w:rsidR="008C108B">
              <w:rPr>
                <w:rFonts w:eastAsiaTheme="minorEastAsia"/>
                <w:noProof/>
              </w:rPr>
              <w:tab/>
            </w:r>
            <w:r w:rsidR="008C108B" w:rsidRPr="003D4CBD">
              <w:rPr>
                <w:rStyle w:val="Hyperlink"/>
                <w:rFonts w:ascii="Arial" w:hAnsi="Arial"/>
                <w:bCs/>
                <w:iCs/>
                <w:noProof/>
                <w:spacing w:val="10"/>
              </w:rPr>
              <w:t>Process Flow Chart</w:t>
            </w:r>
            <w:r w:rsidR="008C108B">
              <w:rPr>
                <w:noProof/>
                <w:webHidden/>
              </w:rPr>
              <w:tab/>
            </w:r>
            <w:r w:rsidR="008C108B">
              <w:rPr>
                <w:noProof/>
                <w:webHidden/>
              </w:rPr>
              <w:fldChar w:fldCharType="begin"/>
            </w:r>
            <w:r w:rsidR="008C108B">
              <w:rPr>
                <w:noProof/>
                <w:webHidden/>
              </w:rPr>
              <w:instrText xml:space="preserve"> PAGEREF _Toc129168579 \h </w:instrText>
            </w:r>
            <w:r w:rsidR="008C108B">
              <w:rPr>
                <w:noProof/>
                <w:webHidden/>
              </w:rPr>
            </w:r>
            <w:r w:rsidR="008C108B">
              <w:rPr>
                <w:noProof/>
                <w:webHidden/>
              </w:rPr>
              <w:fldChar w:fldCharType="separate"/>
            </w:r>
            <w:r w:rsidR="00E641E9">
              <w:rPr>
                <w:noProof/>
                <w:webHidden/>
              </w:rPr>
              <w:t>9</w:t>
            </w:r>
            <w:r w:rsidR="008C108B">
              <w:rPr>
                <w:noProof/>
                <w:webHidden/>
              </w:rPr>
              <w:fldChar w:fldCharType="end"/>
            </w:r>
          </w:hyperlink>
        </w:p>
        <w:p w14:paraId="16A74648" w14:textId="00AE20E8" w:rsidR="008C108B" w:rsidRDefault="009B7888" w:rsidP="00CA001C">
          <w:pPr>
            <w:pStyle w:val="TOC2"/>
            <w:rPr>
              <w:rFonts w:eastAsiaTheme="minorEastAsia"/>
              <w:noProof/>
            </w:rPr>
          </w:pPr>
          <w:hyperlink w:anchor="_Toc129168580" w:history="1">
            <w:r w:rsidR="008C108B" w:rsidRPr="003D4CBD">
              <w:rPr>
                <w:rStyle w:val="Hyperlink"/>
                <w:rFonts w:ascii="Arial" w:hAnsi="Arial"/>
                <w:bCs/>
                <w:iCs/>
                <w:noProof/>
                <w:spacing w:val="10"/>
              </w:rPr>
              <w:t>4.</w:t>
            </w:r>
            <w:r w:rsidR="008C108B">
              <w:rPr>
                <w:rFonts w:eastAsiaTheme="minorEastAsia"/>
                <w:noProof/>
              </w:rPr>
              <w:tab/>
            </w:r>
            <w:r w:rsidR="008C108B" w:rsidRPr="003D4CBD">
              <w:rPr>
                <w:rStyle w:val="Hyperlink"/>
                <w:rFonts w:ascii="Arial" w:hAnsi="Arial"/>
                <w:bCs/>
                <w:iCs/>
                <w:noProof/>
                <w:spacing w:val="10"/>
              </w:rPr>
              <w:t>Incentive Tables, Workpapers, Software Tools</w:t>
            </w:r>
            <w:r w:rsidR="008C108B">
              <w:rPr>
                <w:noProof/>
                <w:webHidden/>
              </w:rPr>
              <w:tab/>
            </w:r>
            <w:r w:rsidR="008C108B">
              <w:rPr>
                <w:noProof/>
                <w:webHidden/>
              </w:rPr>
              <w:fldChar w:fldCharType="begin"/>
            </w:r>
            <w:r w:rsidR="008C108B">
              <w:rPr>
                <w:noProof/>
                <w:webHidden/>
              </w:rPr>
              <w:instrText xml:space="preserve"> PAGEREF _Toc129168580 \h </w:instrText>
            </w:r>
            <w:r w:rsidR="008C108B">
              <w:rPr>
                <w:noProof/>
                <w:webHidden/>
              </w:rPr>
            </w:r>
            <w:r w:rsidR="008C108B">
              <w:rPr>
                <w:noProof/>
                <w:webHidden/>
              </w:rPr>
              <w:fldChar w:fldCharType="separate"/>
            </w:r>
            <w:r w:rsidR="00E641E9">
              <w:rPr>
                <w:noProof/>
                <w:webHidden/>
              </w:rPr>
              <w:t>10</w:t>
            </w:r>
            <w:r w:rsidR="008C108B">
              <w:rPr>
                <w:noProof/>
                <w:webHidden/>
              </w:rPr>
              <w:fldChar w:fldCharType="end"/>
            </w:r>
          </w:hyperlink>
        </w:p>
        <w:p w14:paraId="2A3FEA0F" w14:textId="65751FBC" w:rsidR="008C108B" w:rsidRDefault="009B7888" w:rsidP="00CA001C">
          <w:pPr>
            <w:pStyle w:val="TOC2"/>
            <w:rPr>
              <w:rFonts w:eastAsiaTheme="minorEastAsia"/>
              <w:noProof/>
            </w:rPr>
          </w:pPr>
          <w:hyperlink w:anchor="_Toc129168581" w:history="1">
            <w:r w:rsidR="008C108B" w:rsidRPr="003D4CBD">
              <w:rPr>
                <w:rStyle w:val="Hyperlink"/>
                <w:rFonts w:ascii="Arial" w:hAnsi="Arial"/>
                <w:bCs/>
                <w:iCs/>
                <w:noProof/>
                <w:spacing w:val="10"/>
              </w:rPr>
              <w:t>5.</w:t>
            </w:r>
            <w:r w:rsidR="008C108B">
              <w:rPr>
                <w:rFonts w:eastAsiaTheme="minorEastAsia"/>
                <w:noProof/>
              </w:rPr>
              <w:tab/>
            </w:r>
            <w:r w:rsidR="008C108B" w:rsidRPr="003D4CBD">
              <w:rPr>
                <w:rStyle w:val="Hyperlink"/>
                <w:rFonts w:ascii="Arial" w:hAnsi="Arial"/>
                <w:bCs/>
                <w:iCs/>
                <w:noProof/>
                <w:spacing w:val="10"/>
              </w:rPr>
              <w:t>Quantitative Program Targets</w:t>
            </w:r>
            <w:r w:rsidR="008C108B">
              <w:rPr>
                <w:noProof/>
                <w:webHidden/>
              </w:rPr>
              <w:tab/>
            </w:r>
            <w:r w:rsidR="008C108B">
              <w:rPr>
                <w:noProof/>
                <w:webHidden/>
              </w:rPr>
              <w:fldChar w:fldCharType="begin"/>
            </w:r>
            <w:r w:rsidR="008C108B">
              <w:rPr>
                <w:noProof/>
                <w:webHidden/>
              </w:rPr>
              <w:instrText xml:space="preserve"> PAGEREF _Toc129168581 \h </w:instrText>
            </w:r>
            <w:r w:rsidR="008C108B">
              <w:rPr>
                <w:noProof/>
                <w:webHidden/>
              </w:rPr>
            </w:r>
            <w:r w:rsidR="008C108B">
              <w:rPr>
                <w:noProof/>
                <w:webHidden/>
              </w:rPr>
              <w:fldChar w:fldCharType="separate"/>
            </w:r>
            <w:r w:rsidR="00E641E9">
              <w:rPr>
                <w:noProof/>
                <w:webHidden/>
              </w:rPr>
              <w:t>10</w:t>
            </w:r>
            <w:r w:rsidR="008C108B">
              <w:rPr>
                <w:noProof/>
                <w:webHidden/>
              </w:rPr>
              <w:fldChar w:fldCharType="end"/>
            </w:r>
          </w:hyperlink>
        </w:p>
        <w:p w14:paraId="71031A3D" w14:textId="57C87EE8" w:rsidR="008C108B" w:rsidRDefault="009B7888" w:rsidP="00CA001C">
          <w:pPr>
            <w:pStyle w:val="TOC2"/>
            <w:rPr>
              <w:rFonts w:eastAsiaTheme="minorEastAsia"/>
              <w:noProof/>
            </w:rPr>
          </w:pPr>
          <w:hyperlink w:anchor="_Toc129168582" w:history="1">
            <w:r w:rsidR="008C108B" w:rsidRPr="003D4CBD">
              <w:rPr>
                <w:rStyle w:val="Hyperlink"/>
                <w:rFonts w:ascii="Arial" w:hAnsi="Arial"/>
                <w:bCs/>
                <w:iCs/>
                <w:noProof/>
                <w:spacing w:val="10"/>
              </w:rPr>
              <w:t>6.</w:t>
            </w:r>
            <w:r w:rsidR="008C108B">
              <w:rPr>
                <w:rFonts w:eastAsiaTheme="minorEastAsia"/>
                <w:noProof/>
              </w:rPr>
              <w:tab/>
            </w:r>
            <w:r w:rsidR="008C108B" w:rsidRPr="003D4CBD">
              <w:rPr>
                <w:rStyle w:val="Hyperlink"/>
                <w:rFonts w:ascii="Arial" w:hAnsi="Arial"/>
                <w:bCs/>
                <w:iCs/>
                <w:noProof/>
                <w:spacing w:val="10"/>
              </w:rPr>
              <w:t>Diagram of Program</w:t>
            </w:r>
            <w:r w:rsidR="008C108B">
              <w:rPr>
                <w:noProof/>
                <w:webHidden/>
              </w:rPr>
              <w:tab/>
            </w:r>
            <w:r w:rsidR="008C108B">
              <w:rPr>
                <w:noProof/>
                <w:webHidden/>
              </w:rPr>
              <w:fldChar w:fldCharType="begin"/>
            </w:r>
            <w:r w:rsidR="008C108B">
              <w:rPr>
                <w:noProof/>
                <w:webHidden/>
              </w:rPr>
              <w:instrText xml:space="preserve"> PAGEREF _Toc129168582 \h </w:instrText>
            </w:r>
            <w:r w:rsidR="008C108B">
              <w:rPr>
                <w:noProof/>
                <w:webHidden/>
              </w:rPr>
            </w:r>
            <w:r w:rsidR="008C108B">
              <w:rPr>
                <w:noProof/>
                <w:webHidden/>
              </w:rPr>
              <w:fldChar w:fldCharType="separate"/>
            </w:r>
            <w:r w:rsidR="00E641E9">
              <w:rPr>
                <w:noProof/>
                <w:webHidden/>
              </w:rPr>
              <w:t>12</w:t>
            </w:r>
            <w:r w:rsidR="008C108B">
              <w:rPr>
                <w:noProof/>
                <w:webHidden/>
              </w:rPr>
              <w:fldChar w:fldCharType="end"/>
            </w:r>
          </w:hyperlink>
        </w:p>
        <w:p w14:paraId="1F12795E" w14:textId="4A49F5FA" w:rsidR="008C108B" w:rsidRDefault="009B7888" w:rsidP="00CA001C">
          <w:pPr>
            <w:pStyle w:val="TOC2"/>
            <w:rPr>
              <w:rFonts w:eastAsiaTheme="minorEastAsia"/>
              <w:noProof/>
            </w:rPr>
          </w:pPr>
          <w:hyperlink w:anchor="_Toc129168583" w:history="1">
            <w:r w:rsidR="008C108B" w:rsidRPr="003D4CBD">
              <w:rPr>
                <w:rStyle w:val="Hyperlink"/>
                <w:rFonts w:ascii="Arial" w:hAnsi="Arial"/>
                <w:bCs/>
                <w:iCs/>
                <w:noProof/>
                <w:spacing w:val="10"/>
              </w:rPr>
              <w:t>7.</w:t>
            </w:r>
            <w:r w:rsidR="008C108B">
              <w:rPr>
                <w:rFonts w:eastAsiaTheme="minorEastAsia"/>
                <w:noProof/>
              </w:rPr>
              <w:tab/>
            </w:r>
            <w:r w:rsidR="008C108B" w:rsidRPr="003D4CBD">
              <w:rPr>
                <w:rStyle w:val="Hyperlink"/>
                <w:rFonts w:ascii="Arial" w:hAnsi="Arial"/>
                <w:bCs/>
                <w:iCs/>
                <w:noProof/>
                <w:spacing w:val="10"/>
              </w:rPr>
              <w:t>Evaluation, Measurement &amp; Verification (EM&amp;V)</w:t>
            </w:r>
            <w:r w:rsidR="008C108B">
              <w:rPr>
                <w:noProof/>
                <w:webHidden/>
              </w:rPr>
              <w:tab/>
            </w:r>
            <w:r w:rsidR="008C108B">
              <w:rPr>
                <w:noProof/>
                <w:webHidden/>
              </w:rPr>
              <w:fldChar w:fldCharType="begin"/>
            </w:r>
            <w:r w:rsidR="008C108B">
              <w:rPr>
                <w:noProof/>
                <w:webHidden/>
              </w:rPr>
              <w:instrText xml:space="preserve"> PAGEREF _Toc129168583 \h </w:instrText>
            </w:r>
            <w:r w:rsidR="008C108B">
              <w:rPr>
                <w:noProof/>
                <w:webHidden/>
              </w:rPr>
            </w:r>
            <w:r w:rsidR="008C108B">
              <w:rPr>
                <w:noProof/>
                <w:webHidden/>
              </w:rPr>
              <w:fldChar w:fldCharType="separate"/>
            </w:r>
            <w:r w:rsidR="00E641E9">
              <w:rPr>
                <w:noProof/>
                <w:webHidden/>
              </w:rPr>
              <w:t>13</w:t>
            </w:r>
            <w:r w:rsidR="008C108B">
              <w:rPr>
                <w:noProof/>
                <w:webHidden/>
              </w:rPr>
              <w:fldChar w:fldCharType="end"/>
            </w:r>
          </w:hyperlink>
        </w:p>
        <w:p w14:paraId="22C6D182" w14:textId="3A1AADBA" w:rsidR="008C108B" w:rsidRDefault="009B7888" w:rsidP="00CA001C">
          <w:pPr>
            <w:pStyle w:val="TOC2"/>
            <w:rPr>
              <w:rFonts w:eastAsiaTheme="minorEastAsia"/>
              <w:noProof/>
            </w:rPr>
          </w:pPr>
          <w:hyperlink w:anchor="_Toc129168584" w:history="1">
            <w:r w:rsidR="008C108B" w:rsidRPr="003D4CBD">
              <w:rPr>
                <w:rStyle w:val="Hyperlink"/>
                <w:rFonts w:ascii="Arial" w:hAnsi="Arial"/>
                <w:bCs/>
                <w:iCs/>
                <w:noProof/>
                <w:spacing w:val="10"/>
              </w:rPr>
              <w:t>8.</w:t>
            </w:r>
            <w:r w:rsidR="008C108B">
              <w:rPr>
                <w:rFonts w:eastAsiaTheme="minorEastAsia"/>
                <w:noProof/>
              </w:rPr>
              <w:tab/>
            </w:r>
            <w:r w:rsidR="008C108B" w:rsidRPr="003D4CBD">
              <w:rPr>
                <w:rStyle w:val="Hyperlink"/>
                <w:rFonts w:ascii="Arial" w:hAnsi="Arial"/>
                <w:bCs/>
                <w:iCs/>
                <w:noProof/>
                <w:spacing w:val="10"/>
              </w:rPr>
              <w:t>Normalized Metered Energy Consumption (NMEC)</w:t>
            </w:r>
            <w:r w:rsidR="008C108B">
              <w:rPr>
                <w:noProof/>
                <w:webHidden/>
              </w:rPr>
              <w:tab/>
            </w:r>
            <w:r w:rsidR="008C108B">
              <w:rPr>
                <w:noProof/>
                <w:webHidden/>
              </w:rPr>
              <w:fldChar w:fldCharType="begin"/>
            </w:r>
            <w:r w:rsidR="008C108B">
              <w:rPr>
                <w:noProof/>
                <w:webHidden/>
              </w:rPr>
              <w:instrText xml:space="preserve"> PAGEREF _Toc129168584 \h </w:instrText>
            </w:r>
            <w:r w:rsidR="008C108B">
              <w:rPr>
                <w:noProof/>
                <w:webHidden/>
              </w:rPr>
            </w:r>
            <w:r w:rsidR="008C108B">
              <w:rPr>
                <w:noProof/>
                <w:webHidden/>
              </w:rPr>
              <w:fldChar w:fldCharType="separate"/>
            </w:r>
            <w:r w:rsidR="00E641E9">
              <w:rPr>
                <w:noProof/>
                <w:webHidden/>
              </w:rPr>
              <w:t>21</w:t>
            </w:r>
            <w:r w:rsidR="008C108B">
              <w:rPr>
                <w:noProof/>
                <w:webHidden/>
              </w:rPr>
              <w:fldChar w:fldCharType="end"/>
            </w:r>
          </w:hyperlink>
        </w:p>
        <w:p w14:paraId="70AAC913" w14:textId="40603135" w:rsidR="000D5F22" w:rsidRDefault="000D5F22">
          <w:r>
            <w:rPr>
              <w:b/>
              <w:bCs/>
              <w:noProof/>
            </w:rPr>
            <w:fldChar w:fldCharType="end"/>
          </w:r>
        </w:p>
      </w:sdtContent>
    </w:sdt>
    <w:p w14:paraId="579133F9" w14:textId="77777777" w:rsidR="004E3CFA" w:rsidRDefault="004E3CFA" w:rsidP="00DE0C82">
      <w:pPr>
        <w:tabs>
          <w:tab w:val="left" w:pos="2625"/>
        </w:tabs>
        <w:rPr>
          <w:rFonts w:ascii="Arial" w:hAnsi="Arial" w:cs="Arial"/>
          <w:sz w:val="28"/>
          <w:szCs w:val="28"/>
        </w:rPr>
      </w:pPr>
    </w:p>
    <w:p w14:paraId="1709E8AE" w14:textId="77777777" w:rsidR="00B1696C" w:rsidRDefault="00B1696C" w:rsidP="00DE0C82">
      <w:pPr>
        <w:tabs>
          <w:tab w:val="left" w:pos="2625"/>
        </w:tabs>
        <w:rPr>
          <w:rFonts w:ascii="Arial" w:hAnsi="Arial" w:cs="Arial"/>
          <w:sz w:val="28"/>
          <w:szCs w:val="28"/>
        </w:rPr>
      </w:pPr>
    </w:p>
    <w:p w14:paraId="3C004175" w14:textId="77777777" w:rsidR="00B1696C" w:rsidRDefault="00B1696C" w:rsidP="00DE0C82">
      <w:pPr>
        <w:tabs>
          <w:tab w:val="left" w:pos="2625"/>
        </w:tabs>
        <w:rPr>
          <w:rFonts w:ascii="Arial" w:hAnsi="Arial" w:cs="Arial"/>
          <w:sz w:val="28"/>
          <w:szCs w:val="28"/>
        </w:rPr>
      </w:pPr>
    </w:p>
    <w:p w14:paraId="449A50B9" w14:textId="77777777" w:rsidR="00B1696C" w:rsidRDefault="00B1696C" w:rsidP="00DE0C82">
      <w:pPr>
        <w:tabs>
          <w:tab w:val="left" w:pos="2625"/>
        </w:tabs>
        <w:rPr>
          <w:rFonts w:ascii="Arial" w:hAnsi="Arial" w:cs="Arial"/>
          <w:sz w:val="28"/>
          <w:szCs w:val="28"/>
        </w:rPr>
      </w:pPr>
    </w:p>
    <w:p w14:paraId="7B66378B" w14:textId="77777777" w:rsidR="00B1696C" w:rsidRDefault="00B1696C" w:rsidP="00DE0C82">
      <w:pPr>
        <w:tabs>
          <w:tab w:val="left" w:pos="2625"/>
        </w:tabs>
        <w:rPr>
          <w:rFonts w:ascii="Arial" w:hAnsi="Arial" w:cs="Arial"/>
          <w:sz w:val="28"/>
          <w:szCs w:val="28"/>
        </w:rPr>
      </w:pPr>
    </w:p>
    <w:p w14:paraId="5BE5F8E1" w14:textId="77777777" w:rsidR="00B1696C" w:rsidRDefault="00B1696C" w:rsidP="00DE0C82">
      <w:pPr>
        <w:tabs>
          <w:tab w:val="left" w:pos="2625"/>
        </w:tabs>
        <w:rPr>
          <w:rFonts w:ascii="Arial" w:hAnsi="Arial" w:cs="Arial"/>
          <w:sz w:val="28"/>
          <w:szCs w:val="28"/>
        </w:rPr>
      </w:pPr>
    </w:p>
    <w:p w14:paraId="60155814" w14:textId="77777777" w:rsidR="00B1696C" w:rsidRDefault="00B1696C" w:rsidP="00DE0C82">
      <w:pPr>
        <w:tabs>
          <w:tab w:val="left" w:pos="2625"/>
        </w:tabs>
        <w:rPr>
          <w:rFonts w:ascii="Arial" w:hAnsi="Arial" w:cs="Arial"/>
          <w:sz w:val="28"/>
          <w:szCs w:val="28"/>
        </w:rPr>
      </w:pPr>
    </w:p>
    <w:p w14:paraId="2594A10B" w14:textId="77777777" w:rsidR="00B1696C" w:rsidRDefault="00B1696C" w:rsidP="00DE0C82">
      <w:pPr>
        <w:tabs>
          <w:tab w:val="left" w:pos="2625"/>
        </w:tabs>
        <w:rPr>
          <w:rFonts w:ascii="Arial" w:hAnsi="Arial" w:cs="Arial"/>
          <w:sz w:val="28"/>
          <w:szCs w:val="28"/>
        </w:rPr>
      </w:pPr>
    </w:p>
    <w:p w14:paraId="6CF247ED" w14:textId="77777777" w:rsidR="00B1696C" w:rsidRDefault="00B1696C" w:rsidP="00DE0C82">
      <w:pPr>
        <w:tabs>
          <w:tab w:val="left" w:pos="2625"/>
        </w:tabs>
        <w:rPr>
          <w:rFonts w:ascii="Arial" w:hAnsi="Arial" w:cs="Arial"/>
          <w:sz w:val="28"/>
          <w:szCs w:val="28"/>
        </w:rPr>
      </w:pPr>
    </w:p>
    <w:p w14:paraId="1090732D" w14:textId="77777777" w:rsidR="00B1696C" w:rsidRDefault="00B1696C" w:rsidP="00DE0C82">
      <w:pPr>
        <w:tabs>
          <w:tab w:val="left" w:pos="2625"/>
        </w:tabs>
        <w:rPr>
          <w:rFonts w:ascii="Arial" w:hAnsi="Arial" w:cs="Arial"/>
          <w:sz w:val="28"/>
          <w:szCs w:val="28"/>
        </w:rPr>
      </w:pPr>
    </w:p>
    <w:p w14:paraId="45E0F902" w14:textId="77777777" w:rsidR="00B1696C" w:rsidRDefault="00B1696C" w:rsidP="00DE0C82">
      <w:pPr>
        <w:tabs>
          <w:tab w:val="left" w:pos="2625"/>
        </w:tabs>
        <w:rPr>
          <w:rFonts w:ascii="Arial" w:hAnsi="Arial" w:cs="Arial"/>
          <w:sz w:val="28"/>
          <w:szCs w:val="28"/>
        </w:rPr>
      </w:pPr>
    </w:p>
    <w:p w14:paraId="1E22C591" w14:textId="77777777" w:rsidR="00B1696C" w:rsidRDefault="00B1696C" w:rsidP="00DE0C82">
      <w:pPr>
        <w:tabs>
          <w:tab w:val="left" w:pos="2625"/>
        </w:tabs>
        <w:rPr>
          <w:rFonts w:ascii="Arial" w:hAnsi="Arial" w:cs="Arial"/>
          <w:sz w:val="28"/>
          <w:szCs w:val="28"/>
        </w:rPr>
      </w:pPr>
    </w:p>
    <w:p w14:paraId="6560CD69" w14:textId="77777777" w:rsidR="00B1696C" w:rsidRDefault="00B1696C" w:rsidP="00DE0C82">
      <w:pPr>
        <w:tabs>
          <w:tab w:val="left" w:pos="2625"/>
        </w:tabs>
        <w:rPr>
          <w:rFonts w:ascii="Arial" w:hAnsi="Arial" w:cs="Arial"/>
          <w:sz w:val="28"/>
          <w:szCs w:val="28"/>
        </w:rPr>
      </w:pPr>
    </w:p>
    <w:p w14:paraId="3B22D0A2" w14:textId="77777777" w:rsidR="00B1696C" w:rsidRDefault="00B1696C" w:rsidP="00DE0C82">
      <w:pPr>
        <w:tabs>
          <w:tab w:val="left" w:pos="2625"/>
        </w:tabs>
        <w:rPr>
          <w:rFonts w:ascii="Arial" w:hAnsi="Arial" w:cs="Arial"/>
          <w:sz w:val="28"/>
          <w:szCs w:val="28"/>
        </w:rPr>
      </w:pPr>
    </w:p>
    <w:p w14:paraId="4E295260" w14:textId="77777777" w:rsidR="00B1696C" w:rsidRDefault="00B1696C" w:rsidP="00DE0C82">
      <w:pPr>
        <w:tabs>
          <w:tab w:val="left" w:pos="2625"/>
        </w:tabs>
        <w:rPr>
          <w:rFonts w:ascii="Arial" w:hAnsi="Arial" w:cs="Arial"/>
          <w:sz w:val="28"/>
          <w:szCs w:val="28"/>
        </w:rPr>
      </w:pPr>
    </w:p>
    <w:p w14:paraId="0D3848EC" w14:textId="77777777" w:rsidR="00B1696C" w:rsidRDefault="00B1696C" w:rsidP="00DE0C82">
      <w:pPr>
        <w:tabs>
          <w:tab w:val="left" w:pos="2625"/>
        </w:tabs>
        <w:rPr>
          <w:rFonts w:ascii="Arial" w:hAnsi="Arial" w:cs="Arial"/>
          <w:sz w:val="28"/>
          <w:szCs w:val="28"/>
        </w:rPr>
      </w:pPr>
    </w:p>
    <w:p w14:paraId="46272A3E" w14:textId="77777777" w:rsidR="00B1696C" w:rsidRDefault="00B1696C" w:rsidP="00DE0C82">
      <w:pPr>
        <w:tabs>
          <w:tab w:val="left" w:pos="2625"/>
        </w:tabs>
        <w:rPr>
          <w:rFonts w:ascii="Arial" w:hAnsi="Arial" w:cs="Arial"/>
          <w:sz w:val="28"/>
          <w:szCs w:val="28"/>
        </w:rPr>
      </w:pPr>
    </w:p>
    <w:p w14:paraId="12311916" w14:textId="77777777" w:rsidR="00B1696C" w:rsidRDefault="00B1696C" w:rsidP="00DE0C82">
      <w:pPr>
        <w:tabs>
          <w:tab w:val="left" w:pos="2625"/>
        </w:tabs>
        <w:rPr>
          <w:rFonts w:ascii="Arial" w:hAnsi="Arial" w:cs="Arial"/>
          <w:sz w:val="28"/>
          <w:szCs w:val="28"/>
        </w:rPr>
      </w:pPr>
    </w:p>
    <w:p w14:paraId="011D1680" w14:textId="77777777" w:rsidR="00B1696C" w:rsidRDefault="00B1696C" w:rsidP="00DE0C82">
      <w:pPr>
        <w:tabs>
          <w:tab w:val="left" w:pos="2625"/>
        </w:tabs>
        <w:rPr>
          <w:rFonts w:ascii="Arial" w:hAnsi="Arial" w:cs="Arial"/>
          <w:sz w:val="28"/>
          <w:szCs w:val="28"/>
        </w:rPr>
      </w:pPr>
    </w:p>
    <w:p w14:paraId="72D4476A" w14:textId="77777777" w:rsidR="00B1696C" w:rsidRDefault="00B1696C" w:rsidP="00DE0C82">
      <w:pPr>
        <w:tabs>
          <w:tab w:val="left" w:pos="2625"/>
        </w:tabs>
        <w:rPr>
          <w:rFonts w:ascii="Arial" w:hAnsi="Arial" w:cs="Arial"/>
          <w:sz w:val="28"/>
          <w:szCs w:val="28"/>
        </w:rPr>
      </w:pPr>
    </w:p>
    <w:p w14:paraId="1495779B" w14:textId="77777777" w:rsidR="00B1696C" w:rsidRDefault="00B1696C" w:rsidP="00DE0C82">
      <w:pPr>
        <w:tabs>
          <w:tab w:val="left" w:pos="2625"/>
        </w:tabs>
        <w:rPr>
          <w:rFonts w:ascii="Arial" w:hAnsi="Arial" w:cs="Arial"/>
          <w:sz w:val="28"/>
          <w:szCs w:val="28"/>
        </w:rPr>
      </w:pPr>
    </w:p>
    <w:p w14:paraId="4008AA70" w14:textId="77777777" w:rsidR="007F684E" w:rsidRDefault="007F684E" w:rsidP="00B1696C">
      <w:pPr>
        <w:pStyle w:val="Heading1"/>
        <w:rPr>
          <w:rFonts w:eastAsia="Century Gothic"/>
        </w:rPr>
        <w:sectPr w:rsidR="007F684E" w:rsidSect="00CA001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fmt="lowerRoman" w:start="1"/>
          <w:cols w:space="720"/>
          <w:docGrid w:linePitch="360"/>
        </w:sectPr>
      </w:pPr>
      <w:bookmarkStart w:id="0" w:name="_Toc86676176"/>
      <w:bookmarkStart w:id="1" w:name="_Toc97128836"/>
      <w:bookmarkStart w:id="2" w:name="_Toc129168552"/>
    </w:p>
    <w:p w14:paraId="6C666DE5" w14:textId="77777777" w:rsidR="00B1696C" w:rsidRDefault="00B1696C" w:rsidP="00B1696C">
      <w:pPr>
        <w:pStyle w:val="Heading1"/>
        <w:rPr>
          <w:rFonts w:eastAsia="Century Gothic"/>
        </w:rPr>
      </w:pPr>
      <w:r>
        <w:rPr>
          <w:rFonts w:eastAsia="Century Gothic"/>
        </w:rPr>
        <w:lastRenderedPageBreak/>
        <w:t>Program Overview</w:t>
      </w:r>
      <w:bookmarkEnd w:id="0"/>
      <w:bookmarkEnd w:id="1"/>
      <w:bookmarkEnd w:id="2"/>
      <w:r>
        <w:rPr>
          <w:rFonts w:eastAsia="Century Gothic"/>
        </w:rPr>
        <w:t xml:space="preserve"> </w:t>
      </w:r>
    </w:p>
    <w:p w14:paraId="54556DE9" w14:textId="2A694C81" w:rsidR="00B1696C" w:rsidRPr="00943203" w:rsidRDefault="00943203" w:rsidP="00DE0C82">
      <w:pPr>
        <w:tabs>
          <w:tab w:val="left" w:pos="2625"/>
        </w:tabs>
        <w:rPr>
          <w:rFonts w:ascii="Arial" w:hAnsi="Arial" w:cs="Arial"/>
        </w:rPr>
      </w:pPr>
      <w:r w:rsidRPr="00943203">
        <w:rPr>
          <w:rFonts w:ascii="Arial" w:hAnsi="Arial" w:cs="Arial"/>
        </w:rPr>
        <w:t>The</w:t>
      </w:r>
      <w:r w:rsidR="00342175">
        <w:rPr>
          <w:rFonts w:ascii="Arial" w:hAnsi="Arial" w:cs="Arial"/>
        </w:rPr>
        <w:t xml:space="preserve"> Statewide</w:t>
      </w:r>
      <w:r w:rsidRPr="00943203">
        <w:rPr>
          <w:rFonts w:ascii="Arial" w:hAnsi="Arial" w:cs="Arial"/>
        </w:rPr>
        <w:t xml:space="preserve"> </w:t>
      </w:r>
      <w:r w:rsidR="00A22945" w:rsidRPr="00943203">
        <w:rPr>
          <w:rFonts w:ascii="Arial" w:hAnsi="Arial" w:cs="Arial"/>
        </w:rPr>
        <w:t xml:space="preserve">Residential HVAC </w:t>
      </w:r>
      <w:r w:rsidRPr="00943203">
        <w:rPr>
          <w:rFonts w:ascii="Arial" w:hAnsi="Arial" w:cs="Arial"/>
        </w:rPr>
        <w:t>Quality</w:t>
      </w:r>
      <w:r w:rsidR="00A22945">
        <w:rPr>
          <w:rFonts w:ascii="Arial" w:hAnsi="Arial" w:cs="Arial"/>
        </w:rPr>
        <w:t xml:space="preserve"> Installation and Quality Maintenance (QI/QM) </w:t>
      </w:r>
      <w:r w:rsidRPr="00943203">
        <w:rPr>
          <w:rFonts w:ascii="Arial" w:hAnsi="Arial" w:cs="Arial"/>
        </w:rPr>
        <w:t xml:space="preserve">Program provides multi-tiered incentives for Quality Maintenance Plans, Quality Maintenance Calls, Quality Bids, and Quality Installations and provides extra incentives, training, and tools to Quality HVAC Contractors who routinely provide higher-quality services. An Industry Advisory Panel will help determine standards for services, verification requirements,  outreach and training, particularly for HVAC Contractors who serve Disadvantaged Communities (DAC) and </w:t>
      </w:r>
      <w:r w:rsidR="00E65EC5">
        <w:rPr>
          <w:rFonts w:ascii="Arial" w:hAnsi="Arial" w:cs="Arial"/>
        </w:rPr>
        <w:t>H</w:t>
      </w:r>
      <w:r w:rsidRPr="00943203">
        <w:rPr>
          <w:rFonts w:ascii="Arial" w:hAnsi="Arial" w:cs="Arial"/>
        </w:rPr>
        <w:t>ard-to-</w:t>
      </w:r>
      <w:r w:rsidR="00E65EC5">
        <w:rPr>
          <w:rFonts w:ascii="Arial" w:hAnsi="Arial" w:cs="Arial"/>
        </w:rPr>
        <w:t>R</w:t>
      </w:r>
      <w:r w:rsidRPr="00943203">
        <w:rPr>
          <w:rFonts w:ascii="Arial" w:hAnsi="Arial" w:cs="Arial"/>
        </w:rPr>
        <w:t>each</w:t>
      </w:r>
      <w:r w:rsidR="001622A3">
        <w:rPr>
          <w:rFonts w:ascii="Arial" w:hAnsi="Arial" w:cs="Arial"/>
        </w:rPr>
        <w:t xml:space="preserve"> (HTR)</w:t>
      </w:r>
      <w:r w:rsidRPr="00943203">
        <w:rPr>
          <w:rFonts w:ascii="Arial" w:hAnsi="Arial" w:cs="Arial"/>
        </w:rPr>
        <w:t xml:space="preserve"> customers.</w:t>
      </w:r>
    </w:p>
    <w:p w14:paraId="090C84C7" w14:textId="77777777" w:rsidR="006C6C94" w:rsidRPr="002D0092" w:rsidRDefault="006C6C94" w:rsidP="006C6C94">
      <w:pPr>
        <w:pStyle w:val="Heading1"/>
      </w:pPr>
      <w:bookmarkStart w:id="3" w:name="_Toc86676177"/>
      <w:bookmarkStart w:id="4" w:name="_Toc97128837"/>
      <w:bookmarkStart w:id="5" w:name="_Toc129168553"/>
      <w:r w:rsidRPr="002D0092">
        <w:t>Program Budget and Savings</w:t>
      </w:r>
      <w:bookmarkEnd w:id="3"/>
      <w:bookmarkEnd w:id="4"/>
      <w:bookmarkEnd w:id="5"/>
      <w:r w:rsidRPr="002D0092">
        <w:t xml:space="preserve"> </w:t>
      </w:r>
    </w:p>
    <w:p w14:paraId="5994ED72" w14:textId="3CA6996B" w:rsidR="00104F24" w:rsidRDefault="00104F24" w:rsidP="00104F24">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6" w:name="_Toc86668815"/>
      <w:bookmarkStart w:id="7" w:name="_Toc97128838"/>
      <w:bookmarkStart w:id="8" w:name="_Toc129168554"/>
      <w:r w:rsidRPr="00104F24">
        <w:rPr>
          <w:rFonts w:ascii="Arial" w:eastAsiaTheme="minorEastAsia" w:hAnsi="Arial"/>
          <w:bCs/>
          <w:iCs/>
          <w:color w:val="32476E"/>
          <w:spacing w:val="10"/>
          <w:sz w:val="24"/>
          <w:u w:val="single"/>
        </w:rPr>
        <w:t>Program and/or Sub-Program Name</w:t>
      </w:r>
      <w:bookmarkEnd w:id="6"/>
      <w:bookmarkEnd w:id="7"/>
      <w:bookmarkEnd w:id="8"/>
    </w:p>
    <w:p w14:paraId="2F585632" w14:textId="7E129801" w:rsidR="00DD1141" w:rsidRPr="00A87A91" w:rsidRDefault="00A87A91" w:rsidP="00A87A91">
      <w:pPr>
        <w:rPr>
          <w:rFonts w:ascii="Arial" w:hAnsi="Arial" w:cs="Arial"/>
        </w:rPr>
      </w:pPr>
      <w:r w:rsidRPr="00A87A91">
        <w:rPr>
          <w:rFonts w:ascii="Arial" w:hAnsi="Arial" w:cs="Arial"/>
        </w:rPr>
        <w:t>Statewide Residential HVAC Quality Installation and Quality Maintenance Program</w:t>
      </w:r>
    </w:p>
    <w:p w14:paraId="69AB0D6E" w14:textId="77777777" w:rsidR="002B07F7" w:rsidRDefault="002B07F7" w:rsidP="000D5F2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9" w:name="_Toc129168555"/>
      <w:r w:rsidRPr="000D5F22">
        <w:rPr>
          <w:rFonts w:ascii="Arial" w:eastAsiaTheme="minorEastAsia" w:hAnsi="Arial"/>
          <w:bCs/>
          <w:iCs/>
          <w:color w:val="32476E"/>
          <w:spacing w:val="10"/>
          <w:sz w:val="24"/>
          <w:u w:val="single"/>
        </w:rPr>
        <w:t>Program / Sub-Program ID number</w:t>
      </w:r>
      <w:bookmarkEnd w:id="9"/>
    </w:p>
    <w:p w14:paraId="17B163E1" w14:textId="24A8C60F" w:rsidR="000B1C25" w:rsidRPr="000B1C25" w:rsidRDefault="000B1C25" w:rsidP="000B1C25">
      <w:pPr>
        <w:rPr>
          <w:rFonts w:ascii="Arial" w:hAnsi="Arial" w:cs="Arial"/>
        </w:rPr>
      </w:pPr>
      <w:r w:rsidRPr="1484ED5D">
        <w:rPr>
          <w:rFonts w:ascii="Arial" w:hAnsi="Arial" w:cs="Arial"/>
        </w:rPr>
        <w:t>SDGE_SW_HVAC_QIQM</w:t>
      </w:r>
      <w:r w:rsidR="001622A3" w:rsidRPr="1484ED5D">
        <w:rPr>
          <w:rFonts w:ascii="Arial" w:hAnsi="Arial" w:cs="Arial"/>
        </w:rPr>
        <w:t xml:space="preserve"> </w:t>
      </w:r>
      <w:r w:rsidR="003C52C4" w:rsidRPr="1484ED5D">
        <w:rPr>
          <w:rFonts w:ascii="Arial" w:hAnsi="Arial" w:cs="Arial"/>
        </w:rPr>
        <w:t>SDGE413</w:t>
      </w:r>
      <w:r w:rsidR="46EF65C2" w:rsidRPr="1484ED5D">
        <w:rPr>
          <w:rFonts w:ascii="Arial" w:hAnsi="Arial" w:cs="Arial"/>
        </w:rPr>
        <w:t>6</w:t>
      </w:r>
    </w:p>
    <w:p w14:paraId="31DE9104" w14:textId="77777777" w:rsidR="006E4AAB" w:rsidRDefault="006E4AAB" w:rsidP="000D5F2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0" w:name="_Toc129168556"/>
      <w:r w:rsidRPr="000D5F22">
        <w:rPr>
          <w:rFonts w:ascii="Arial" w:eastAsiaTheme="minorEastAsia" w:hAnsi="Arial"/>
          <w:bCs/>
          <w:iCs/>
          <w:color w:val="32476E"/>
          <w:spacing w:val="10"/>
          <w:sz w:val="24"/>
          <w:u w:val="single"/>
        </w:rPr>
        <w:t>Program / Sub-program Budget Table</w:t>
      </w:r>
      <w:bookmarkEnd w:id="10"/>
    </w:p>
    <w:tbl>
      <w:tblPr>
        <w:tblStyle w:val="TableGrid"/>
        <w:tblW w:w="8815" w:type="dxa"/>
        <w:jc w:val="center"/>
        <w:tblLayout w:type="fixed"/>
        <w:tblLook w:val="04A0" w:firstRow="1" w:lastRow="0" w:firstColumn="1" w:lastColumn="0" w:noHBand="0" w:noVBand="1"/>
      </w:tblPr>
      <w:tblGrid>
        <w:gridCol w:w="1937"/>
        <w:gridCol w:w="1326"/>
        <w:gridCol w:w="1326"/>
        <w:gridCol w:w="1326"/>
        <w:gridCol w:w="1326"/>
        <w:gridCol w:w="1574"/>
      </w:tblGrid>
      <w:tr w:rsidR="00AB21C5" w:rsidRPr="00B64AE8" w14:paraId="62864807" w14:textId="77777777" w:rsidTr="00AB21C5">
        <w:trPr>
          <w:tblHeader/>
          <w:jc w:val="center"/>
        </w:trPr>
        <w:tc>
          <w:tcPr>
            <w:tcW w:w="1937" w:type="dxa"/>
            <w:shd w:val="clear" w:color="auto" w:fill="E7E6E6" w:themeFill="background2"/>
            <w:vAlign w:val="center"/>
          </w:tcPr>
          <w:p w14:paraId="21177C1B" w14:textId="77777777" w:rsidR="00AB21C5" w:rsidRPr="00B64AE8" w:rsidRDefault="00AB21C5">
            <w:pPr>
              <w:jc w:val="center"/>
              <w:rPr>
                <w:rFonts w:cs="Calibri"/>
                <w:sz w:val="24"/>
                <w:szCs w:val="24"/>
              </w:rPr>
            </w:pPr>
            <w:r w:rsidRPr="00B64AE8">
              <w:rPr>
                <w:rFonts w:cs="Calibri"/>
                <w:b/>
                <w:sz w:val="24"/>
                <w:szCs w:val="24"/>
              </w:rPr>
              <w:t>Cost Category Description</w:t>
            </w:r>
          </w:p>
        </w:tc>
        <w:tc>
          <w:tcPr>
            <w:tcW w:w="1326" w:type="dxa"/>
            <w:shd w:val="clear" w:color="auto" w:fill="E7E6E6" w:themeFill="background2"/>
            <w:vAlign w:val="center"/>
          </w:tcPr>
          <w:p w14:paraId="1D00D10E" w14:textId="77777777" w:rsidR="00AB21C5" w:rsidRPr="00B64AE8" w:rsidRDefault="00AB21C5">
            <w:pPr>
              <w:jc w:val="center"/>
              <w:rPr>
                <w:rFonts w:cs="Calibri"/>
                <w:b/>
                <w:sz w:val="24"/>
                <w:szCs w:val="24"/>
              </w:rPr>
            </w:pPr>
            <w:r w:rsidRPr="00B64AE8">
              <w:rPr>
                <w:rFonts w:cs="Calibri"/>
                <w:b/>
                <w:sz w:val="24"/>
                <w:szCs w:val="24"/>
              </w:rPr>
              <w:t>2023 Program Budget ($)</w:t>
            </w:r>
          </w:p>
        </w:tc>
        <w:tc>
          <w:tcPr>
            <w:tcW w:w="1326" w:type="dxa"/>
            <w:shd w:val="clear" w:color="auto" w:fill="E7E6E6" w:themeFill="background2"/>
            <w:vAlign w:val="center"/>
          </w:tcPr>
          <w:p w14:paraId="4360D73C" w14:textId="77777777" w:rsidR="00AB21C5" w:rsidRPr="00B64AE8" w:rsidRDefault="00AB21C5">
            <w:pPr>
              <w:jc w:val="center"/>
              <w:rPr>
                <w:rFonts w:cs="Calibri"/>
                <w:b/>
                <w:sz w:val="24"/>
                <w:szCs w:val="24"/>
              </w:rPr>
            </w:pPr>
            <w:r w:rsidRPr="00B64AE8">
              <w:rPr>
                <w:rFonts w:cs="Calibri"/>
                <w:b/>
                <w:sz w:val="24"/>
                <w:szCs w:val="24"/>
              </w:rPr>
              <w:t>2024 Program Budget ($)</w:t>
            </w:r>
          </w:p>
        </w:tc>
        <w:tc>
          <w:tcPr>
            <w:tcW w:w="1326" w:type="dxa"/>
            <w:shd w:val="clear" w:color="auto" w:fill="E7E6E6" w:themeFill="background2"/>
            <w:vAlign w:val="center"/>
          </w:tcPr>
          <w:p w14:paraId="752DE7C5" w14:textId="77777777" w:rsidR="00AB21C5" w:rsidRPr="00B64AE8" w:rsidRDefault="00AB21C5">
            <w:pPr>
              <w:jc w:val="center"/>
              <w:rPr>
                <w:rFonts w:cs="Calibri"/>
                <w:b/>
                <w:sz w:val="24"/>
                <w:szCs w:val="24"/>
              </w:rPr>
            </w:pPr>
            <w:r w:rsidRPr="00B64AE8">
              <w:rPr>
                <w:rFonts w:cs="Calibri"/>
                <w:b/>
                <w:sz w:val="24"/>
                <w:szCs w:val="24"/>
              </w:rPr>
              <w:t>2025 Program Budget ($)</w:t>
            </w:r>
          </w:p>
        </w:tc>
        <w:tc>
          <w:tcPr>
            <w:tcW w:w="1326" w:type="dxa"/>
            <w:shd w:val="clear" w:color="auto" w:fill="E7E6E6" w:themeFill="background2"/>
            <w:vAlign w:val="center"/>
          </w:tcPr>
          <w:p w14:paraId="7D215BA3" w14:textId="77777777" w:rsidR="00AB21C5" w:rsidRPr="00B64AE8" w:rsidRDefault="00AB21C5">
            <w:pPr>
              <w:jc w:val="center"/>
              <w:rPr>
                <w:rFonts w:cs="Calibri"/>
                <w:b/>
                <w:sz w:val="24"/>
                <w:szCs w:val="24"/>
              </w:rPr>
            </w:pPr>
            <w:r>
              <w:rPr>
                <w:rFonts w:cs="Calibri"/>
                <w:b/>
                <w:sz w:val="24"/>
                <w:szCs w:val="24"/>
              </w:rPr>
              <w:t>2026</w:t>
            </w:r>
            <w:r w:rsidRPr="00B64AE8">
              <w:rPr>
                <w:rFonts w:cs="Calibri"/>
                <w:b/>
                <w:sz w:val="24"/>
                <w:szCs w:val="24"/>
              </w:rPr>
              <w:t xml:space="preserve"> Program Budget ($)</w:t>
            </w:r>
          </w:p>
        </w:tc>
        <w:tc>
          <w:tcPr>
            <w:tcW w:w="1574" w:type="dxa"/>
            <w:shd w:val="clear" w:color="auto" w:fill="E7E6E6" w:themeFill="background2"/>
            <w:vAlign w:val="center"/>
          </w:tcPr>
          <w:p w14:paraId="03C56BC9" w14:textId="77777777" w:rsidR="00AB21C5" w:rsidRPr="00B64AE8" w:rsidRDefault="00AB21C5">
            <w:pPr>
              <w:jc w:val="center"/>
              <w:rPr>
                <w:rFonts w:cs="Calibri"/>
                <w:b/>
                <w:sz w:val="24"/>
                <w:szCs w:val="24"/>
              </w:rPr>
            </w:pPr>
            <w:r w:rsidRPr="00B64AE8">
              <w:rPr>
                <w:rFonts w:cs="Calibri"/>
                <w:b/>
                <w:sz w:val="24"/>
                <w:szCs w:val="24"/>
              </w:rPr>
              <w:t>Total Program Budget ($)</w:t>
            </w:r>
          </w:p>
        </w:tc>
      </w:tr>
      <w:tr w:rsidR="00AB21C5" w:rsidRPr="00B64AE8" w14:paraId="4DDFEABA" w14:textId="77777777" w:rsidTr="00AB21C5">
        <w:trPr>
          <w:trHeight w:val="647"/>
          <w:jc w:val="center"/>
        </w:trPr>
        <w:tc>
          <w:tcPr>
            <w:tcW w:w="1937" w:type="dxa"/>
            <w:vAlign w:val="center"/>
          </w:tcPr>
          <w:p w14:paraId="54861E91" w14:textId="77777777" w:rsidR="00AB21C5" w:rsidRPr="00B64AE8" w:rsidRDefault="00AB21C5">
            <w:pPr>
              <w:rPr>
                <w:rFonts w:cs="Calibri"/>
                <w:b/>
                <w:sz w:val="24"/>
                <w:szCs w:val="24"/>
                <w:vertAlign w:val="superscript"/>
              </w:rPr>
            </w:pPr>
            <w:r w:rsidRPr="00B64AE8">
              <w:rPr>
                <w:rFonts w:cs="Calibri"/>
                <w:b/>
                <w:sz w:val="24"/>
                <w:szCs w:val="24"/>
              </w:rPr>
              <w:t>Administrati</w:t>
            </w:r>
            <w:r>
              <w:rPr>
                <w:rFonts w:cs="Calibri"/>
                <w:b/>
                <w:sz w:val="24"/>
                <w:szCs w:val="24"/>
              </w:rPr>
              <w:t>ve</w:t>
            </w:r>
            <w:r w:rsidRPr="00B64AE8">
              <w:rPr>
                <w:rFonts w:cs="Calibri"/>
                <w:b/>
                <w:sz w:val="24"/>
                <w:szCs w:val="24"/>
              </w:rPr>
              <w:t xml:space="preserve"> </w:t>
            </w:r>
          </w:p>
        </w:tc>
        <w:tc>
          <w:tcPr>
            <w:tcW w:w="1326" w:type="dxa"/>
            <w:shd w:val="clear" w:color="auto" w:fill="auto"/>
            <w:vAlign w:val="center"/>
          </w:tcPr>
          <w:p w14:paraId="384F7B57"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345,000</w:t>
            </w:r>
          </w:p>
        </w:tc>
        <w:tc>
          <w:tcPr>
            <w:tcW w:w="1326" w:type="dxa"/>
            <w:shd w:val="clear" w:color="auto" w:fill="auto"/>
            <w:vAlign w:val="center"/>
          </w:tcPr>
          <w:p w14:paraId="5C3B8A33"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345,000</w:t>
            </w:r>
          </w:p>
        </w:tc>
        <w:tc>
          <w:tcPr>
            <w:tcW w:w="1326" w:type="dxa"/>
            <w:shd w:val="clear" w:color="auto" w:fill="auto"/>
            <w:vAlign w:val="center"/>
          </w:tcPr>
          <w:p w14:paraId="7331BF4F"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345,000</w:t>
            </w:r>
          </w:p>
        </w:tc>
        <w:tc>
          <w:tcPr>
            <w:tcW w:w="1326" w:type="dxa"/>
            <w:vAlign w:val="center"/>
          </w:tcPr>
          <w:p w14:paraId="56853268" w14:textId="77777777" w:rsidR="00AB21C5" w:rsidRPr="00B64AE8" w:rsidRDefault="00AB21C5">
            <w:pPr>
              <w:jc w:val="right"/>
              <w:rPr>
                <w:rFonts w:cs="Calibri"/>
                <w:color w:val="000000"/>
                <w:sz w:val="24"/>
                <w:szCs w:val="24"/>
              </w:rPr>
            </w:pPr>
            <w:r w:rsidRPr="00B64AE8">
              <w:rPr>
                <w:rFonts w:cs="Calibri"/>
                <w:color w:val="000000"/>
                <w:sz w:val="24"/>
                <w:szCs w:val="24"/>
              </w:rPr>
              <w:t>$</w:t>
            </w:r>
            <w:r>
              <w:rPr>
                <w:rFonts w:cs="Calibri"/>
                <w:color w:val="000000"/>
                <w:sz w:val="24"/>
                <w:szCs w:val="24"/>
              </w:rPr>
              <w:t>405,000</w:t>
            </w:r>
          </w:p>
        </w:tc>
        <w:tc>
          <w:tcPr>
            <w:tcW w:w="1574" w:type="dxa"/>
            <w:shd w:val="clear" w:color="auto" w:fill="auto"/>
            <w:vAlign w:val="center"/>
          </w:tcPr>
          <w:p w14:paraId="4EEBB199"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1,440,000</w:t>
            </w:r>
          </w:p>
        </w:tc>
      </w:tr>
      <w:tr w:rsidR="00AB21C5" w:rsidRPr="00B64AE8" w14:paraId="3DAE7C2B" w14:textId="77777777" w:rsidTr="00AB21C5">
        <w:trPr>
          <w:jc w:val="center"/>
        </w:trPr>
        <w:tc>
          <w:tcPr>
            <w:tcW w:w="1937" w:type="dxa"/>
            <w:vAlign w:val="center"/>
          </w:tcPr>
          <w:p w14:paraId="223CB498" w14:textId="77777777" w:rsidR="00AB21C5" w:rsidRPr="00B64AE8" w:rsidRDefault="00AB21C5">
            <w:pPr>
              <w:rPr>
                <w:rFonts w:cs="Calibri"/>
                <w:b/>
                <w:sz w:val="24"/>
                <w:szCs w:val="24"/>
              </w:rPr>
            </w:pPr>
            <w:r w:rsidRPr="00B64AE8">
              <w:rPr>
                <w:rFonts w:cs="Calibri"/>
                <w:b/>
                <w:sz w:val="24"/>
                <w:szCs w:val="24"/>
              </w:rPr>
              <w:t>Marketing</w:t>
            </w:r>
            <w:r>
              <w:rPr>
                <w:rFonts w:cs="Calibri"/>
                <w:b/>
                <w:sz w:val="24"/>
                <w:szCs w:val="24"/>
              </w:rPr>
              <w:t xml:space="preserve"> &amp;</w:t>
            </w:r>
            <w:r w:rsidRPr="00B64AE8">
              <w:rPr>
                <w:rFonts w:cs="Calibri"/>
                <w:b/>
                <w:sz w:val="24"/>
                <w:szCs w:val="24"/>
              </w:rPr>
              <w:t xml:space="preserve"> Outreach</w:t>
            </w:r>
          </w:p>
        </w:tc>
        <w:tc>
          <w:tcPr>
            <w:tcW w:w="1326" w:type="dxa"/>
            <w:shd w:val="clear" w:color="auto" w:fill="auto"/>
            <w:vAlign w:val="center"/>
          </w:tcPr>
          <w:p w14:paraId="0DE8E897"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345,000</w:t>
            </w:r>
          </w:p>
        </w:tc>
        <w:tc>
          <w:tcPr>
            <w:tcW w:w="1326" w:type="dxa"/>
            <w:shd w:val="clear" w:color="auto" w:fill="auto"/>
            <w:vAlign w:val="center"/>
          </w:tcPr>
          <w:p w14:paraId="3B2F9344"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345,000</w:t>
            </w:r>
          </w:p>
        </w:tc>
        <w:tc>
          <w:tcPr>
            <w:tcW w:w="1326" w:type="dxa"/>
            <w:shd w:val="clear" w:color="auto" w:fill="auto"/>
            <w:vAlign w:val="center"/>
          </w:tcPr>
          <w:p w14:paraId="2B316A33" w14:textId="77777777" w:rsidR="00AB21C5" w:rsidRPr="00B64AE8" w:rsidRDefault="00AB21C5">
            <w:pPr>
              <w:jc w:val="right"/>
              <w:rPr>
                <w:rFonts w:cs="Calibri"/>
                <w:color w:val="000000"/>
                <w:sz w:val="24"/>
                <w:szCs w:val="24"/>
              </w:rPr>
            </w:pPr>
            <w:r w:rsidRPr="00B64AE8">
              <w:rPr>
                <w:rFonts w:cs="Calibri"/>
                <w:color w:val="000000"/>
                <w:sz w:val="24"/>
                <w:szCs w:val="24"/>
              </w:rPr>
              <w:t>$</w:t>
            </w:r>
            <w:r>
              <w:rPr>
                <w:rFonts w:cs="Calibri"/>
                <w:color w:val="000000"/>
                <w:sz w:val="24"/>
                <w:szCs w:val="24"/>
              </w:rPr>
              <w:t>345,000</w:t>
            </w:r>
          </w:p>
        </w:tc>
        <w:tc>
          <w:tcPr>
            <w:tcW w:w="1326" w:type="dxa"/>
            <w:vAlign w:val="center"/>
          </w:tcPr>
          <w:p w14:paraId="21C3FFD8" w14:textId="77777777" w:rsidR="00AB21C5" w:rsidRPr="00B64AE8" w:rsidRDefault="00AB21C5">
            <w:pPr>
              <w:jc w:val="right"/>
              <w:rPr>
                <w:rFonts w:cs="Calibri"/>
                <w:color w:val="000000"/>
                <w:sz w:val="24"/>
                <w:szCs w:val="24"/>
              </w:rPr>
            </w:pPr>
            <w:r w:rsidRPr="00B64AE8">
              <w:rPr>
                <w:rFonts w:cs="Calibri"/>
                <w:color w:val="000000"/>
                <w:sz w:val="24"/>
                <w:szCs w:val="24"/>
              </w:rPr>
              <w:t>$</w:t>
            </w:r>
            <w:r>
              <w:rPr>
                <w:rFonts w:cs="Calibri"/>
                <w:color w:val="000000"/>
                <w:sz w:val="24"/>
                <w:szCs w:val="24"/>
              </w:rPr>
              <w:t>345,000</w:t>
            </w:r>
          </w:p>
        </w:tc>
        <w:tc>
          <w:tcPr>
            <w:tcW w:w="1574" w:type="dxa"/>
            <w:shd w:val="clear" w:color="auto" w:fill="auto"/>
            <w:vAlign w:val="center"/>
          </w:tcPr>
          <w:p w14:paraId="773AC8B9"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1,380,000</w:t>
            </w:r>
          </w:p>
        </w:tc>
      </w:tr>
      <w:tr w:rsidR="00AB21C5" w:rsidRPr="00B64AE8" w14:paraId="0C28DD42" w14:textId="77777777" w:rsidTr="00AB21C5">
        <w:trPr>
          <w:trHeight w:val="728"/>
          <w:jc w:val="center"/>
        </w:trPr>
        <w:tc>
          <w:tcPr>
            <w:tcW w:w="1937" w:type="dxa"/>
            <w:vAlign w:val="center"/>
          </w:tcPr>
          <w:p w14:paraId="69DE4999" w14:textId="3ADDAC93" w:rsidR="00AB21C5" w:rsidRPr="00B64AE8" w:rsidDel="00E02B6D" w:rsidRDefault="00AB21C5">
            <w:pPr>
              <w:rPr>
                <w:rFonts w:cs="Calibri"/>
                <w:b/>
                <w:sz w:val="24"/>
                <w:szCs w:val="24"/>
              </w:rPr>
            </w:pPr>
            <w:r>
              <w:rPr>
                <w:rFonts w:cs="Calibri"/>
                <w:b/>
                <w:sz w:val="24"/>
                <w:szCs w:val="24"/>
              </w:rPr>
              <w:t xml:space="preserve">Direct Implementation - </w:t>
            </w:r>
            <w:r>
              <w:rPr>
                <w:rFonts w:cs="Calibri"/>
                <w:b/>
                <w:sz w:val="24"/>
                <w:szCs w:val="24"/>
              </w:rPr>
              <w:br/>
            </w:r>
            <w:r w:rsidRPr="00B64AE8">
              <w:rPr>
                <w:rFonts w:cs="Calibri"/>
                <w:b/>
                <w:sz w:val="24"/>
                <w:szCs w:val="24"/>
              </w:rPr>
              <w:t>Incentive</w:t>
            </w:r>
            <w:r>
              <w:rPr>
                <w:rFonts w:cs="Calibri"/>
                <w:b/>
                <w:sz w:val="24"/>
                <w:szCs w:val="24"/>
              </w:rPr>
              <w:t>s</w:t>
            </w:r>
          </w:p>
        </w:tc>
        <w:tc>
          <w:tcPr>
            <w:tcW w:w="1326" w:type="dxa"/>
            <w:shd w:val="clear" w:color="auto" w:fill="auto"/>
            <w:vAlign w:val="center"/>
          </w:tcPr>
          <w:p w14:paraId="0FBA5378" w14:textId="77777777" w:rsidR="00AB21C5" w:rsidRPr="00732D8D" w:rsidRDefault="00AB21C5">
            <w:pPr>
              <w:jc w:val="right"/>
            </w:pPr>
            <w:r>
              <w:rPr>
                <w:rFonts w:cs="Calibri"/>
                <w:color w:val="000000"/>
                <w:sz w:val="24"/>
                <w:szCs w:val="24"/>
              </w:rPr>
              <w:t>$</w:t>
            </w:r>
            <w:r w:rsidRPr="005F081D">
              <w:rPr>
                <w:rFonts w:cs="Calibri"/>
                <w:color w:val="000000"/>
                <w:sz w:val="24"/>
                <w:szCs w:val="24"/>
              </w:rPr>
              <w:t>723,824</w:t>
            </w:r>
          </w:p>
        </w:tc>
        <w:tc>
          <w:tcPr>
            <w:tcW w:w="1326" w:type="dxa"/>
            <w:shd w:val="clear" w:color="auto" w:fill="auto"/>
            <w:vAlign w:val="center"/>
          </w:tcPr>
          <w:p w14:paraId="7A20D0BF" w14:textId="77777777" w:rsidR="00AB21C5" w:rsidRPr="00732D8D" w:rsidRDefault="00AB21C5">
            <w:pPr>
              <w:jc w:val="right"/>
            </w:pPr>
            <w:r>
              <w:rPr>
                <w:rFonts w:cs="Calibri"/>
                <w:color w:val="000000"/>
                <w:sz w:val="24"/>
                <w:szCs w:val="24"/>
              </w:rPr>
              <w:t>$</w:t>
            </w:r>
            <w:r w:rsidRPr="005F081D">
              <w:rPr>
                <w:rFonts w:cs="Calibri"/>
                <w:color w:val="000000"/>
                <w:sz w:val="24"/>
                <w:szCs w:val="24"/>
              </w:rPr>
              <w:t>4,947,873</w:t>
            </w:r>
          </w:p>
        </w:tc>
        <w:tc>
          <w:tcPr>
            <w:tcW w:w="1326" w:type="dxa"/>
            <w:shd w:val="clear" w:color="auto" w:fill="auto"/>
            <w:vAlign w:val="center"/>
          </w:tcPr>
          <w:p w14:paraId="57F52B64" w14:textId="77777777" w:rsidR="00AB21C5" w:rsidRPr="00732D8D" w:rsidRDefault="00AB21C5">
            <w:pPr>
              <w:jc w:val="right"/>
            </w:pPr>
            <w:r>
              <w:rPr>
                <w:rFonts w:cs="Calibri"/>
                <w:color w:val="000000"/>
                <w:sz w:val="24"/>
                <w:szCs w:val="24"/>
              </w:rPr>
              <w:t>$</w:t>
            </w:r>
            <w:r w:rsidRPr="005F081D">
              <w:rPr>
                <w:rFonts w:cs="Calibri"/>
                <w:color w:val="000000"/>
                <w:sz w:val="24"/>
                <w:szCs w:val="24"/>
              </w:rPr>
              <w:t>5,090,061</w:t>
            </w:r>
          </w:p>
        </w:tc>
        <w:tc>
          <w:tcPr>
            <w:tcW w:w="1326" w:type="dxa"/>
            <w:vAlign w:val="center"/>
          </w:tcPr>
          <w:p w14:paraId="738E8CD7" w14:textId="77777777" w:rsidR="00AB21C5" w:rsidRPr="00732D8D" w:rsidRDefault="00AB21C5">
            <w:pPr>
              <w:jc w:val="right"/>
            </w:pPr>
            <w:r>
              <w:rPr>
                <w:rFonts w:cs="Calibri"/>
                <w:color w:val="000000"/>
                <w:sz w:val="24"/>
                <w:szCs w:val="24"/>
              </w:rPr>
              <w:t>$</w:t>
            </w:r>
            <w:r w:rsidRPr="005F081D">
              <w:rPr>
                <w:rFonts w:cs="Calibri"/>
                <w:color w:val="000000"/>
                <w:sz w:val="24"/>
                <w:szCs w:val="24"/>
              </w:rPr>
              <w:t>3,728,242</w:t>
            </w:r>
          </w:p>
        </w:tc>
        <w:tc>
          <w:tcPr>
            <w:tcW w:w="1574" w:type="dxa"/>
            <w:shd w:val="clear" w:color="auto" w:fill="auto"/>
            <w:vAlign w:val="center"/>
          </w:tcPr>
          <w:p w14:paraId="3EBE1B6D" w14:textId="77777777" w:rsidR="00AB21C5" w:rsidRPr="00B64AE8" w:rsidRDefault="00AB21C5">
            <w:pPr>
              <w:jc w:val="right"/>
              <w:rPr>
                <w:rFonts w:cs="Calibri"/>
                <w:color w:val="000000"/>
                <w:sz w:val="24"/>
                <w:szCs w:val="24"/>
              </w:rPr>
            </w:pPr>
            <w:r w:rsidRPr="00B64AE8">
              <w:rPr>
                <w:rFonts w:cs="Calibri"/>
                <w:color w:val="000000"/>
                <w:sz w:val="24"/>
                <w:szCs w:val="24"/>
              </w:rPr>
              <w:t>$</w:t>
            </w:r>
            <w:r>
              <w:rPr>
                <w:rFonts w:cs="Calibri"/>
                <w:color w:val="000000"/>
                <w:sz w:val="24"/>
                <w:szCs w:val="24"/>
              </w:rPr>
              <w:t>14,490,000</w:t>
            </w:r>
          </w:p>
        </w:tc>
      </w:tr>
      <w:tr w:rsidR="00AB21C5" w:rsidRPr="00B64AE8" w14:paraId="4FD4A6AA" w14:textId="77777777" w:rsidTr="00AB21C5">
        <w:trPr>
          <w:trHeight w:val="728"/>
          <w:jc w:val="center"/>
        </w:trPr>
        <w:tc>
          <w:tcPr>
            <w:tcW w:w="1937" w:type="dxa"/>
            <w:vAlign w:val="center"/>
          </w:tcPr>
          <w:p w14:paraId="16BCF031" w14:textId="77777777" w:rsidR="00AB21C5" w:rsidRPr="00B64AE8" w:rsidRDefault="00AB21C5">
            <w:pPr>
              <w:rPr>
                <w:rFonts w:cs="Calibri"/>
                <w:b/>
                <w:sz w:val="24"/>
                <w:szCs w:val="24"/>
                <w:vertAlign w:val="superscript"/>
              </w:rPr>
            </w:pPr>
            <w:r>
              <w:rPr>
                <w:rFonts w:cs="Calibri"/>
                <w:b/>
                <w:sz w:val="24"/>
                <w:szCs w:val="24"/>
              </w:rPr>
              <w:t>DI-Non-Incentive</w:t>
            </w:r>
          </w:p>
        </w:tc>
        <w:tc>
          <w:tcPr>
            <w:tcW w:w="1326" w:type="dxa"/>
            <w:shd w:val="clear" w:color="auto" w:fill="auto"/>
            <w:vAlign w:val="center"/>
          </w:tcPr>
          <w:p w14:paraId="695738A7" w14:textId="77777777" w:rsidR="00AB21C5" w:rsidRPr="00B64AE8" w:rsidRDefault="00AB21C5">
            <w:pPr>
              <w:jc w:val="center"/>
              <w:rPr>
                <w:rFonts w:cs="Calibri"/>
                <w:sz w:val="24"/>
                <w:szCs w:val="24"/>
              </w:rPr>
            </w:pPr>
            <w:r w:rsidRPr="00732D8D">
              <w:t>$2,484,375</w:t>
            </w:r>
          </w:p>
        </w:tc>
        <w:tc>
          <w:tcPr>
            <w:tcW w:w="1326" w:type="dxa"/>
            <w:shd w:val="clear" w:color="auto" w:fill="auto"/>
            <w:vAlign w:val="center"/>
          </w:tcPr>
          <w:p w14:paraId="522548FE" w14:textId="77777777" w:rsidR="00AB21C5" w:rsidRPr="00AA3C4F" w:rsidRDefault="00AB21C5">
            <w:pPr>
              <w:jc w:val="center"/>
            </w:pPr>
            <w:r w:rsidRPr="00732D8D">
              <w:t>$1,763,750</w:t>
            </w:r>
          </w:p>
        </w:tc>
        <w:tc>
          <w:tcPr>
            <w:tcW w:w="1326" w:type="dxa"/>
            <w:shd w:val="clear" w:color="auto" w:fill="auto"/>
            <w:vAlign w:val="center"/>
          </w:tcPr>
          <w:p w14:paraId="7B6E0872" w14:textId="77777777" w:rsidR="00AB21C5" w:rsidRPr="00B64AE8" w:rsidRDefault="00AB21C5">
            <w:pPr>
              <w:jc w:val="center"/>
              <w:rPr>
                <w:rFonts w:cs="Calibri"/>
                <w:sz w:val="24"/>
                <w:szCs w:val="24"/>
              </w:rPr>
            </w:pPr>
            <w:r w:rsidRPr="00732D8D">
              <w:t>$1,763,750</w:t>
            </w:r>
          </w:p>
        </w:tc>
        <w:tc>
          <w:tcPr>
            <w:tcW w:w="1326" w:type="dxa"/>
            <w:vAlign w:val="center"/>
          </w:tcPr>
          <w:p w14:paraId="4746E4E4" w14:textId="77777777" w:rsidR="00AB21C5" w:rsidRPr="00B64AE8" w:rsidRDefault="00AB21C5">
            <w:pPr>
              <w:jc w:val="center"/>
              <w:rPr>
                <w:rFonts w:cs="Calibri"/>
                <w:color w:val="000000"/>
                <w:sz w:val="24"/>
                <w:szCs w:val="24"/>
              </w:rPr>
            </w:pPr>
            <w:r w:rsidRPr="00732D8D">
              <w:t>$1,703,750</w:t>
            </w:r>
          </w:p>
        </w:tc>
        <w:tc>
          <w:tcPr>
            <w:tcW w:w="1574" w:type="dxa"/>
            <w:shd w:val="clear" w:color="auto" w:fill="auto"/>
            <w:vAlign w:val="center"/>
          </w:tcPr>
          <w:p w14:paraId="05C7D2D4" w14:textId="77777777" w:rsidR="00AB21C5" w:rsidRPr="00B64AE8" w:rsidRDefault="00AB21C5">
            <w:pPr>
              <w:jc w:val="right"/>
              <w:rPr>
                <w:rFonts w:cs="Calibri"/>
                <w:sz w:val="24"/>
                <w:szCs w:val="24"/>
              </w:rPr>
            </w:pPr>
            <w:r w:rsidRPr="00B64AE8">
              <w:rPr>
                <w:rFonts w:cs="Calibri"/>
                <w:color w:val="000000"/>
                <w:sz w:val="24"/>
                <w:szCs w:val="24"/>
              </w:rPr>
              <w:t>$</w:t>
            </w:r>
            <w:r>
              <w:rPr>
                <w:rFonts w:cs="Calibri"/>
                <w:color w:val="000000"/>
                <w:sz w:val="24"/>
                <w:szCs w:val="24"/>
              </w:rPr>
              <w:t>7,715,625</w:t>
            </w:r>
          </w:p>
        </w:tc>
      </w:tr>
      <w:tr w:rsidR="00AB21C5" w:rsidRPr="00B64AE8" w14:paraId="3BB52F47" w14:textId="77777777" w:rsidTr="00AB21C5">
        <w:trPr>
          <w:trHeight w:val="458"/>
          <w:jc w:val="center"/>
        </w:trPr>
        <w:tc>
          <w:tcPr>
            <w:tcW w:w="1937" w:type="dxa"/>
            <w:vAlign w:val="center"/>
          </w:tcPr>
          <w:p w14:paraId="2C0A9F20" w14:textId="77777777" w:rsidR="00AB21C5" w:rsidRPr="00B64AE8" w:rsidRDefault="00AB21C5">
            <w:pPr>
              <w:rPr>
                <w:rFonts w:cs="Calibri"/>
                <w:b/>
                <w:sz w:val="24"/>
                <w:szCs w:val="24"/>
              </w:rPr>
            </w:pPr>
            <w:r>
              <w:rPr>
                <w:rFonts w:cs="Calibri"/>
                <w:b/>
                <w:sz w:val="24"/>
                <w:szCs w:val="24"/>
              </w:rPr>
              <w:t xml:space="preserve">DI-NI - </w:t>
            </w:r>
            <w:r>
              <w:rPr>
                <w:rFonts w:cs="Calibri"/>
                <w:b/>
                <w:sz w:val="24"/>
                <w:szCs w:val="24"/>
              </w:rPr>
              <w:br/>
              <w:t>Maximum KPI</w:t>
            </w:r>
          </w:p>
        </w:tc>
        <w:tc>
          <w:tcPr>
            <w:tcW w:w="1326" w:type="dxa"/>
            <w:shd w:val="clear" w:color="auto" w:fill="auto"/>
            <w:vAlign w:val="center"/>
          </w:tcPr>
          <w:p w14:paraId="2E876086" w14:textId="77777777" w:rsidR="00AB21C5" w:rsidRPr="00A653A7" w:rsidRDefault="00AB21C5">
            <w:pPr>
              <w:jc w:val="right"/>
              <w:rPr>
                <w:rFonts w:cs="Calibri"/>
                <w:color w:val="000000"/>
                <w:sz w:val="24"/>
                <w:szCs w:val="24"/>
              </w:rPr>
            </w:pPr>
            <w:r w:rsidRPr="006D44A5">
              <w:rPr>
                <w:rFonts w:cs="Calibri"/>
                <w:color w:val="000000"/>
                <w:sz w:val="24"/>
                <w:szCs w:val="24"/>
              </w:rPr>
              <w:t>$335,625</w:t>
            </w:r>
          </w:p>
        </w:tc>
        <w:tc>
          <w:tcPr>
            <w:tcW w:w="1326" w:type="dxa"/>
            <w:shd w:val="clear" w:color="auto" w:fill="auto"/>
            <w:vAlign w:val="center"/>
          </w:tcPr>
          <w:p w14:paraId="1A8EBC9D" w14:textId="77777777" w:rsidR="00AB21C5" w:rsidRPr="00A653A7" w:rsidRDefault="00AB21C5">
            <w:pPr>
              <w:jc w:val="right"/>
              <w:rPr>
                <w:rFonts w:cs="Calibri"/>
                <w:color w:val="000000"/>
                <w:sz w:val="24"/>
                <w:szCs w:val="24"/>
              </w:rPr>
            </w:pPr>
            <w:r w:rsidRPr="006D44A5">
              <w:rPr>
                <w:rFonts w:cs="Calibri"/>
                <w:color w:val="000000"/>
                <w:sz w:val="24"/>
                <w:szCs w:val="24"/>
              </w:rPr>
              <w:t>$671,250</w:t>
            </w:r>
          </w:p>
        </w:tc>
        <w:tc>
          <w:tcPr>
            <w:tcW w:w="1326" w:type="dxa"/>
            <w:shd w:val="clear" w:color="auto" w:fill="auto"/>
            <w:vAlign w:val="center"/>
          </w:tcPr>
          <w:p w14:paraId="70E694E5" w14:textId="77777777" w:rsidR="00AB21C5" w:rsidRPr="00A653A7" w:rsidRDefault="00AB21C5">
            <w:pPr>
              <w:jc w:val="right"/>
              <w:rPr>
                <w:rFonts w:cs="Calibri"/>
                <w:color w:val="000000"/>
                <w:sz w:val="24"/>
                <w:szCs w:val="24"/>
              </w:rPr>
            </w:pPr>
            <w:r w:rsidRPr="006D44A5">
              <w:rPr>
                <w:rFonts w:cs="Calibri"/>
                <w:color w:val="000000"/>
                <w:sz w:val="24"/>
                <w:szCs w:val="24"/>
              </w:rPr>
              <w:t>$671,250</w:t>
            </w:r>
          </w:p>
        </w:tc>
        <w:tc>
          <w:tcPr>
            <w:tcW w:w="1326" w:type="dxa"/>
            <w:vAlign w:val="center"/>
          </w:tcPr>
          <w:p w14:paraId="58EB086E" w14:textId="77777777" w:rsidR="00AB21C5" w:rsidRPr="00A653A7" w:rsidRDefault="00AB21C5">
            <w:pPr>
              <w:jc w:val="right"/>
              <w:rPr>
                <w:rFonts w:cs="Calibri"/>
                <w:color w:val="000000"/>
                <w:sz w:val="24"/>
                <w:szCs w:val="24"/>
              </w:rPr>
            </w:pPr>
            <w:r w:rsidRPr="006D44A5">
              <w:rPr>
                <w:rFonts w:cs="Calibri"/>
                <w:color w:val="000000"/>
                <w:sz w:val="24"/>
                <w:szCs w:val="24"/>
              </w:rPr>
              <w:t>$671,250</w:t>
            </w:r>
          </w:p>
        </w:tc>
        <w:tc>
          <w:tcPr>
            <w:tcW w:w="1574" w:type="dxa"/>
            <w:shd w:val="clear" w:color="auto" w:fill="auto"/>
            <w:vAlign w:val="center"/>
          </w:tcPr>
          <w:p w14:paraId="4BAF4BE3" w14:textId="77777777" w:rsidR="00AB21C5" w:rsidRPr="00A653A7" w:rsidRDefault="00AB21C5">
            <w:pPr>
              <w:jc w:val="right"/>
              <w:rPr>
                <w:rFonts w:cs="Calibri"/>
                <w:color w:val="000000"/>
                <w:sz w:val="24"/>
                <w:szCs w:val="24"/>
              </w:rPr>
            </w:pPr>
            <w:r w:rsidRPr="00562A5E">
              <w:rPr>
                <w:rFonts w:cs="Calibri"/>
                <w:color w:val="000000"/>
                <w:sz w:val="24"/>
                <w:szCs w:val="24"/>
              </w:rPr>
              <w:t>$2,349,375</w:t>
            </w:r>
          </w:p>
        </w:tc>
      </w:tr>
      <w:tr w:rsidR="00AB21C5" w:rsidRPr="00B64AE8" w14:paraId="459D77F2" w14:textId="77777777" w:rsidTr="00AB21C5">
        <w:trPr>
          <w:trHeight w:val="458"/>
          <w:jc w:val="center"/>
        </w:trPr>
        <w:tc>
          <w:tcPr>
            <w:tcW w:w="1937" w:type="dxa"/>
            <w:vAlign w:val="center"/>
          </w:tcPr>
          <w:p w14:paraId="30E37EBA" w14:textId="77777777" w:rsidR="00AB21C5" w:rsidRPr="00B64AE8" w:rsidRDefault="00AB21C5">
            <w:pPr>
              <w:rPr>
                <w:rFonts w:cs="Calibri"/>
                <w:b/>
                <w:sz w:val="24"/>
                <w:szCs w:val="24"/>
              </w:rPr>
            </w:pPr>
            <w:r>
              <w:rPr>
                <w:rFonts w:cs="Calibri"/>
                <w:b/>
                <w:sz w:val="24"/>
                <w:szCs w:val="24"/>
              </w:rPr>
              <w:t>DI-NI</w:t>
            </w:r>
            <w:r w:rsidRPr="001D1743">
              <w:rPr>
                <w:rFonts w:cs="Calibri"/>
                <w:b/>
                <w:sz w:val="24"/>
                <w:szCs w:val="24"/>
              </w:rPr>
              <w:t xml:space="preserve"> </w:t>
            </w:r>
            <w:r>
              <w:rPr>
                <w:rFonts w:cs="Calibri"/>
                <w:b/>
                <w:sz w:val="24"/>
                <w:szCs w:val="24"/>
              </w:rPr>
              <w:t>- Innovation Bonus</w:t>
            </w:r>
          </w:p>
        </w:tc>
        <w:tc>
          <w:tcPr>
            <w:tcW w:w="1326" w:type="dxa"/>
            <w:shd w:val="clear" w:color="auto" w:fill="auto"/>
            <w:vAlign w:val="center"/>
          </w:tcPr>
          <w:p w14:paraId="2281676F" w14:textId="77777777" w:rsidR="00AB21C5" w:rsidRPr="00A653A7" w:rsidRDefault="00AB21C5">
            <w:pPr>
              <w:jc w:val="right"/>
              <w:rPr>
                <w:rFonts w:cs="Calibri"/>
                <w:color w:val="000000"/>
                <w:sz w:val="24"/>
                <w:szCs w:val="24"/>
              </w:rPr>
            </w:pPr>
            <w:r w:rsidRPr="00562A5E">
              <w:rPr>
                <w:rFonts w:cs="Calibri"/>
                <w:color w:val="000000"/>
                <w:sz w:val="24"/>
                <w:szCs w:val="24"/>
              </w:rPr>
              <w:t>$0</w:t>
            </w:r>
          </w:p>
        </w:tc>
        <w:tc>
          <w:tcPr>
            <w:tcW w:w="1326" w:type="dxa"/>
            <w:shd w:val="clear" w:color="auto" w:fill="auto"/>
            <w:vAlign w:val="center"/>
          </w:tcPr>
          <w:p w14:paraId="5969DA33" w14:textId="77777777" w:rsidR="00AB21C5" w:rsidRPr="00A653A7" w:rsidRDefault="00AB21C5">
            <w:pPr>
              <w:jc w:val="right"/>
              <w:rPr>
                <w:rFonts w:cs="Calibri"/>
                <w:color w:val="000000"/>
                <w:sz w:val="24"/>
                <w:szCs w:val="24"/>
              </w:rPr>
            </w:pPr>
            <w:r w:rsidRPr="00562A5E">
              <w:rPr>
                <w:rFonts w:cs="Calibri"/>
                <w:color w:val="000000"/>
                <w:sz w:val="24"/>
                <w:szCs w:val="24"/>
              </w:rPr>
              <w:t>$75,000</w:t>
            </w:r>
          </w:p>
        </w:tc>
        <w:tc>
          <w:tcPr>
            <w:tcW w:w="1326" w:type="dxa"/>
            <w:shd w:val="clear" w:color="auto" w:fill="auto"/>
            <w:vAlign w:val="center"/>
          </w:tcPr>
          <w:p w14:paraId="4CE4BE4D" w14:textId="77777777" w:rsidR="00AB21C5" w:rsidRPr="00A653A7" w:rsidRDefault="00AB21C5">
            <w:pPr>
              <w:jc w:val="right"/>
              <w:rPr>
                <w:rFonts w:cs="Calibri"/>
                <w:color w:val="000000"/>
                <w:sz w:val="24"/>
                <w:szCs w:val="24"/>
              </w:rPr>
            </w:pPr>
            <w:r w:rsidRPr="00562A5E">
              <w:rPr>
                <w:rFonts w:cs="Calibri"/>
                <w:color w:val="000000"/>
                <w:sz w:val="24"/>
                <w:szCs w:val="24"/>
              </w:rPr>
              <w:t>$75,000</w:t>
            </w:r>
          </w:p>
        </w:tc>
        <w:tc>
          <w:tcPr>
            <w:tcW w:w="1326" w:type="dxa"/>
            <w:vAlign w:val="center"/>
          </w:tcPr>
          <w:p w14:paraId="7E657FC3" w14:textId="77777777" w:rsidR="00AB21C5" w:rsidRPr="00A653A7" w:rsidRDefault="00AB21C5">
            <w:pPr>
              <w:jc w:val="right"/>
              <w:rPr>
                <w:rFonts w:cs="Calibri"/>
                <w:color w:val="000000"/>
                <w:sz w:val="24"/>
                <w:szCs w:val="24"/>
              </w:rPr>
            </w:pPr>
            <w:r w:rsidRPr="00562A5E">
              <w:rPr>
                <w:rFonts w:cs="Calibri"/>
                <w:color w:val="000000"/>
                <w:sz w:val="24"/>
                <w:szCs w:val="24"/>
              </w:rPr>
              <w:t>$75,000</w:t>
            </w:r>
          </w:p>
        </w:tc>
        <w:tc>
          <w:tcPr>
            <w:tcW w:w="1574" w:type="dxa"/>
            <w:shd w:val="clear" w:color="auto" w:fill="auto"/>
            <w:vAlign w:val="center"/>
          </w:tcPr>
          <w:p w14:paraId="16E35C58" w14:textId="77777777" w:rsidR="00AB21C5" w:rsidRPr="00A653A7" w:rsidRDefault="00AB21C5">
            <w:pPr>
              <w:jc w:val="right"/>
              <w:rPr>
                <w:rFonts w:cs="Calibri"/>
                <w:color w:val="000000"/>
                <w:sz w:val="24"/>
                <w:szCs w:val="24"/>
              </w:rPr>
            </w:pPr>
            <w:r w:rsidRPr="00562A5E">
              <w:rPr>
                <w:rFonts w:cs="Calibri"/>
                <w:color w:val="000000"/>
                <w:sz w:val="24"/>
                <w:szCs w:val="24"/>
              </w:rPr>
              <w:t>$225,000</w:t>
            </w:r>
          </w:p>
        </w:tc>
      </w:tr>
      <w:tr w:rsidR="00AB21C5" w:rsidRPr="00B64AE8" w14:paraId="37A15800" w14:textId="77777777" w:rsidTr="00AB21C5">
        <w:trPr>
          <w:trHeight w:val="458"/>
          <w:jc w:val="center"/>
        </w:trPr>
        <w:tc>
          <w:tcPr>
            <w:tcW w:w="1937" w:type="dxa"/>
            <w:vAlign w:val="center"/>
          </w:tcPr>
          <w:p w14:paraId="450F4A84" w14:textId="77777777" w:rsidR="00AB21C5" w:rsidRPr="00B64AE8" w:rsidRDefault="00AB21C5">
            <w:pPr>
              <w:rPr>
                <w:rFonts w:cs="Calibri"/>
                <w:b/>
                <w:sz w:val="24"/>
                <w:szCs w:val="24"/>
              </w:rPr>
            </w:pPr>
            <w:r w:rsidRPr="00B64AE8">
              <w:rPr>
                <w:rFonts w:cs="Calibri"/>
                <w:b/>
                <w:sz w:val="24"/>
                <w:szCs w:val="24"/>
              </w:rPr>
              <w:t>Total EE Budget</w:t>
            </w:r>
          </w:p>
        </w:tc>
        <w:tc>
          <w:tcPr>
            <w:tcW w:w="1326" w:type="dxa"/>
            <w:shd w:val="clear" w:color="auto" w:fill="auto"/>
            <w:vAlign w:val="center"/>
          </w:tcPr>
          <w:p w14:paraId="76AA8E5B" w14:textId="77777777" w:rsidR="00AB21C5" w:rsidRPr="00B64AE8" w:rsidRDefault="00AB21C5">
            <w:pPr>
              <w:jc w:val="right"/>
              <w:rPr>
                <w:rFonts w:cs="Calibri"/>
                <w:b/>
                <w:sz w:val="24"/>
                <w:szCs w:val="24"/>
              </w:rPr>
            </w:pPr>
            <w:r w:rsidRPr="00935886">
              <w:rPr>
                <w:rFonts w:cs="Calibri"/>
                <w:color w:val="000000"/>
                <w:sz w:val="24"/>
                <w:szCs w:val="24"/>
              </w:rPr>
              <w:t>$4,233,824</w:t>
            </w:r>
          </w:p>
        </w:tc>
        <w:tc>
          <w:tcPr>
            <w:tcW w:w="1326" w:type="dxa"/>
            <w:shd w:val="clear" w:color="auto" w:fill="auto"/>
            <w:vAlign w:val="center"/>
          </w:tcPr>
          <w:p w14:paraId="08242230" w14:textId="77777777" w:rsidR="00AB21C5" w:rsidRPr="00B64AE8" w:rsidRDefault="00AB21C5">
            <w:pPr>
              <w:jc w:val="right"/>
              <w:rPr>
                <w:rFonts w:cs="Calibri"/>
                <w:b/>
                <w:bCs/>
                <w:sz w:val="24"/>
                <w:szCs w:val="24"/>
              </w:rPr>
            </w:pPr>
            <w:r w:rsidRPr="00935886">
              <w:rPr>
                <w:rFonts w:cs="Calibri"/>
                <w:color w:val="000000"/>
                <w:sz w:val="24"/>
                <w:szCs w:val="24"/>
              </w:rPr>
              <w:t>$8,147,873</w:t>
            </w:r>
          </w:p>
        </w:tc>
        <w:tc>
          <w:tcPr>
            <w:tcW w:w="1326" w:type="dxa"/>
            <w:shd w:val="clear" w:color="auto" w:fill="auto"/>
            <w:vAlign w:val="center"/>
          </w:tcPr>
          <w:p w14:paraId="6D4038EB" w14:textId="77777777" w:rsidR="00AB21C5" w:rsidRPr="00B64AE8" w:rsidRDefault="00AB21C5">
            <w:pPr>
              <w:jc w:val="right"/>
              <w:rPr>
                <w:rFonts w:cs="Calibri"/>
                <w:b/>
                <w:bCs/>
                <w:sz w:val="24"/>
                <w:szCs w:val="24"/>
              </w:rPr>
            </w:pPr>
            <w:r w:rsidRPr="00935886">
              <w:rPr>
                <w:rFonts w:cs="Calibri"/>
                <w:color w:val="000000"/>
                <w:sz w:val="24"/>
                <w:szCs w:val="24"/>
              </w:rPr>
              <w:t>$8,290,061</w:t>
            </w:r>
          </w:p>
        </w:tc>
        <w:tc>
          <w:tcPr>
            <w:tcW w:w="1326" w:type="dxa"/>
            <w:vAlign w:val="center"/>
          </w:tcPr>
          <w:p w14:paraId="53D47306" w14:textId="77777777" w:rsidR="00AB21C5" w:rsidRPr="00B64AE8" w:rsidRDefault="00AB21C5">
            <w:pPr>
              <w:jc w:val="right"/>
              <w:rPr>
                <w:rFonts w:cs="Calibri"/>
                <w:color w:val="000000"/>
                <w:sz w:val="24"/>
                <w:szCs w:val="24"/>
              </w:rPr>
            </w:pPr>
            <w:r w:rsidRPr="00935886">
              <w:rPr>
                <w:rFonts w:cs="Calibri"/>
                <w:color w:val="000000"/>
                <w:sz w:val="24"/>
                <w:szCs w:val="24"/>
              </w:rPr>
              <w:t>$6,928,242</w:t>
            </w:r>
          </w:p>
        </w:tc>
        <w:tc>
          <w:tcPr>
            <w:tcW w:w="1574" w:type="dxa"/>
            <w:shd w:val="clear" w:color="auto" w:fill="auto"/>
            <w:vAlign w:val="center"/>
          </w:tcPr>
          <w:p w14:paraId="184D9D80" w14:textId="77777777" w:rsidR="00AB21C5" w:rsidRPr="00B64AE8" w:rsidRDefault="00AB21C5">
            <w:pPr>
              <w:jc w:val="right"/>
              <w:rPr>
                <w:rFonts w:cs="Calibri"/>
                <w:b/>
                <w:bCs/>
                <w:sz w:val="24"/>
                <w:szCs w:val="24"/>
              </w:rPr>
            </w:pPr>
            <w:r w:rsidRPr="00B64AE8">
              <w:rPr>
                <w:rFonts w:cs="Calibri"/>
                <w:color w:val="000000"/>
                <w:sz w:val="24"/>
                <w:szCs w:val="24"/>
              </w:rPr>
              <w:t>$</w:t>
            </w:r>
            <w:r>
              <w:rPr>
                <w:rFonts w:cs="Calibri"/>
                <w:color w:val="000000"/>
                <w:sz w:val="24"/>
                <w:szCs w:val="24"/>
              </w:rPr>
              <w:t>27,600,000</w:t>
            </w:r>
          </w:p>
        </w:tc>
      </w:tr>
      <w:tr w:rsidR="00AB21C5" w:rsidRPr="00B64AE8" w14:paraId="64CD65A7" w14:textId="77777777" w:rsidTr="00AB21C5">
        <w:trPr>
          <w:trHeight w:val="458"/>
          <w:jc w:val="center"/>
        </w:trPr>
        <w:tc>
          <w:tcPr>
            <w:tcW w:w="1937" w:type="dxa"/>
            <w:vAlign w:val="center"/>
          </w:tcPr>
          <w:p w14:paraId="43B9C39A" w14:textId="77777777" w:rsidR="00AB21C5" w:rsidRPr="00B64AE8" w:rsidRDefault="00AB21C5">
            <w:pPr>
              <w:rPr>
                <w:rFonts w:cs="Calibri"/>
                <w:b/>
                <w:sz w:val="24"/>
                <w:szCs w:val="24"/>
              </w:rPr>
            </w:pPr>
            <w:r>
              <w:rPr>
                <w:rFonts w:cs="Calibri"/>
                <w:b/>
                <w:sz w:val="24"/>
                <w:szCs w:val="24"/>
              </w:rPr>
              <w:t>EE/</w:t>
            </w:r>
            <w:r w:rsidRPr="00B64AE8">
              <w:rPr>
                <w:rFonts w:cs="Calibri"/>
                <w:b/>
                <w:sz w:val="24"/>
                <w:szCs w:val="24"/>
              </w:rPr>
              <w:t>DR Budget</w:t>
            </w:r>
            <w:r w:rsidRPr="00B64AE8">
              <w:rPr>
                <w:rStyle w:val="FootnoteReference"/>
                <w:rFonts w:cs="Calibri"/>
                <w:b/>
                <w:sz w:val="24"/>
                <w:szCs w:val="24"/>
              </w:rPr>
              <w:footnoteReference w:id="2"/>
            </w:r>
          </w:p>
        </w:tc>
        <w:tc>
          <w:tcPr>
            <w:tcW w:w="1326" w:type="dxa"/>
            <w:shd w:val="clear" w:color="auto" w:fill="auto"/>
            <w:vAlign w:val="center"/>
          </w:tcPr>
          <w:p w14:paraId="4891CF59" w14:textId="77777777" w:rsidR="00AB21C5" w:rsidRPr="009A5572" w:rsidRDefault="00AB21C5">
            <w:pPr>
              <w:jc w:val="right"/>
              <w:rPr>
                <w:rFonts w:cstheme="minorHAnsi"/>
                <w:color w:val="000000"/>
                <w:sz w:val="24"/>
                <w:szCs w:val="24"/>
                <w:highlight w:val="yellow"/>
              </w:rPr>
            </w:pPr>
            <w:r w:rsidRPr="009A5572">
              <w:rPr>
                <w:rFonts w:cstheme="minorHAnsi"/>
                <w:color w:val="000000"/>
                <w:sz w:val="24"/>
                <w:szCs w:val="24"/>
              </w:rPr>
              <w:t>$58,14</w:t>
            </w:r>
            <w:r>
              <w:rPr>
                <w:rFonts w:cstheme="minorHAnsi"/>
                <w:color w:val="000000"/>
                <w:sz w:val="24"/>
                <w:szCs w:val="24"/>
              </w:rPr>
              <w:t>5</w:t>
            </w:r>
            <w:r w:rsidRPr="009A5572">
              <w:rPr>
                <w:rFonts w:cstheme="minorHAnsi"/>
                <w:color w:val="000000"/>
                <w:sz w:val="24"/>
                <w:szCs w:val="24"/>
              </w:rPr>
              <w:t xml:space="preserve"> </w:t>
            </w:r>
          </w:p>
        </w:tc>
        <w:tc>
          <w:tcPr>
            <w:tcW w:w="1326" w:type="dxa"/>
            <w:shd w:val="clear" w:color="auto" w:fill="auto"/>
            <w:vAlign w:val="center"/>
          </w:tcPr>
          <w:p w14:paraId="1CCC7275" w14:textId="77777777" w:rsidR="00AB21C5" w:rsidRPr="009A5572" w:rsidRDefault="00AB21C5">
            <w:pPr>
              <w:jc w:val="right"/>
              <w:rPr>
                <w:rFonts w:cstheme="minorHAnsi"/>
                <w:color w:val="000000"/>
                <w:sz w:val="24"/>
                <w:szCs w:val="24"/>
                <w:highlight w:val="yellow"/>
              </w:rPr>
            </w:pPr>
            <w:r w:rsidRPr="009A5572">
              <w:rPr>
                <w:rFonts w:cstheme="minorHAnsi"/>
                <w:color w:val="000000"/>
                <w:sz w:val="24"/>
                <w:szCs w:val="24"/>
              </w:rPr>
              <w:t>$26,28</w:t>
            </w:r>
            <w:r>
              <w:rPr>
                <w:rFonts w:cstheme="minorHAnsi"/>
                <w:color w:val="000000"/>
                <w:sz w:val="24"/>
                <w:szCs w:val="24"/>
              </w:rPr>
              <w:t>5</w:t>
            </w:r>
            <w:r w:rsidRPr="009A5572">
              <w:rPr>
                <w:rFonts w:cstheme="minorHAnsi"/>
                <w:color w:val="000000"/>
                <w:sz w:val="24"/>
                <w:szCs w:val="24"/>
              </w:rPr>
              <w:t xml:space="preserve"> </w:t>
            </w:r>
          </w:p>
        </w:tc>
        <w:tc>
          <w:tcPr>
            <w:tcW w:w="1326" w:type="dxa"/>
            <w:shd w:val="clear" w:color="auto" w:fill="auto"/>
            <w:vAlign w:val="center"/>
          </w:tcPr>
          <w:p w14:paraId="6A4FC645" w14:textId="77777777" w:rsidR="00AB21C5" w:rsidRPr="009A5572" w:rsidRDefault="00AB21C5">
            <w:pPr>
              <w:jc w:val="right"/>
              <w:rPr>
                <w:rFonts w:cstheme="minorHAnsi"/>
                <w:color w:val="000000"/>
                <w:sz w:val="24"/>
                <w:szCs w:val="24"/>
                <w:highlight w:val="yellow"/>
              </w:rPr>
            </w:pPr>
            <w:r w:rsidRPr="009A5572">
              <w:rPr>
                <w:rFonts w:cstheme="minorHAnsi"/>
                <w:color w:val="000000"/>
                <w:sz w:val="24"/>
                <w:szCs w:val="24"/>
              </w:rPr>
              <w:t>$26,28</w:t>
            </w:r>
            <w:r>
              <w:rPr>
                <w:rFonts w:cstheme="minorHAnsi"/>
                <w:color w:val="000000"/>
                <w:sz w:val="24"/>
                <w:szCs w:val="24"/>
              </w:rPr>
              <w:t>5</w:t>
            </w:r>
            <w:r w:rsidRPr="009A5572">
              <w:rPr>
                <w:rFonts w:cstheme="minorHAnsi"/>
                <w:color w:val="000000"/>
                <w:sz w:val="24"/>
                <w:szCs w:val="24"/>
              </w:rPr>
              <w:t xml:space="preserve"> </w:t>
            </w:r>
          </w:p>
        </w:tc>
        <w:tc>
          <w:tcPr>
            <w:tcW w:w="1326" w:type="dxa"/>
            <w:vAlign w:val="center"/>
          </w:tcPr>
          <w:p w14:paraId="1176481F" w14:textId="77777777" w:rsidR="00AB21C5" w:rsidRPr="009A5572" w:rsidRDefault="00AB21C5">
            <w:pPr>
              <w:jc w:val="right"/>
              <w:rPr>
                <w:rFonts w:cstheme="minorHAnsi"/>
                <w:color w:val="000000"/>
                <w:sz w:val="24"/>
                <w:szCs w:val="24"/>
              </w:rPr>
            </w:pPr>
            <w:r w:rsidRPr="009A5572">
              <w:rPr>
                <w:rFonts w:cstheme="minorHAnsi"/>
                <w:color w:val="000000"/>
                <w:sz w:val="24"/>
                <w:szCs w:val="24"/>
              </w:rPr>
              <w:t>$26,28</w:t>
            </w:r>
            <w:r>
              <w:rPr>
                <w:rFonts w:cstheme="minorHAnsi"/>
                <w:color w:val="000000"/>
                <w:sz w:val="24"/>
                <w:szCs w:val="24"/>
              </w:rPr>
              <w:t>5</w:t>
            </w:r>
            <w:r w:rsidRPr="009A5572">
              <w:rPr>
                <w:rFonts w:cstheme="minorHAnsi"/>
                <w:color w:val="000000"/>
                <w:sz w:val="24"/>
                <w:szCs w:val="24"/>
              </w:rPr>
              <w:t xml:space="preserve"> </w:t>
            </w:r>
          </w:p>
        </w:tc>
        <w:tc>
          <w:tcPr>
            <w:tcW w:w="1574" w:type="dxa"/>
            <w:shd w:val="clear" w:color="auto" w:fill="auto"/>
            <w:vAlign w:val="center"/>
          </w:tcPr>
          <w:p w14:paraId="01B974D4" w14:textId="77777777" w:rsidR="00AB21C5" w:rsidRPr="009A5572" w:rsidRDefault="00AB21C5">
            <w:pPr>
              <w:jc w:val="right"/>
              <w:rPr>
                <w:rFonts w:cstheme="minorHAnsi"/>
                <w:color w:val="000000"/>
                <w:sz w:val="24"/>
                <w:szCs w:val="24"/>
              </w:rPr>
            </w:pPr>
            <w:r w:rsidRPr="009A5572">
              <w:rPr>
                <w:rFonts w:cstheme="minorHAnsi"/>
                <w:color w:val="000000"/>
                <w:sz w:val="24"/>
                <w:szCs w:val="24"/>
              </w:rPr>
              <w:t xml:space="preserve">$137,000 </w:t>
            </w:r>
          </w:p>
        </w:tc>
      </w:tr>
      <w:tr w:rsidR="00AB21C5" w:rsidRPr="00B64AE8" w14:paraId="6058E6F9" w14:textId="77777777" w:rsidTr="00AB21C5">
        <w:trPr>
          <w:trHeight w:val="458"/>
          <w:jc w:val="center"/>
        </w:trPr>
        <w:tc>
          <w:tcPr>
            <w:tcW w:w="1937" w:type="dxa"/>
            <w:vAlign w:val="center"/>
          </w:tcPr>
          <w:p w14:paraId="36C1AE0E" w14:textId="77777777" w:rsidR="00AB21C5" w:rsidRPr="00B64AE8" w:rsidRDefault="00AB21C5">
            <w:pPr>
              <w:rPr>
                <w:rFonts w:cs="Calibri"/>
                <w:b/>
                <w:sz w:val="24"/>
                <w:szCs w:val="24"/>
              </w:rPr>
            </w:pPr>
            <w:r w:rsidRPr="00B64AE8">
              <w:rPr>
                <w:rFonts w:cs="Calibri"/>
                <w:b/>
                <w:sz w:val="24"/>
                <w:szCs w:val="24"/>
              </w:rPr>
              <w:t>Total Budget</w:t>
            </w:r>
          </w:p>
        </w:tc>
        <w:tc>
          <w:tcPr>
            <w:tcW w:w="1326" w:type="dxa"/>
            <w:shd w:val="clear" w:color="auto" w:fill="auto"/>
            <w:vAlign w:val="center"/>
          </w:tcPr>
          <w:p w14:paraId="3F3F28A0" w14:textId="77777777" w:rsidR="00AB21C5" w:rsidRPr="009A5572" w:rsidRDefault="00AB21C5">
            <w:pPr>
              <w:jc w:val="right"/>
              <w:rPr>
                <w:rFonts w:cstheme="minorHAnsi"/>
                <w:color w:val="000000"/>
                <w:sz w:val="24"/>
                <w:szCs w:val="24"/>
              </w:rPr>
            </w:pPr>
            <w:r w:rsidRPr="00935886">
              <w:rPr>
                <w:rFonts w:cstheme="minorHAnsi"/>
                <w:color w:val="000000"/>
                <w:sz w:val="24"/>
                <w:szCs w:val="24"/>
              </w:rPr>
              <w:t>$4,291,969</w:t>
            </w:r>
          </w:p>
        </w:tc>
        <w:tc>
          <w:tcPr>
            <w:tcW w:w="1326" w:type="dxa"/>
            <w:shd w:val="clear" w:color="auto" w:fill="auto"/>
            <w:vAlign w:val="center"/>
          </w:tcPr>
          <w:p w14:paraId="75065E49" w14:textId="77777777" w:rsidR="00AB21C5" w:rsidRPr="009A5572" w:rsidRDefault="00AB21C5">
            <w:pPr>
              <w:jc w:val="right"/>
              <w:rPr>
                <w:rFonts w:cstheme="minorHAnsi"/>
                <w:color w:val="000000"/>
                <w:sz w:val="24"/>
                <w:szCs w:val="24"/>
              </w:rPr>
            </w:pPr>
            <w:r w:rsidRPr="00935886">
              <w:rPr>
                <w:rFonts w:cstheme="minorHAnsi"/>
                <w:color w:val="000000"/>
                <w:sz w:val="24"/>
                <w:szCs w:val="24"/>
              </w:rPr>
              <w:t>$8,174,158</w:t>
            </w:r>
          </w:p>
        </w:tc>
        <w:tc>
          <w:tcPr>
            <w:tcW w:w="1326" w:type="dxa"/>
            <w:shd w:val="clear" w:color="auto" w:fill="auto"/>
            <w:vAlign w:val="center"/>
          </w:tcPr>
          <w:p w14:paraId="105C0065" w14:textId="77777777" w:rsidR="00AB21C5" w:rsidRPr="009A5572" w:rsidRDefault="00AB21C5">
            <w:pPr>
              <w:jc w:val="right"/>
              <w:rPr>
                <w:rFonts w:cstheme="minorHAnsi"/>
                <w:color w:val="000000"/>
                <w:sz w:val="24"/>
                <w:szCs w:val="24"/>
              </w:rPr>
            </w:pPr>
            <w:r w:rsidRPr="00935886">
              <w:rPr>
                <w:rFonts w:cstheme="minorHAnsi"/>
                <w:color w:val="000000"/>
                <w:sz w:val="24"/>
                <w:szCs w:val="24"/>
              </w:rPr>
              <w:t>$8,316,346</w:t>
            </w:r>
          </w:p>
        </w:tc>
        <w:tc>
          <w:tcPr>
            <w:tcW w:w="1326" w:type="dxa"/>
            <w:vAlign w:val="center"/>
          </w:tcPr>
          <w:p w14:paraId="3487EF7E" w14:textId="77777777" w:rsidR="00AB21C5" w:rsidRPr="009A5572" w:rsidRDefault="00AB21C5">
            <w:pPr>
              <w:jc w:val="right"/>
              <w:rPr>
                <w:rFonts w:cstheme="minorHAnsi"/>
                <w:color w:val="000000"/>
                <w:sz w:val="24"/>
                <w:szCs w:val="24"/>
              </w:rPr>
            </w:pPr>
            <w:r w:rsidRPr="00935886">
              <w:rPr>
                <w:rFonts w:cstheme="minorHAnsi"/>
                <w:color w:val="000000"/>
                <w:sz w:val="24"/>
                <w:szCs w:val="24"/>
              </w:rPr>
              <w:t>$6,954,527</w:t>
            </w:r>
          </w:p>
        </w:tc>
        <w:tc>
          <w:tcPr>
            <w:tcW w:w="1574" w:type="dxa"/>
            <w:shd w:val="clear" w:color="auto" w:fill="auto"/>
            <w:vAlign w:val="center"/>
          </w:tcPr>
          <w:p w14:paraId="5DFB9594" w14:textId="77777777" w:rsidR="00AB21C5" w:rsidRPr="009A5572" w:rsidRDefault="00AB21C5">
            <w:pPr>
              <w:jc w:val="right"/>
              <w:rPr>
                <w:rFonts w:cstheme="minorHAnsi"/>
                <w:color w:val="000000"/>
                <w:sz w:val="24"/>
                <w:szCs w:val="24"/>
              </w:rPr>
            </w:pPr>
            <w:r w:rsidRPr="006B117D">
              <w:rPr>
                <w:rFonts w:cstheme="minorHAnsi"/>
                <w:color w:val="000000"/>
                <w:sz w:val="24"/>
                <w:szCs w:val="24"/>
              </w:rPr>
              <w:t xml:space="preserve">$27,737,000 </w:t>
            </w:r>
          </w:p>
        </w:tc>
      </w:tr>
    </w:tbl>
    <w:p w14:paraId="5D98DCF8" w14:textId="77777777" w:rsidR="00F4317C" w:rsidRDefault="00F4317C" w:rsidP="000D5F2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1" w:name="_Toc129168557"/>
      <w:r w:rsidRPr="000D5F22">
        <w:rPr>
          <w:rFonts w:ascii="Arial" w:eastAsiaTheme="minorEastAsia" w:hAnsi="Arial"/>
          <w:bCs/>
          <w:iCs/>
          <w:color w:val="32476E"/>
          <w:spacing w:val="10"/>
          <w:sz w:val="24"/>
          <w:u w:val="single"/>
        </w:rPr>
        <w:lastRenderedPageBreak/>
        <w:t>Program / Sub-program Gross Impacts Table</w:t>
      </w:r>
      <w:bookmarkEnd w:id="11"/>
    </w:p>
    <w:tbl>
      <w:tblPr>
        <w:tblStyle w:val="GridTable4-Accent3"/>
        <w:tblW w:w="4387" w:type="pct"/>
        <w:jc w:val="center"/>
        <w:tblLayout w:type="fixed"/>
        <w:tblLook w:val="0420" w:firstRow="1" w:lastRow="0" w:firstColumn="0" w:lastColumn="0" w:noHBand="0" w:noVBand="1"/>
      </w:tblPr>
      <w:tblGrid>
        <w:gridCol w:w="2411"/>
        <w:gridCol w:w="1336"/>
        <w:gridCol w:w="1336"/>
        <w:gridCol w:w="1516"/>
        <w:gridCol w:w="1605"/>
      </w:tblGrid>
      <w:tr w:rsidR="00D4605B" w:rsidRPr="00103823" w14:paraId="33411DD8" w14:textId="77777777" w:rsidTr="00FD71C1">
        <w:trPr>
          <w:cnfStyle w:val="100000000000" w:firstRow="1" w:lastRow="0" w:firstColumn="0" w:lastColumn="0" w:oddVBand="0" w:evenVBand="0" w:oddHBand="0" w:evenHBand="0" w:firstRowFirstColumn="0" w:firstRowLastColumn="0" w:lastRowFirstColumn="0" w:lastRowLastColumn="0"/>
          <w:jc w:val="center"/>
        </w:trPr>
        <w:tc>
          <w:tcPr>
            <w:tcW w:w="1469" w:type="pct"/>
          </w:tcPr>
          <w:p w14:paraId="5A1800FF" w14:textId="77777777" w:rsidR="00D4605B" w:rsidRPr="00FD71C1" w:rsidRDefault="00D4605B">
            <w:pPr>
              <w:rPr>
                <w:b w:val="0"/>
                <w:bCs w:val="0"/>
                <w:color w:val="000000" w:themeColor="text1"/>
                <w:sz w:val="24"/>
                <w:szCs w:val="24"/>
              </w:rPr>
            </w:pPr>
            <w:r w:rsidRPr="00FD71C1">
              <w:rPr>
                <w:color w:val="000000" w:themeColor="text1"/>
                <w:sz w:val="24"/>
                <w:szCs w:val="24"/>
              </w:rPr>
              <w:t>Projected Net Savings</w:t>
            </w:r>
          </w:p>
        </w:tc>
        <w:tc>
          <w:tcPr>
            <w:tcW w:w="814" w:type="pct"/>
          </w:tcPr>
          <w:p w14:paraId="65EB1951" w14:textId="13A88342" w:rsidR="00D4605B" w:rsidRPr="00FD71C1" w:rsidRDefault="00D4605B">
            <w:pPr>
              <w:jc w:val="center"/>
              <w:rPr>
                <w:b w:val="0"/>
                <w:bCs w:val="0"/>
                <w:color w:val="000000" w:themeColor="text1"/>
                <w:sz w:val="24"/>
                <w:szCs w:val="24"/>
              </w:rPr>
            </w:pPr>
            <w:r w:rsidRPr="00FD71C1">
              <w:rPr>
                <w:color w:val="000000" w:themeColor="text1"/>
                <w:sz w:val="24"/>
                <w:szCs w:val="24"/>
              </w:rPr>
              <w:t>2023</w:t>
            </w:r>
          </w:p>
        </w:tc>
        <w:tc>
          <w:tcPr>
            <w:tcW w:w="814" w:type="pct"/>
          </w:tcPr>
          <w:p w14:paraId="07371ABC" w14:textId="3D8AAF8E" w:rsidR="00D4605B" w:rsidRPr="00FD71C1" w:rsidRDefault="00D4605B">
            <w:pPr>
              <w:jc w:val="center"/>
              <w:rPr>
                <w:b w:val="0"/>
                <w:bCs w:val="0"/>
                <w:color w:val="000000" w:themeColor="text1"/>
                <w:sz w:val="24"/>
                <w:szCs w:val="24"/>
              </w:rPr>
            </w:pPr>
            <w:r w:rsidRPr="00FD71C1">
              <w:rPr>
                <w:color w:val="000000" w:themeColor="text1"/>
                <w:sz w:val="24"/>
                <w:szCs w:val="24"/>
              </w:rPr>
              <w:t>2024</w:t>
            </w:r>
          </w:p>
        </w:tc>
        <w:tc>
          <w:tcPr>
            <w:tcW w:w="924" w:type="pct"/>
          </w:tcPr>
          <w:p w14:paraId="68095DC2" w14:textId="54893125" w:rsidR="00D4605B" w:rsidRPr="00FD71C1" w:rsidRDefault="00D4605B">
            <w:pPr>
              <w:jc w:val="center"/>
              <w:rPr>
                <w:color w:val="000000" w:themeColor="text1"/>
                <w:sz w:val="24"/>
                <w:szCs w:val="24"/>
              </w:rPr>
            </w:pPr>
            <w:r w:rsidRPr="00FD71C1">
              <w:rPr>
                <w:color w:val="000000" w:themeColor="text1"/>
                <w:sz w:val="24"/>
                <w:szCs w:val="24"/>
              </w:rPr>
              <w:t>2025</w:t>
            </w:r>
          </w:p>
        </w:tc>
        <w:tc>
          <w:tcPr>
            <w:tcW w:w="978" w:type="pct"/>
          </w:tcPr>
          <w:p w14:paraId="4A5ED5E9" w14:textId="3ABEE5CD" w:rsidR="00D4605B" w:rsidRPr="00FD71C1" w:rsidRDefault="00D4605B">
            <w:pPr>
              <w:jc w:val="center"/>
              <w:rPr>
                <w:color w:val="000000" w:themeColor="text1"/>
                <w:sz w:val="24"/>
                <w:szCs w:val="24"/>
              </w:rPr>
            </w:pPr>
            <w:r w:rsidRPr="00FD71C1">
              <w:rPr>
                <w:color w:val="000000" w:themeColor="text1"/>
                <w:sz w:val="24"/>
                <w:szCs w:val="24"/>
              </w:rPr>
              <w:t>2026</w:t>
            </w:r>
          </w:p>
        </w:tc>
      </w:tr>
      <w:tr w:rsidR="00D4605B" w:rsidRPr="00303102" w14:paraId="5ACBE199" w14:textId="77777777" w:rsidTr="00FD71C1">
        <w:trPr>
          <w:cnfStyle w:val="000000100000" w:firstRow="0" w:lastRow="0" w:firstColumn="0" w:lastColumn="0" w:oddVBand="0" w:evenVBand="0" w:oddHBand="1" w:evenHBand="0" w:firstRowFirstColumn="0" w:firstRowLastColumn="0" w:lastRowFirstColumn="0" w:lastRowLastColumn="0"/>
          <w:jc w:val="center"/>
        </w:trPr>
        <w:tc>
          <w:tcPr>
            <w:tcW w:w="1469" w:type="pct"/>
          </w:tcPr>
          <w:p w14:paraId="6422A4E8" w14:textId="77777777" w:rsidR="00D4605B" w:rsidRPr="00AB09F3" w:rsidRDefault="00D4605B">
            <w:pPr>
              <w:rPr>
                <w:b/>
                <w:bCs/>
                <w:sz w:val="24"/>
                <w:szCs w:val="24"/>
              </w:rPr>
            </w:pPr>
            <w:r w:rsidRPr="00AB09F3">
              <w:rPr>
                <w:b/>
                <w:bCs/>
                <w:sz w:val="24"/>
                <w:szCs w:val="24"/>
              </w:rPr>
              <w:t xml:space="preserve">Forecast kWh </w:t>
            </w:r>
          </w:p>
        </w:tc>
        <w:tc>
          <w:tcPr>
            <w:tcW w:w="814" w:type="pct"/>
          </w:tcPr>
          <w:p w14:paraId="201D5663" w14:textId="77777777" w:rsidR="00D4605B" w:rsidRPr="00FD71C1" w:rsidRDefault="00D4605B">
            <w:pPr>
              <w:jc w:val="center"/>
              <w:rPr>
                <w:sz w:val="24"/>
                <w:szCs w:val="24"/>
              </w:rPr>
            </w:pPr>
            <w:r w:rsidRPr="00FD71C1">
              <w:rPr>
                <w:sz w:val="24"/>
                <w:szCs w:val="24"/>
              </w:rPr>
              <w:t>-</w:t>
            </w:r>
          </w:p>
        </w:tc>
        <w:tc>
          <w:tcPr>
            <w:tcW w:w="814" w:type="pct"/>
          </w:tcPr>
          <w:p w14:paraId="2087E258" w14:textId="77777777" w:rsidR="00D4605B" w:rsidRPr="00FD71C1" w:rsidRDefault="00D4605B">
            <w:pPr>
              <w:jc w:val="center"/>
              <w:rPr>
                <w:sz w:val="24"/>
                <w:szCs w:val="24"/>
              </w:rPr>
            </w:pPr>
            <w:r w:rsidRPr="00FD71C1">
              <w:rPr>
                <w:sz w:val="24"/>
                <w:szCs w:val="24"/>
              </w:rPr>
              <w:t>-</w:t>
            </w:r>
          </w:p>
        </w:tc>
        <w:tc>
          <w:tcPr>
            <w:tcW w:w="924" w:type="pct"/>
          </w:tcPr>
          <w:p w14:paraId="1802FD4C" w14:textId="77777777" w:rsidR="00D4605B" w:rsidRPr="00FD71C1" w:rsidRDefault="00D4605B">
            <w:pPr>
              <w:jc w:val="center"/>
              <w:rPr>
                <w:sz w:val="24"/>
                <w:szCs w:val="24"/>
              </w:rPr>
            </w:pPr>
            <w:r w:rsidRPr="00FD71C1">
              <w:rPr>
                <w:sz w:val="24"/>
                <w:szCs w:val="24"/>
              </w:rPr>
              <w:t>-</w:t>
            </w:r>
          </w:p>
        </w:tc>
        <w:tc>
          <w:tcPr>
            <w:tcW w:w="978" w:type="pct"/>
          </w:tcPr>
          <w:p w14:paraId="45BC1058" w14:textId="77777777" w:rsidR="00D4605B" w:rsidRPr="00FD71C1" w:rsidRDefault="00D4605B">
            <w:pPr>
              <w:jc w:val="center"/>
              <w:rPr>
                <w:sz w:val="24"/>
                <w:szCs w:val="24"/>
              </w:rPr>
            </w:pPr>
            <w:r w:rsidRPr="00FD71C1">
              <w:rPr>
                <w:sz w:val="24"/>
                <w:szCs w:val="24"/>
              </w:rPr>
              <w:t>-</w:t>
            </w:r>
          </w:p>
        </w:tc>
      </w:tr>
      <w:tr w:rsidR="00D4605B" w:rsidRPr="00303102" w14:paraId="47AF6D65" w14:textId="77777777" w:rsidTr="00FD71C1">
        <w:trPr>
          <w:jc w:val="center"/>
        </w:trPr>
        <w:tc>
          <w:tcPr>
            <w:tcW w:w="1469" w:type="pct"/>
          </w:tcPr>
          <w:p w14:paraId="5A9A9E6B" w14:textId="77777777" w:rsidR="00D4605B" w:rsidRPr="00AB09F3" w:rsidRDefault="00D4605B">
            <w:pPr>
              <w:rPr>
                <w:b/>
                <w:bCs/>
                <w:sz w:val="24"/>
                <w:szCs w:val="24"/>
              </w:rPr>
            </w:pPr>
            <w:r w:rsidRPr="00AB09F3">
              <w:rPr>
                <w:b/>
                <w:bCs/>
                <w:sz w:val="24"/>
                <w:szCs w:val="24"/>
              </w:rPr>
              <w:t>Forecast kW</w:t>
            </w:r>
          </w:p>
        </w:tc>
        <w:tc>
          <w:tcPr>
            <w:tcW w:w="814" w:type="pct"/>
          </w:tcPr>
          <w:p w14:paraId="78BC6807" w14:textId="77777777" w:rsidR="00D4605B" w:rsidRPr="00FD71C1" w:rsidRDefault="00D4605B">
            <w:pPr>
              <w:tabs>
                <w:tab w:val="center" w:pos="2386"/>
              </w:tabs>
              <w:jc w:val="center"/>
              <w:rPr>
                <w:sz w:val="24"/>
                <w:szCs w:val="24"/>
              </w:rPr>
            </w:pPr>
            <w:r w:rsidRPr="00FD71C1">
              <w:rPr>
                <w:sz w:val="24"/>
                <w:szCs w:val="24"/>
              </w:rPr>
              <w:t>-</w:t>
            </w:r>
          </w:p>
        </w:tc>
        <w:tc>
          <w:tcPr>
            <w:tcW w:w="814" w:type="pct"/>
          </w:tcPr>
          <w:p w14:paraId="6EEFC9BA" w14:textId="77777777" w:rsidR="00D4605B" w:rsidRPr="00FD71C1" w:rsidRDefault="00D4605B">
            <w:pPr>
              <w:tabs>
                <w:tab w:val="center" w:pos="2386"/>
              </w:tabs>
              <w:jc w:val="center"/>
              <w:rPr>
                <w:sz w:val="24"/>
                <w:szCs w:val="24"/>
              </w:rPr>
            </w:pPr>
            <w:r w:rsidRPr="00FD71C1">
              <w:rPr>
                <w:sz w:val="24"/>
                <w:szCs w:val="24"/>
              </w:rPr>
              <w:t>-</w:t>
            </w:r>
          </w:p>
        </w:tc>
        <w:tc>
          <w:tcPr>
            <w:tcW w:w="924" w:type="pct"/>
          </w:tcPr>
          <w:p w14:paraId="001AE813" w14:textId="77777777" w:rsidR="00D4605B" w:rsidRPr="00FD71C1" w:rsidRDefault="00D4605B">
            <w:pPr>
              <w:tabs>
                <w:tab w:val="center" w:pos="2386"/>
              </w:tabs>
              <w:jc w:val="center"/>
              <w:rPr>
                <w:sz w:val="24"/>
                <w:szCs w:val="24"/>
              </w:rPr>
            </w:pPr>
            <w:r w:rsidRPr="00FD71C1">
              <w:rPr>
                <w:sz w:val="24"/>
                <w:szCs w:val="24"/>
              </w:rPr>
              <w:t>-</w:t>
            </w:r>
          </w:p>
        </w:tc>
        <w:tc>
          <w:tcPr>
            <w:tcW w:w="978" w:type="pct"/>
          </w:tcPr>
          <w:p w14:paraId="2345CBFD" w14:textId="77777777" w:rsidR="00D4605B" w:rsidRPr="00FD71C1" w:rsidRDefault="00D4605B">
            <w:pPr>
              <w:tabs>
                <w:tab w:val="center" w:pos="2386"/>
              </w:tabs>
              <w:jc w:val="center"/>
              <w:rPr>
                <w:sz w:val="24"/>
                <w:szCs w:val="24"/>
              </w:rPr>
            </w:pPr>
            <w:r w:rsidRPr="00FD71C1">
              <w:rPr>
                <w:sz w:val="24"/>
                <w:szCs w:val="24"/>
              </w:rPr>
              <w:t>-</w:t>
            </w:r>
          </w:p>
        </w:tc>
      </w:tr>
      <w:tr w:rsidR="00D4605B" w:rsidRPr="00303102" w14:paraId="7A8B0F02" w14:textId="77777777" w:rsidTr="00FD71C1">
        <w:trPr>
          <w:cnfStyle w:val="000000100000" w:firstRow="0" w:lastRow="0" w:firstColumn="0" w:lastColumn="0" w:oddVBand="0" w:evenVBand="0" w:oddHBand="1" w:evenHBand="0" w:firstRowFirstColumn="0" w:firstRowLastColumn="0" w:lastRowFirstColumn="0" w:lastRowLastColumn="0"/>
          <w:jc w:val="center"/>
        </w:trPr>
        <w:tc>
          <w:tcPr>
            <w:tcW w:w="1469" w:type="pct"/>
          </w:tcPr>
          <w:p w14:paraId="3004A4AB" w14:textId="77777777" w:rsidR="00D4605B" w:rsidRPr="00AB09F3" w:rsidRDefault="00D4605B">
            <w:pPr>
              <w:rPr>
                <w:b/>
                <w:bCs/>
                <w:sz w:val="24"/>
                <w:szCs w:val="24"/>
              </w:rPr>
            </w:pPr>
            <w:r w:rsidRPr="00AB09F3">
              <w:rPr>
                <w:b/>
                <w:bCs/>
                <w:sz w:val="24"/>
                <w:szCs w:val="24"/>
              </w:rPr>
              <w:t xml:space="preserve">Forecast </w:t>
            </w:r>
            <w:proofErr w:type="spellStart"/>
            <w:r w:rsidRPr="00AB09F3">
              <w:rPr>
                <w:b/>
                <w:bCs/>
                <w:sz w:val="24"/>
                <w:szCs w:val="24"/>
              </w:rPr>
              <w:t>Therms</w:t>
            </w:r>
            <w:proofErr w:type="spellEnd"/>
            <w:r w:rsidRPr="00AB09F3">
              <w:rPr>
                <w:b/>
                <w:bCs/>
                <w:sz w:val="24"/>
                <w:szCs w:val="24"/>
              </w:rPr>
              <w:t xml:space="preserve"> </w:t>
            </w:r>
          </w:p>
        </w:tc>
        <w:tc>
          <w:tcPr>
            <w:tcW w:w="814" w:type="pct"/>
          </w:tcPr>
          <w:p w14:paraId="3D2DF9F4" w14:textId="77777777" w:rsidR="00D4605B" w:rsidRPr="00FD71C1" w:rsidRDefault="00D4605B">
            <w:pPr>
              <w:jc w:val="center"/>
              <w:rPr>
                <w:sz w:val="24"/>
                <w:szCs w:val="24"/>
              </w:rPr>
            </w:pPr>
            <w:r w:rsidRPr="00FD71C1">
              <w:rPr>
                <w:sz w:val="24"/>
                <w:szCs w:val="24"/>
              </w:rPr>
              <w:t>-</w:t>
            </w:r>
          </w:p>
        </w:tc>
        <w:tc>
          <w:tcPr>
            <w:tcW w:w="814" w:type="pct"/>
          </w:tcPr>
          <w:p w14:paraId="27DAEA92" w14:textId="77777777" w:rsidR="00D4605B" w:rsidRPr="00FD71C1" w:rsidRDefault="00D4605B">
            <w:pPr>
              <w:jc w:val="center"/>
              <w:rPr>
                <w:sz w:val="24"/>
                <w:szCs w:val="24"/>
              </w:rPr>
            </w:pPr>
            <w:r w:rsidRPr="00FD71C1">
              <w:rPr>
                <w:sz w:val="24"/>
                <w:szCs w:val="24"/>
              </w:rPr>
              <w:t>-</w:t>
            </w:r>
          </w:p>
        </w:tc>
        <w:tc>
          <w:tcPr>
            <w:tcW w:w="924" w:type="pct"/>
          </w:tcPr>
          <w:p w14:paraId="1465B038" w14:textId="77777777" w:rsidR="00D4605B" w:rsidRPr="00FD71C1" w:rsidRDefault="00D4605B">
            <w:pPr>
              <w:jc w:val="center"/>
              <w:rPr>
                <w:sz w:val="24"/>
                <w:szCs w:val="24"/>
              </w:rPr>
            </w:pPr>
            <w:r w:rsidRPr="00FD71C1">
              <w:rPr>
                <w:sz w:val="24"/>
                <w:szCs w:val="24"/>
              </w:rPr>
              <w:t>-</w:t>
            </w:r>
          </w:p>
        </w:tc>
        <w:tc>
          <w:tcPr>
            <w:tcW w:w="978" w:type="pct"/>
          </w:tcPr>
          <w:p w14:paraId="1C260B45" w14:textId="77777777" w:rsidR="00D4605B" w:rsidRPr="00FD71C1" w:rsidRDefault="00D4605B">
            <w:pPr>
              <w:jc w:val="center"/>
              <w:rPr>
                <w:sz w:val="24"/>
                <w:szCs w:val="24"/>
              </w:rPr>
            </w:pPr>
            <w:r w:rsidRPr="00FD71C1">
              <w:rPr>
                <w:sz w:val="24"/>
                <w:szCs w:val="24"/>
              </w:rPr>
              <w:t>-</w:t>
            </w:r>
          </w:p>
        </w:tc>
      </w:tr>
      <w:tr w:rsidR="00D4605B" w:rsidRPr="00303102" w14:paraId="50775D65" w14:textId="77777777" w:rsidTr="00FD71C1">
        <w:trPr>
          <w:jc w:val="center"/>
        </w:trPr>
        <w:tc>
          <w:tcPr>
            <w:tcW w:w="1469" w:type="pct"/>
          </w:tcPr>
          <w:p w14:paraId="43CBC1BA" w14:textId="77777777" w:rsidR="00D4605B" w:rsidRPr="00AB09F3" w:rsidRDefault="00D4605B">
            <w:pPr>
              <w:rPr>
                <w:b/>
                <w:bCs/>
                <w:sz w:val="24"/>
                <w:szCs w:val="24"/>
              </w:rPr>
            </w:pPr>
            <w:r w:rsidRPr="00AB09F3">
              <w:rPr>
                <w:b/>
                <w:bCs/>
                <w:sz w:val="24"/>
                <w:szCs w:val="24"/>
              </w:rPr>
              <w:t>Total System Benefit</w:t>
            </w:r>
          </w:p>
        </w:tc>
        <w:tc>
          <w:tcPr>
            <w:tcW w:w="814" w:type="pct"/>
          </w:tcPr>
          <w:p w14:paraId="7AD3DC1A" w14:textId="174F66B6" w:rsidR="00D4605B" w:rsidRPr="00FD71C1" w:rsidRDefault="009B5FFF">
            <w:pPr>
              <w:jc w:val="center"/>
              <w:rPr>
                <w:sz w:val="24"/>
                <w:szCs w:val="24"/>
              </w:rPr>
            </w:pPr>
            <w:r>
              <w:rPr>
                <w:sz w:val="24"/>
                <w:szCs w:val="24"/>
              </w:rPr>
              <w:t>-</w:t>
            </w:r>
          </w:p>
        </w:tc>
        <w:tc>
          <w:tcPr>
            <w:tcW w:w="814" w:type="pct"/>
          </w:tcPr>
          <w:p w14:paraId="2CAFC1FD" w14:textId="5C23FFF3" w:rsidR="00D4605B" w:rsidRPr="00FD71C1" w:rsidRDefault="009B5FFF">
            <w:pPr>
              <w:jc w:val="center"/>
              <w:rPr>
                <w:sz w:val="24"/>
                <w:szCs w:val="24"/>
              </w:rPr>
            </w:pPr>
            <w:r>
              <w:rPr>
                <w:sz w:val="24"/>
                <w:szCs w:val="24"/>
              </w:rPr>
              <w:t>-</w:t>
            </w:r>
          </w:p>
        </w:tc>
        <w:tc>
          <w:tcPr>
            <w:tcW w:w="924" w:type="pct"/>
          </w:tcPr>
          <w:p w14:paraId="6DB1DA27" w14:textId="6C1EF114" w:rsidR="00D4605B" w:rsidRPr="00FD71C1" w:rsidRDefault="009B5FFF">
            <w:pPr>
              <w:jc w:val="center"/>
              <w:rPr>
                <w:sz w:val="24"/>
                <w:szCs w:val="24"/>
              </w:rPr>
            </w:pPr>
            <w:r>
              <w:rPr>
                <w:sz w:val="24"/>
                <w:szCs w:val="24"/>
              </w:rPr>
              <w:t>-</w:t>
            </w:r>
          </w:p>
        </w:tc>
        <w:tc>
          <w:tcPr>
            <w:tcW w:w="978" w:type="pct"/>
          </w:tcPr>
          <w:p w14:paraId="5B0B02CD" w14:textId="7A138A5E" w:rsidR="00D4605B" w:rsidRPr="00FD71C1" w:rsidRDefault="009B5FFF">
            <w:pPr>
              <w:jc w:val="center"/>
              <w:rPr>
                <w:sz w:val="24"/>
                <w:szCs w:val="24"/>
              </w:rPr>
            </w:pPr>
            <w:r>
              <w:rPr>
                <w:sz w:val="24"/>
                <w:szCs w:val="24"/>
              </w:rPr>
              <w:t>-</w:t>
            </w:r>
          </w:p>
        </w:tc>
      </w:tr>
    </w:tbl>
    <w:p w14:paraId="1530037D" w14:textId="496CF86F" w:rsidR="007037E2" w:rsidRDefault="00610E83" w:rsidP="007037E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2" w:name="_Toc129168558"/>
      <w:r w:rsidRPr="000D5F22">
        <w:rPr>
          <w:rFonts w:ascii="Arial" w:eastAsiaTheme="minorEastAsia" w:hAnsi="Arial"/>
          <w:bCs/>
          <w:iCs/>
          <w:color w:val="32476E"/>
          <w:spacing w:val="10"/>
          <w:sz w:val="24"/>
          <w:u w:val="single"/>
        </w:rPr>
        <w:t>Program / Sub-Program Cost Effectiveness (TRC)</w:t>
      </w:r>
      <w:bookmarkEnd w:id="12"/>
    </w:p>
    <w:p w14:paraId="77987843" w14:textId="77777777" w:rsidR="007037E2" w:rsidRPr="007520DA" w:rsidRDefault="007037E2" w:rsidP="007037E2">
      <w:pPr>
        <w:rPr>
          <w:sz w:val="4"/>
          <w:szCs w:val="4"/>
        </w:rPr>
      </w:pPr>
    </w:p>
    <w:tbl>
      <w:tblPr>
        <w:tblStyle w:val="GridTable4-Accent3"/>
        <w:tblW w:w="0" w:type="auto"/>
        <w:jc w:val="center"/>
        <w:tblLook w:val="0420" w:firstRow="1" w:lastRow="0" w:firstColumn="0" w:lastColumn="0" w:noHBand="0" w:noVBand="1"/>
      </w:tblPr>
      <w:tblGrid>
        <w:gridCol w:w="1215"/>
        <w:gridCol w:w="1216"/>
        <w:gridCol w:w="1216"/>
        <w:gridCol w:w="1216"/>
      </w:tblGrid>
      <w:tr w:rsidR="007037E2" w:rsidRPr="00805554" w14:paraId="1C3243A1" w14:textId="77777777">
        <w:trPr>
          <w:cnfStyle w:val="100000000000" w:firstRow="1" w:lastRow="0" w:firstColumn="0" w:lastColumn="0" w:oddVBand="0" w:evenVBand="0" w:oddHBand="0" w:evenHBand="0" w:firstRowFirstColumn="0" w:firstRowLastColumn="0" w:lastRowFirstColumn="0" w:lastRowLastColumn="0"/>
          <w:jc w:val="center"/>
        </w:trPr>
        <w:tc>
          <w:tcPr>
            <w:tcW w:w="1215" w:type="dxa"/>
          </w:tcPr>
          <w:p w14:paraId="33938D04" w14:textId="4CBBB41B" w:rsidR="007037E2" w:rsidRPr="007520DA" w:rsidRDefault="007037E2">
            <w:pPr>
              <w:pStyle w:val="ListParagraph"/>
              <w:ind w:left="0"/>
              <w:jc w:val="center"/>
              <w:rPr>
                <w:rFonts w:eastAsia="Garamond" w:cs="Garamond"/>
                <w:b w:val="0"/>
                <w:bCs w:val="0"/>
                <w:color w:val="000000" w:themeColor="text1"/>
                <w:sz w:val="23"/>
                <w:szCs w:val="23"/>
              </w:rPr>
            </w:pPr>
            <w:r w:rsidRPr="007520DA">
              <w:rPr>
                <w:rFonts w:eastAsia="Garamond" w:cs="Garamond"/>
                <w:color w:val="000000" w:themeColor="text1"/>
                <w:sz w:val="23"/>
                <w:szCs w:val="23"/>
              </w:rPr>
              <w:t>202</w:t>
            </w:r>
            <w:r w:rsidR="007520DA" w:rsidRPr="007520DA">
              <w:rPr>
                <w:rFonts w:eastAsia="Garamond" w:cs="Garamond"/>
                <w:color w:val="000000" w:themeColor="text1"/>
                <w:sz w:val="23"/>
                <w:szCs w:val="23"/>
              </w:rPr>
              <w:t>3</w:t>
            </w:r>
          </w:p>
        </w:tc>
        <w:tc>
          <w:tcPr>
            <w:tcW w:w="1216" w:type="dxa"/>
          </w:tcPr>
          <w:p w14:paraId="3E959597" w14:textId="1CE6091C" w:rsidR="007037E2" w:rsidRPr="007520DA" w:rsidRDefault="007520DA">
            <w:pPr>
              <w:pStyle w:val="ListParagraph"/>
              <w:ind w:left="0"/>
              <w:jc w:val="center"/>
              <w:rPr>
                <w:rFonts w:eastAsia="Garamond" w:cs="Garamond"/>
                <w:color w:val="000000" w:themeColor="text1"/>
                <w:sz w:val="23"/>
                <w:szCs w:val="23"/>
              </w:rPr>
            </w:pPr>
            <w:r w:rsidRPr="007520DA">
              <w:rPr>
                <w:rFonts w:eastAsia="Garamond" w:cs="Garamond"/>
                <w:color w:val="000000" w:themeColor="text1"/>
                <w:sz w:val="23"/>
                <w:szCs w:val="23"/>
              </w:rPr>
              <w:t>2024</w:t>
            </w:r>
          </w:p>
        </w:tc>
        <w:tc>
          <w:tcPr>
            <w:tcW w:w="1216" w:type="dxa"/>
          </w:tcPr>
          <w:p w14:paraId="0B98921B" w14:textId="1FDEA52D" w:rsidR="007037E2" w:rsidRPr="007520DA" w:rsidRDefault="007520DA">
            <w:pPr>
              <w:pStyle w:val="ListParagraph"/>
              <w:ind w:left="0"/>
              <w:jc w:val="center"/>
              <w:rPr>
                <w:rFonts w:eastAsia="Garamond" w:cs="Garamond"/>
                <w:color w:val="000000" w:themeColor="text1"/>
                <w:sz w:val="23"/>
                <w:szCs w:val="23"/>
              </w:rPr>
            </w:pPr>
            <w:r w:rsidRPr="007520DA">
              <w:rPr>
                <w:rFonts w:eastAsia="Garamond" w:cs="Garamond"/>
                <w:color w:val="000000" w:themeColor="text1"/>
                <w:sz w:val="23"/>
                <w:szCs w:val="23"/>
              </w:rPr>
              <w:t>2025</w:t>
            </w:r>
          </w:p>
        </w:tc>
        <w:tc>
          <w:tcPr>
            <w:tcW w:w="1216" w:type="dxa"/>
          </w:tcPr>
          <w:p w14:paraId="7729DDE3" w14:textId="1B8367AE" w:rsidR="007037E2" w:rsidRPr="007520DA" w:rsidRDefault="007520DA">
            <w:pPr>
              <w:pStyle w:val="ListParagraph"/>
              <w:ind w:left="0"/>
              <w:jc w:val="center"/>
              <w:rPr>
                <w:rFonts w:eastAsia="Garamond" w:cs="Garamond"/>
                <w:color w:val="000000" w:themeColor="text1"/>
                <w:sz w:val="23"/>
                <w:szCs w:val="23"/>
              </w:rPr>
            </w:pPr>
            <w:r w:rsidRPr="007520DA">
              <w:rPr>
                <w:rFonts w:eastAsia="Garamond" w:cs="Garamond"/>
                <w:color w:val="000000" w:themeColor="text1"/>
                <w:sz w:val="23"/>
                <w:szCs w:val="23"/>
              </w:rPr>
              <w:t>2026</w:t>
            </w:r>
          </w:p>
        </w:tc>
      </w:tr>
      <w:tr w:rsidR="007037E2" w14:paraId="3F4B425F" w14:textId="77777777">
        <w:trPr>
          <w:cnfStyle w:val="000000100000" w:firstRow="0" w:lastRow="0" w:firstColumn="0" w:lastColumn="0" w:oddVBand="0" w:evenVBand="0" w:oddHBand="1" w:evenHBand="0" w:firstRowFirstColumn="0" w:firstRowLastColumn="0" w:lastRowFirstColumn="0" w:lastRowLastColumn="0"/>
          <w:jc w:val="center"/>
        </w:trPr>
        <w:tc>
          <w:tcPr>
            <w:tcW w:w="1215" w:type="dxa"/>
          </w:tcPr>
          <w:p w14:paraId="4F593C32" w14:textId="77777777" w:rsidR="007037E2" w:rsidRPr="00D1097A" w:rsidRDefault="007037E2">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c>
          <w:tcPr>
            <w:tcW w:w="1216" w:type="dxa"/>
          </w:tcPr>
          <w:p w14:paraId="2D6739A9" w14:textId="77777777" w:rsidR="007037E2" w:rsidRPr="00D1097A" w:rsidRDefault="007037E2">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c>
          <w:tcPr>
            <w:tcW w:w="1216" w:type="dxa"/>
          </w:tcPr>
          <w:p w14:paraId="6C1BC6A8" w14:textId="77777777" w:rsidR="007037E2" w:rsidRPr="00D1097A" w:rsidRDefault="007037E2">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c>
          <w:tcPr>
            <w:tcW w:w="1216" w:type="dxa"/>
          </w:tcPr>
          <w:p w14:paraId="00A11911" w14:textId="77777777" w:rsidR="007037E2" w:rsidRPr="00D1097A" w:rsidRDefault="007037E2">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r>
    </w:tbl>
    <w:p w14:paraId="17471C50" w14:textId="64B79947" w:rsidR="00226B66" w:rsidRDefault="0080354E" w:rsidP="009F2B3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3" w:name="_Toc129168559"/>
      <w:r w:rsidRPr="000D5F22">
        <w:rPr>
          <w:rFonts w:ascii="Arial" w:eastAsiaTheme="minorEastAsia" w:hAnsi="Arial"/>
          <w:bCs/>
          <w:iCs/>
          <w:color w:val="32476E"/>
          <w:spacing w:val="10"/>
          <w:sz w:val="24"/>
          <w:u w:val="single"/>
        </w:rPr>
        <w:t>Program / Sub-Program Cost Effectiveness (PAC)</w:t>
      </w:r>
      <w:bookmarkEnd w:id="13"/>
    </w:p>
    <w:p w14:paraId="6408679C" w14:textId="77777777" w:rsidR="00F317BE" w:rsidRPr="00BF3F69" w:rsidRDefault="00F317BE" w:rsidP="004941A5">
      <w:pPr>
        <w:rPr>
          <w:sz w:val="2"/>
          <w:szCs w:val="2"/>
        </w:rPr>
      </w:pPr>
    </w:p>
    <w:tbl>
      <w:tblPr>
        <w:tblStyle w:val="GridTable4-Accent3"/>
        <w:tblW w:w="0" w:type="auto"/>
        <w:jc w:val="center"/>
        <w:tblLook w:val="0420" w:firstRow="1" w:lastRow="0" w:firstColumn="0" w:lastColumn="0" w:noHBand="0" w:noVBand="1"/>
      </w:tblPr>
      <w:tblGrid>
        <w:gridCol w:w="1215"/>
        <w:gridCol w:w="1216"/>
        <w:gridCol w:w="1216"/>
        <w:gridCol w:w="1216"/>
      </w:tblGrid>
      <w:tr w:rsidR="00226B66" w:rsidRPr="00805554" w14:paraId="52C61540" w14:textId="77777777">
        <w:trPr>
          <w:cnfStyle w:val="100000000000" w:firstRow="1" w:lastRow="0" w:firstColumn="0" w:lastColumn="0" w:oddVBand="0" w:evenVBand="0" w:oddHBand="0" w:evenHBand="0" w:firstRowFirstColumn="0" w:firstRowLastColumn="0" w:lastRowFirstColumn="0" w:lastRowLastColumn="0"/>
          <w:jc w:val="center"/>
        </w:trPr>
        <w:tc>
          <w:tcPr>
            <w:tcW w:w="1215" w:type="dxa"/>
          </w:tcPr>
          <w:p w14:paraId="4086A67E" w14:textId="77777777" w:rsidR="00226B66" w:rsidRPr="007520DA" w:rsidRDefault="00226B66">
            <w:pPr>
              <w:pStyle w:val="ListParagraph"/>
              <w:ind w:left="0"/>
              <w:jc w:val="center"/>
              <w:rPr>
                <w:rFonts w:eastAsia="Garamond" w:cs="Garamond"/>
                <w:b w:val="0"/>
                <w:bCs w:val="0"/>
                <w:color w:val="000000" w:themeColor="text1"/>
                <w:sz w:val="23"/>
                <w:szCs w:val="23"/>
              </w:rPr>
            </w:pPr>
            <w:r w:rsidRPr="007520DA">
              <w:rPr>
                <w:rFonts w:eastAsia="Garamond" w:cs="Garamond"/>
                <w:color w:val="000000" w:themeColor="text1"/>
                <w:sz w:val="23"/>
                <w:szCs w:val="23"/>
              </w:rPr>
              <w:t>2023</w:t>
            </w:r>
          </w:p>
        </w:tc>
        <w:tc>
          <w:tcPr>
            <w:tcW w:w="1216" w:type="dxa"/>
          </w:tcPr>
          <w:p w14:paraId="08ADFE60" w14:textId="77777777" w:rsidR="00226B66" w:rsidRPr="007520DA" w:rsidRDefault="00226B66">
            <w:pPr>
              <w:pStyle w:val="ListParagraph"/>
              <w:ind w:left="0"/>
              <w:jc w:val="center"/>
              <w:rPr>
                <w:rFonts w:eastAsia="Garamond" w:cs="Garamond"/>
                <w:color w:val="000000" w:themeColor="text1"/>
                <w:sz w:val="23"/>
                <w:szCs w:val="23"/>
              </w:rPr>
            </w:pPr>
            <w:r w:rsidRPr="007520DA">
              <w:rPr>
                <w:rFonts w:eastAsia="Garamond" w:cs="Garamond"/>
                <w:color w:val="000000" w:themeColor="text1"/>
                <w:sz w:val="23"/>
                <w:szCs w:val="23"/>
              </w:rPr>
              <w:t>2024</w:t>
            </w:r>
          </w:p>
        </w:tc>
        <w:tc>
          <w:tcPr>
            <w:tcW w:w="1216" w:type="dxa"/>
          </w:tcPr>
          <w:p w14:paraId="1604711C" w14:textId="77777777" w:rsidR="00226B66" w:rsidRPr="007520DA" w:rsidRDefault="00226B66">
            <w:pPr>
              <w:pStyle w:val="ListParagraph"/>
              <w:ind w:left="0"/>
              <w:jc w:val="center"/>
              <w:rPr>
                <w:rFonts w:eastAsia="Garamond" w:cs="Garamond"/>
                <w:color w:val="000000" w:themeColor="text1"/>
                <w:sz w:val="23"/>
                <w:szCs w:val="23"/>
              </w:rPr>
            </w:pPr>
            <w:r w:rsidRPr="007520DA">
              <w:rPr>
                <w:rFonts w:eastAsia="Garamond" w:cs="Garamond"/>
                <w:color w:val="000000" w:themeColor="text1"/>
                <w:sz w:val="23"/>
                <w:szCs w:val="23"/>
              </w:rPr>
              <w:t>2025</w:t>
            </w:r>
          </w:p>
        </w:tc>
        <w:tc>
          <w:tcPr>
            <w:tcW w:w="1216" w:type="dxa"/>
          </w:tcPr>
          <w:p w14:paraId="4373F68B" w14:textId="77777777" w:rsidR="00226B66" w:rsidRPr="007520DA" w:rsidRDefault="00226B66">
            <w:pPr>
              <w:pStyle w:val="ListParagraph"/>
              <w:ind w:left="0"/>
              <w:jc w:val="center"/>
              <w:rPr>
                <w:rFonts w:eastAsia="Garamond" w:cs="Garamond"/>
                <w:color w:val="000000" w:themeColor="text1"/>
                <w:sz w:val="23"/>
                <w:szCs w:val="23"/>
              </w:rPr>
            </w:pPr>
            <w:r w:rsidRPr="007520DA">
              <w:rPr>
                <w:rFonts w:eastAsia="Garamond" w:cs="Garamond"/>
                <w:color w:val="000000" w:themeColor="text1"/>
                <w:sz w:val="23"/>
                <w:szCs w:val="23"/>
              </w:rPr>
              <w:t>2026</w:t>
            </w:r>
          </w:p>
        </w:tc>
      </w:tr>
      <w:tr w:rsidR="00226B66" w14:paraId="4FC1A27D" w14:textId="77777777">
        <w:trPr>
          <w:cnfStyle w:val="000000100000" w:firstRow="0" w:lastRow="0" w:firstColumn="0" w:lastColumn="0" w:oddVBand="0" w:evenVBand="0" w:oddHBand="1" w:evenHBand="0" w:firstRowFirstColumn="0" w:firstRowLastColumn="0" w:lastRowFirstColumn="0" w:lastRowLastColumn="0"/>
          <w:jc w:val="center"/>
        </w:trPr>
        <w:tc>
          <w:tcPr>
            <w:tcW w:w="1215" w:type="dxa"/>
          </w:tcPr>
          <w:p w14:paraId="142A2187" w14:textId="77777777" w:rsidR="00226B66" w:rsidRPr="00D1097A" w:rsidRDefault="00226B66">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c>
          <w:tcPr>
            <w:tcW w:w="1216" w:type="dxa"/>
          </w:tcPr>
          <w:p w14:paraId="2F54F363" w14:textId="77777777" w:rsidR="00226B66" w:rsidRPr="00D1097A" w:rsidRDefault="00226B66">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c>
          <w:tcPr>
            <w:tcW w:w="1216" w:type="dxa"/>
          </w:tcPr>
          <w:p w14:paraId="6909F168" w14:textId="77777777" w:rsidR="00226B66" w:rsidRPr="00D1097A" w:rsidRDefault="00226B66">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c>
          <w:tcPr>
            <w:tcW w:w="1216" w:type="dxa"/>
          </w:tcPr>
          <w:p w14:paraId="3D7F17D2" w14:textId="77777777" w:rsidR="00226B66" w:rsidRPr="00D1097A" w:rsidRDefault="00226B66">
            <w:pPr>
              <w:pStyle w:val="ListParagraph"/>
              <w:spacing w:before="60" w:after="60"/>
              <w:ind w:left="0"/>
              <w:contextualSpacing w:val="0"/>
              <w:jc w:val="center"/>
              <w:rPr>
                <w:rFonts w:eastAsia="Garamond" w:cs="Garamond"/>
                <w:color w:val="000000" w:themeColor="text1"/>
                <w:sz w:val="23"/>
                <w:szCs w:val="23"/>
              </w:rPr>
            </w:pPr>
            <w:r>
              <w:rPr>
                <w:rFonts w:eastAsia="Garamond" w:cs="Garamond"/>
                <w:color w:val="000000" w:themeColor="text1"/>
                <w:sz w:val="23"/>
                <w:szCs w:val="23"/>
              </w:rPr>
              <w:t>-</w:t>
            </w:r>
          </w:p>
        </w:tc>
      </w:tr>
    </w:tbl>
    <w:p w14:paraId="547AD45E" w14:textId="77777777" w:rsidR="00876331" w:rsidRDefault="00876331" w:rsidP="000D5F2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4" w:name="_Toc129168560"/>
      <w:r w:rsidRPr="000D5F22">
        <w:rPr>
          <w:rFonts w:ascii="Arial" w:eastAsiaTheme="minorEastAsia" w:hAnsi="Arial"/>
          <w:bCs/>
          <w:iCs/>
          <w:color w:val="32476E"/>
          <w:spacing w:val="10"/>
          <w:sz w:val="24"/>
          <w:u w:val="single"/>
        </w:rPr>
        <w:t>Type of Program / Sub-Program Implementer (PA-delivered, third party-delivered or Partnership):</w:t>
      </w:r>
      <w:bookmarkEnd w:id="14"/>
    </w:p>
    <w:p w14:paraId="2CDE06E3" w14:textId="22B29C41" w:rsidR="00226B66" w:rsidRPr="00877B08" w:rsidRDefault="00877B08" w:rsidP="00226B66">
      <w:pPr>
        <w:rPr>
          <w:rFonts w:ascii="Arial" w:hAnsi="Arial" w:cs="Arial"/>
        </w:rPr>
      </w:pPr>
      <w:r w:rsidRPr="00877B08">
        <w:rPr>
          <w:rFonts w:ascii="Arial" w:hAnsi="Arial" w:cs="Arial"/>
        </w:rPr>
        <w:t>Third-Party Delivered</w:t>
      </w:r>
    </w:p>
    <w:p w14:paraId="750211BA" w14:textId="79EFB5B1" w:rsidR="00F30D8B" w:rsidRDefault="0044449E" w:rsidP="000D5F2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5" w:name="_Toc129168561"/>
      <w:r w:rsidRPr="000D5F22">
        <w:rPr>
          <w:rFonts w:ascii="Arial" w:eastAsiaTheme="minorEastAsia" w:hAnsi="Arial"/>
          <w:bCs/>
          <w:iCs/>
          <w:color w:val="32476E"/>
          <w:spacing w:val="10"/>
          <w:sz w:val="24"/>
          <w:u w:val="single"/>
        </w:rPr>
        <w:t>Market Sector</w:t>
      </w:r>
      <w:bookmarkEnd w:id="15"/>
    </w:p>
    <w:p w14:paraId="3D934601" w14:textId="1130A550" w:rsidR="00877B08" w:rsidRPr="00877B08" w:rsidRDefault="00884D63" w:rsidP="00877B08">
      <w:pPr>
        <w:rPr>
          <w:rFonts w:ascii="Arial" w:hAnsi="Arial" w:cs="Arial"/>
        </w:rPr>
      </w:pPr>
      <w:r>
        <w:rPr>
          <w:rFonts w:ascii="Arial" w:hAnsi="Arial" w:cs="Arial"/>
        </w:rPr>
        <w:t>Residential</w:t>
      </w:r>
      <w:r w:rsidR="00033BD6">
        <w:rPr>
          <w:rFonts w:ascii="Arial" w:hAnsi="Arial" w:cs="Arial"/>
        </w:rPr>
        <w:t xml:space="preserve"> Single</w:t>
      </w:r>
      <w:r w:rsidR="00B94BC4">
        <w:rPr>
          <w:rFonts w:ascii="Arial" w:hAnsi="Arial" w:cs="Arial"/>
        </w:rPr>
        <w:t xml:space="preserve"> </w:t>
      </w:r>
      <w:r w:rsidR="00580EC0">
        <w:rPr>
          <w:rFonts w:ascii="Arial" w:hAnsi="Arial" w:cs="Arial"/>
        </w:rPr>
        <w:t>Family and Multi</w:t>
      </w:r>
      <w:r w:rsidR="005B6133">
        <w:rPr>
          <w:rFonts w:ascii="Arial" w:hAnsi="Arial" w:cs="Arial"/>
        </w:rPr>
        <w:t>family</w:t>
      </w:r>
    </w:p>
    <w:p w14:paraId="1510EA3D" w14:textId="55E924DD" w:rsidR="00F30D8B" w:rsidRDefault="00F30D8B" w:rsidP="000D5F2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6" w:name="_Toc129168562"/>
      <w:r w:rsidRPr="000D5F22">
        <w:rPr>
          <w:rFonts w:ascii="Arial" w:eastAsiaTheme="minorEastAsia" w:hAnsi="Arial"/>
          <w:bCs/>
          <w:iCs/>
          <w:color w:val="32476E"/>
          <w:spacing w:val="10"/>
          <w:sz w:val="24"/>
          <w:u w:val="single"/>
        </w:rPr>
        <w:t>Program/Sub</w:t>
      </w:r>
      <w:r w:rsidR="0040188C" w:rsidRPr="000D5F22">
        <w:rPr>
          <w:rFonts w:ascii="Arial" w:eastAsiaTheme="minorEastAsia" w:hAnsi="Arial"/>
          <w:bCs/>
          <w:iCs/>
          <w:color w:val="32476E"/>
          <w:spacing w:val="10"/>
          <w:sz w:val="24"/>
          <w:u w:val="single"/>
        </w:rPr>
        <w:t>-Program Type</w:t>
      </w:r>
      <w:bookmarkEnd w:id="16"/>
    </w:p>
    <w:p w14:paraId="0F4E5D11" w14:textId="36CBD6E8" w:rsidR="00884D63" w:rsidRPr="00884D63" w:rsidRDefault="00884D63" w:rsidP="00884D63">
      <w:pPr>
        <w:rPr>
          <w:rFonts w:ascii="Arial" w:hAnsi="Arial" w:cs="Arial"/>
        </w:rPr>
      </w:pPr>
      <w:r w:rsidRPr="00884D63">
        <w:rPr>
          <w:rFonts w:ascii="Arial" w:hAnsi="Arial" w:cs="Arial"/>
        </w:rPr>
        <w:t>Market Support</w:t>
      </w:r>
    </w:p>
    <w:p w14:paraId="3F60C056" w14:textId="014562F8" w:rsidR="0040188C" w:rsidRDefault="00981C17" w:rsidP="000D5F22">
      <w:pPr>
        <w:pStyle w:val="ListParagraph"/>
        <w:numPr>
          <w:ilvl w:val="0"/>
          <w:numId w:val="1"/>
        </w:numPr>
        <w:spacing w:before="120" w:after="120" w:line="240" w:lineRule="auto"/>
        <w:outlineLvl w:val="1"/>
        <w:rPr>
          <w:rFonts w:ascii="Arial" w:eastAsiaTheme="minorEastAsia" w:hAnsi="Arial"/>
          <w:bCs/>
          <w:iCs/>
          <w:color w:val="32476E"/>
          <w:spacing w:val="10"/>
          <w:sz w:val="24"/>
          <w:u w:val="single"/>
        </w:rPr>
      </w:pPr>
      <w:bookmarkStart w:id="17" w:name="_Toc129168563"/>
      <w:r w:rsidRPr="000D5F22">
        <w:rPr>
          <w:rFonts w:ascii="Arial" w:eastAsiaTheme="minorEastAsia" w:hAnsi="Arial"/>
          <w:bCs/>
          <w:iCs/>
          <w:color w:val="32476E"/>
          <w:spacing w:val="10"/>
          <w:sz w:val="24"/>
          <w:u w:val="single"/>
        </w:rPr>
        <w:t>Market channel(s) (i.e., downstream, midstream, and/or upstream) and Intervention Strategies (e.g., direct install, incentive, finance, audit, technical assistance, etc.), campaign goals, and timeline</w:t>
      </w:r>
      <w:bookmarkEnd w:id="17"/>
    </w:p>
    <w:p w14:paraId="58660F5A" w14:textId="78AB1814" w:rsidR="00884D63" w:rsidRDefault="00D7277F" w:rsidP="00856C8A">
      <w:pPr>
        <w:rPr>
          <w:rFonts w:ascii="Arial" w:hAnsi="Arial" w:cs="Arial"/>
        </w:rPr>
      </w:pPr>
      <w:r w:rsidRPr="001B2B79">
        <w:rPr>
          <w:rFonts w:ascii="Arial" w:hAnsi="Arial" w:cs="Arial"/>
        </w:rPr>
        <w:t>Downstream</w:t>
      </w:r>
      <w:r w:rsidR="00016D71" w:rsidRPr="001B2B79">
        <w:rPr>
          <w:rFonts w:ascii="Arial" w:hAnsi="Arial" w:cs="Arial"/>
        </w:rPr>
        <w:t>,</w:t>
      </w:r>
      <w:r w:rsidR="000C7986">
        <w:rPr>
          <w:rFonts w:ascii="Arial" w:hAnsi="Arial" w:cs="Arial"/>
        </w:rPr>
        <w:t xml:space="preserve"> Mid</w:t>
      </w:r>
      <w:r w:rsidR="0099189F">
        <w:rPr>
          <w:rFonts w:ascii="Arial" w:hAnsi="Arial" w:cs="Arial"/>
        </w:rPr>
        <w:t>s</w:t>
      </w:r>
      <w:r w:rsidR="000C7986">
        <w:rPr>
          <w:rFonts w:ascii="Arial" w:hAnsi="Arial" w:cs="Arial"/>
        </w:rPr>
        <w:t>tream,</w:t>
      </w:r>
      <w:r w:rsidR="00016D71" w:rsidRPr="001B2B79">
        <w:rPr>
          <w:rFonts w:ascii="Arial" w:hAnsi="Arial" w:cs="Arial"/>
        </w:rPr>
        <w:t xml:space="preserve"> Incentive</w:t>
      </w:r>
      <w:r w:rsidR="00572391" w:rsidRPr="001B2B79">
        <w:rPr>
          <w:rFonts w:ascii="Arial" w:hAnsi="Arial" w:cs="Arial"/>
        </w:rPr>
        <w:t>, Technical Assistance</w:t>
      </w:r>
    </w:p>
    <w:p w14:paraId="67C28EF9" w14:textId="77777777" w:rsidR="004F6ED8" w:rsidRDefault="004F6ED8" w:rsidP="00856C8A">
      <w:pPr>
        <w:rPr>
          <w:rFonts w:ascii="Arial" w:hAnsi="Arial" w:cs="Arial"/>
        </w:rPr>
      </w:pPr>
    </w:p>
    <w:p w14:paraId="009CD64E" w14:textId="77777777" w:rsidR="004F6ED8" w:rsidRDefault="004F6ED8" w:rsidP="00856C8A">
      <w:pPr>
        <w:rPr>
          <w:rFonts w:ascii="Arial" w:hAnsi="Arial" w:cs="Arial"/>
        </w:rPr>
      </w:pPr>
    </w:p>
    <w:p w14:paraId="25274EFD" w14:textId="77777777" w:rsidR="004F6ED8" w:rsidRDefault="004F6ED8" w:rsidP="00856C8A">
      <w:pPr>
        <w:rPr>
          <w:rFonts w:ascii="Arial" w:hAnsi="Arial" w:cs="Arial"/>
        </w:rPr>
      </w:pPr>
    </w:p>
    <w:p w14:paraId="316F25EE" w14:textId="77777777" w:rsidR="00A12039" w:rsidRDefault="00A12039" w:rsidP="00856C8A">
      <w:pPr>
        <w:rPr>
          <w:rFonts w:ascii="Arial" w:hAnsi="Arial" w:cs="Arial"/>
        </w:rPr>
      </w:pPr>
    </w:p>
    <w:p w14:paraId="19FA8DB3" w14:textId="77777777" w:rsidR="00A12039" w:rsidRPr="001B2B79" w:rsidRDefault="00A12039" w:rsidP="00856C8A">
      <w:pPr>
        <w:rPr>
          <w:rFonts w:ascii="Arial" w:hAnsi="Arial" w:cs="Arial"/>
        </w:rPr>
      </w:pPr>
    </w:p>
    <w:p w14:paraId="5846DB3D" w14:textId="77777777" w:rsidR="00634DE5" w:rsidRDefault="00634DE5">
      <w:pPr>
        <w:rPr>
          <w:rFonts w:ascii="Arial" w:eastAsiaTheme="minorEastAsia" w:hAnsi="Arial"/>
          <w:b/>
          <w:bCs/>
          <w:caps/>
          <w:color w:val="FFFFFF" w:themeColor="background1"/>
          <w:spacing w:val="15"/>
          <w:sz w:val="28"/>
          <w:szCs w:val="28"/>
        </w:rPr>
      </w:pPr>
      <w:bookmarkStart w:id="18" w:name="_Toc86668825"/>
      <w:bookmarkStart w:id="19" w:name="_Toc86676178"/>
      <w:bookmarkStart w:id="20" w:name="_Toc97128848"/>
      <w:bookmarkStart w:id="21" w:name="_Toc129168564"/>
      <w:r>
        <w:br w:type="page"/>
      </w:r>
    </w:p>
    <w:p w14:paraId="64AAB096" w14:textId="2D17BD61" w:rsidR="003A17E8" w:rsidRPr="003A17E8" w:rsidRDefault="00280F1C" w:rsidP="00BA2F61">
      <w:pPr>
        <w:pStyle w:val="Heading1"/>
      </w:pPr>
      <w:r w:rsidRPr="002D0092">
        <w:lastRenderedPageBreak/>
        <w:t>Implementation Plan Narrative</w:t>
      </w:r>
      <w:bookmarkEnd w:id="18"/>
      <w:bookmarkEnd w:id="19"/>
      <w:bookmarkEnd w:id="20"/>
      <w:bookmarkEnd w:id="21"/>
    </w:p>
    <w:p w14:paraId="72146645" w14:textId="77777777" w:rsidR="00614671" w:rsidRDefault="00327AD3" w:rsidP="00614671">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22" w:name="_Toc129168565"/>
      <w:r w:rsidRPr="0005195F">
        <w:rPr>
          <w:rFonts w:ascii="Arial" w:eastAsiaTheme="minorEastAsia" w:hAnsi="Arial"/>
          <w:bCs/>
          <w:iCs/>
          <w:color w:val="32476E"/>
          <w:spacing w:val="10"/>
          <w:sz w:val="24"/>
          <w:u w:val="single"/>
        </w:rPr>
        <w:t>Program Description</w:t>
      </w:r>
      <w:bookmarkEnd w:id="22"/>
    </w:p>
    <w:p w14:paraId="1450B4B5" w14:textId="00CBAC11" w:rsidR="007E3EC0" w:rsidRDefault="00A01D7F" w:rsidP="007E3EC0">
      <w:pPr>
        <w:rPr>
          <w:rFonts w:ascii="Arial" w:hAnsi="Arial" w:cs="Arial"/>
        </w:rPr>
      </w:pPr>
      <w:r w:rsidRPr="00943203">
        <w:rPr>
          <w:rFonts w:ascii="Arial" w:hAnsi="Arial" w:cs="Arial"/>
        </w:rPr>
        <w:t>The</w:t>
      </w:r>
      <w:r w:rsidR="007606A7">
        <w:rPr>
          <w:rFonts w:ascii="Arial" w:hAnsi="Arial" w:cs="Arial"/>
        </w:rPr>
        <w:t xml:space="preserve"> Statewide</w:t>
      </w:r>
      <w:r w:rsidRPr="00943203">
        <w:rPr>
          <w:rFonts w:ascii="Arial" w:hAnsi="Arial" w:cs="Arial"/>
        </w:rPr>
        <w:t xml:space="preserve"> Residential HVAC Quality</w:t>
      </w:r>
      <w:r>
        <w:rPr>
          <w:rFonts w:ascii="Arial" w:hAnsi="Arial" w:cs="Arial"/>
        </w:rPr>
        <w:t xml:space="preserve"> Installation and Quality Maintenance </w:t>
      </w:r>
      <w:r w:rsidRPr="00943203">
        <w:rPr>
          <w:rFonts w:ascii="Arial" w:hAnsi="Arial" w:cs="Arial"/>
        </w:rPr>
        <w:t xml:space="preserve">Program </w:t>
      </w:r>
      <w:r w:rsidR="00B028A9" w:rsidRPr="00B028A9">
        <w:rPr>
          <w:rFonts w:ascii="Arial" w:hAnsi="Arial" w:cs="Arial"/>
        </w:rPr>
        <w:t>provides multi-tiered incentives for Quality Maintenance Plans, Quality Maintenance Calls, Quality Bids, and Quality Installations</w:t>
      </w:r>
      <w:r w:rsidR="009B63C8">
        <w:rPr>
          <w:rFonts w:ascii="Arial" w:hAnsi="Arial" w:cs="Arial"/>
        </w:rPr>
        <w:t xml:space="preserve">. </w:t>
      </w:r>
      <w:r w:rsidR="000C26AA">
        <w:rPr>
          <w:rFonts w:ascii="Arial" w:hAnsi="Arial" w:cs="Arial"/>
        </w:rPr>
        <w:t xml:space="preserve">These multi-tiered incentives will be provided with the objective of </w:t>
      </w:r>
      <w:r w:rsidR="00D05BD0">
        <w:rPr>
          <w:rFonts w:ascii="Arial" w:hAnsi="Arial" w:cs="Arial"/>
        </w:rPr>
        <w:t xml:space="preserve">both educating end-use customers </w:t>
      </w:r>
      <w:r w:rsidR="00B74F93" w:rsidRPr="00B74F93">
        <w:rPr>
          <w:rFonts w:ascii="Arial" w:hAnsi="Arial" w:cs="Arial"/>
        </w:rPr>
        <w:t>on the value of quality HVAC services</w:t>
      </w:r>
      <w:r w:rsidR="00B74F93">
        <w:rPr>
          <w:rFonts w:ascii="Arial" w:hAnsi="Arial" w:cs="Arial"/>
        </w:rPr>
        <w:t xml:space="preserve"> and </w:t>
      </w:r>
      <w:r w:rsidR="00FC7874" w:rsidRPr="00B74F93">
        <w:rPr>
          <w:rFonts w:ascii="Arial" w:hAnsi="Arial" w:cs="Arial"/>
        </w:rPr>
        <w:t>delivering</w:t>
      </w:r>
      <w:r w:rsidR="00B74F93" w:rsidRPr="00B74F93">
        <w:rPr>
          <w:rFonts w:ascii="Arial" w:hAnsi="Arial" w:cs="Arial"/>
        </w:rPr>
        <w:t xml:space="preserve"> improved training for HVAC industry contractors and technicians on providing and selling HVAC services</w:t>
      </w:r>
      <w:bookmarkStart w:id="23" w:name="_Toc129168566"/>
      <w:r w:rsidR="005B6CC8">
        <w:rPr>
          <w:rFonts w:ascii="Arial" w:hAnsi="Arial" w:cs="Arial"/>
        </w:rPr>
        <w:t xml:space="preserve"> across all four IOU territories. </w:t>
      </w:r>
    </w:p>
    <w:p w14:paraId="2C183722" w14:textId="63469AA4" w:rsidR="008D27F5" w:rsidRDefault="008D27F5" w:rsidP="007E3EC0">
      <w:pPr>
        <w:pStyle w:val="ListParagraph"/>
        <w:numPr>
          <w:ilvl w:val="0"/>
          <w:numId w:val="4"/>
        </w:numPr>
        <w:rPr>
          <w:rFonts w:ascii="Arial" w:eastAsiaTheme="minorEastAsia" w:hAnsi="Arial"/>
          <w:bCs/>
          <w:iCs/>
          <w:color w:val="32476E"/>
          <w:spacing w:val="10"/>
          <w:sz w:val="24"/>
          <w:u w:val="single"/>
        </w:rPr>
      </w:pPr>
      <w:r w:rsidRPr="007E3EC0">
        <w:rPr>
          <w:rFonts w:ascii="Arial" w:eastAsiaTheme="minorEastAsia" w:hAnsi="Arial"/>
          <w:bCs/>
          <w:iCs/>
          <w:color w:val="32476E"/>
          <w:spacing w:val="10"/>
          <w:sz w:val="24"/>
          <w:u w:val="single"/>
        </w:rPr>
        <w:t>Program Delivery and Customer Services</w:t>
      </w:r>
      <w:bookmarkEnd w:id="23"/>
    </w:p>
    <w:p w14:paraId="05745287" w14:textId="27EA5583" w:rsidR="00CC10E9" w:rsidRDefault="5AE0BDE5" w:rsidP="00CC10E9">
      <w:pPr>
        <w:rPr>
          <w:rFonts w:ascii="Arial" w:hAnsi="Arial" w:cs="Arial"/>
        </w:rPr>
      </w:pPr>
      <w:r w:rsidRPr="69ABC980">
        <w:rPr>
          <w:rFonts w:ascii="Arial" w:hAnsi="Arial" w:cs="Arial"/>
        </w:rPr>
        <w:t>The</w:t>
      </w:r>
      <w:r w:rsidR="5F315EBB" w:rsidRPr="69ABC980">
        <w:rPr>
          <w:rFonts w:ascii="Arial" w:hAnsi="Arial" w:cs="Arial"/>
        </w:rPr>
        <w:t xml:space="preserve"> Statewide</w:t>
      </w:r>
      <w:r w:rsidRPr="69ABC980">
        <w:rPr>
          <w:rFonts w:ascii="Arial" w:hAnsi="Arial" w:cs="Arial"/>
        </w:rPr>
        <w:t xml:space="preserve"> Residential HVAC Quality Installation and Quality Maintenance Program</w:t>
      </w:r>
      <w:r w:rsidR="54247812" w:rsidRPr="69ABC980">
        <w:rPr>
          <w:rFonts w:ascii="Arial" w:hAnsi="Arial" w:cs="Arial"/>
        </w:rPr>
        <w:t xml:space="preserve"> will educate and offer improved trainings for HVAC licensed contractors and technicians to help transform the residential market for Quality HVAC services by incentivizing Quality Maintenance Plans, Quality Maintenance Calls, Quality Bids, and Quality Installations at basic “Quality Service” tier or the “Enhanced Quality Service” tiers, and provide extra incentives, training, and tools to “Quality Contractors”, who routinely provide higher quality services. The program will have an Industry Advisory Panel to help determine standards for services, verification requirements, </w:t>
      </w:r>
      <w:proofErr w:type="gramStart"/>
      <w:r w:rsidR="54247812" w:rsidRPr="69ABC980">
        <w:rPr>
          <w:rFonts w:ascii="Arial" w:hAnsi="Arial" w:cs="Arial"/>
        </w:rPr>
        <w:t>outreach</w:t>
      </w:r>
      <w:proofErr w:type="gramEnd"/>
      <w:r w:rsidR="54247812" w:rsidRPr="69ABC980">
        <w:rPr>
          <w:rFonts w:ascii="Arial" w:hAnsi="Arial" w:cs="Arial"/>
        </w:rPr>
        <w:t xml:space="preserve"> and training, particularly for HVAC installation contractors and technicians who serve Disadvantaged Communities and hard-to-reach customers. The program will also comply with the CPUC HVAC workforce standards and promote its disadvantaged worker policies.</w:t>
      </w:r>
    </w:p>
    <w:p w14:paraId="1F361588" w14:textId="32E732CC" w:rsidR="0046077E" w:rsidRPr="00E41CE8" w:rsidRDefault="00E41CE8" w:rsidP="00CC10E9">
      <w:pPr>
        <w:rPr>
          <w:rFonts w:ascii="Arial" w:hAnsi="Arial" w:cs="Arial"/>
        </w:rPr>
      </w:pPr>
      <w:r w:rsidRPr="00E41CE8">
        <w:rPr>
          <w:rFonts w:ascii="Arial" w:hAnsi="Arial" w:cs="Arial"/>
        </w:rPr>
        <w:t xml:space="preserve">The Implementer will coordinate with statewide program offerings as part of their engagement with Program stakeholders to address overlap with projects that could be eligible for other statewide programs, including but not limited to Residential HVAC, Plug Load and Appliance, Residential New Construction, and Technology and Equipment for Clean Heating (TECH) programs. </w:t>
      </w:r>
    </w:p>
    <w:p w14:paraId="461A9A73" w14:textId="77777777" w:rsidR="007F57CD" w:rsidRDefault="007F57CD"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24" w:name="_Toc129168567"/>
      <w:r w:rsidRPr="0005195F">
        <w:rPr>
          <w:rFonts w:ascii="Arial" w:eastAsiaTheme="minorEastAsia" w:hAnsi="Arial"/>
          <w:bCs/>
          <w:iCs/>
          <w:color w:val="32476E"/>
          <w:spacing w:val="10"/>
          <w:sz w:val="24"/>
          <w:u w:val="single"/>
        </w:rPr>
        <w:t>Program Design and Best Practices</w:t>
      </w:r>
      <w:bookmarkEnd w:id="24"/>
    </w:p>
    <w:p w14:paraId="73740986" w14:textId="4BBB1A49" w:rsidR="008974DC" w:rsidRDefault="00160FCA" w:rsidP="00291F67">
      <w:pPr>
        <w:spacing w:line="240" w:lineRule="auto"/>
        <w:rPr>
          <w:rFonts w:ascii="Arial" w:hAnsi="Arial" w:cs="Arial"/>
        </w:rPr>
      </w:pPr>
      <w:r w:rsidRPr="00943203">
        <w:rPr>
          <w:rFonts w:ascii="Arial" w:hAnsi="Arial" w:cs="Arial"/>
        </w:rPr>
        <w:t>The</w:t>
      </w:r>
      <w:r w:rsidR="000B2602">
        <w:rPr>
          <w:rFonts w:ascii="Arial" w:hAnsi="Arial" w:cs="Arial"/>
        </w:rPr>
        <w:t xml:space="preserve"> Statewide</w:t>
      </w:r>
      <w:r w:rsidRPr="00943203">
        <w:rPr>
          <w:rFonts w:ascii="Arial" w:hAnsi="Arial" w:cs="Arial"/>
        </w:rPr>
        <w:t xml:space="preserve"> Residential HVAC Quality</w:t>
      </w:r>
      <w:r>
        <w:rPr>
          <w:rFonts w:ascii="Arial" w:hAnsi="Arial" w:cs="Arial"/>
        </w:rPr>
        <w:t xml:space="preserve"> Installation and Quality Maintenance </w:t>
      </w:r>
      <w:r w:rsidRPr="00943203">
        <w:rPr>
          <w:rFonts w:ascii="Arial" w:hAnsi="Arial" w:cs="Arial"/>
        </w:rPr>
        <w:t>Program</w:t>
      </w:r>
      <w:r>
        <w:rPr>
          <w:rFonts w:ascii="Arial" w:hAnsi="Arial" w:cs="Arial"/>
        </w:rPr>
        <w:t xml:space="preserve"> design was </w:t>
      </w:r>
      <w:r w:rsidR="00AD7DF3">
        <w:rPr>
          <w:rFonts w:ascii="Arial" w:hAnsi="Arial" w:cs="Arial"/>
        </w:rPr>
        <w:t xml:space="preserve">determined based on the need for </w:t>
      </w:r>
      <w:r w:rsidR="00E33521">
        <w:rPr>
          <w:rFonts w:ascii="Arial" w:hAnsi="Arial" w:cs="Arial"/>
        </w:rPr>
        <w:t xml:space="preserve">increased awareness and </w:t>
      </w:r>
      <w:r w:rsidR="003B6949">
        <w:rPr>
          <w:rFonts w:ascii="Arial" w:hAnsi="Arial" w:cs="Arial"/>
        </w:rPr>
        <w:t xml:space="preserve">market support for quality HVAC </w:t>
      </w:r>
      <w:r w:rsidR="00493624">
        <w:rPr>
          <w:rFonts w:ascii="Arial" w:hAnsi="Arial" w:cs="Arial"/>
        </w:rPr>
        <w:t xml:space="preserve">installation and quality maintenance </w:t>
      </w:r>
      <w:r w:rsidR="00D91970">
        <w:rPr>
          <w:rFonts w:ascii="Arial" w:hAnsi="Arial" w:cs="Arial"/>
        </w:rPr>
        <w:t>across the state</w:t>
      </w:r>
      <w:r w:rsidR="00C173A9">
        <w:rPr>
          <w:rFonts w:ascii="Arial" w:hAnsi="Arial" w:cs="Arial"/>
        </w:rPr>
        <w:t xml:space="preserve">, as well as increasing cost-effectiveness of </w:t>
      </w:r>
      <w:r w:rsidR="00BE3A04">
        <w:rPr>
          <w:rFonts w:ascii="Arial" w:hAnsi="Arial" w:cs="Arial"/>
        </w:rPr>
        <w:t xml:space="preserve">energy efficient HVAC technologies. </w:t>
      </w:r>
      <w:r w:rsidR="00662DED">
        <w:rPr>
          <w:rFonts w:ascii="Arial" w:hAnsi="Arial" w:cs="Arial"/>
        </w:rPr>
        <w:t xml:space="preserve">The Program will </w:t>
      </w:r>
      <w:r w:rsidR="00752806">
        <w:rPr>
          <w:rFonts w:ascii="Arial" w:hAnsi="Arial" w:cs="Arial"/>
        </w:rPr>
        <w:t xml:space="preserve">implement a tiered incentive </w:t>
      </w:r>
      <w:r w:rsidR="005716D8">
        <w:rPr>
          <w:rFonts w:ascii="Arial" w:hAnsi="Arial" w:cs="Arial"/>
        </w:rPr>
        <w:t xml:space="preserve">structure </w:t>
      </w:r>
      <w:r w:rsidR="00C14FA4">
        <w:rPr>
          <w:rFonts w:ascii="Arial" w:hAnsi="Arial" w:cs="Arial"/>
        </w:rPr>
        <w:t xml:space="preserve">based on standards developed by </w:t>
      </w:r>
      <w:r w:rsidR="00B31F4D">
        <w:rPr>
          <w:rFonts w:ascii="Arial" w:hAnsi="Arial" w:cs="Arial"/>
        </w:rPr>
        <w:t xml:space="preserve">an </w:t>
      </w:r>
      <w:r w:rsidR="00FA4957">
        <w:rPr>
          <w:rFonts w:ascii="Arial" w:hAnsi="Arial" w:cs="Arial"/>
        </w:rPr>
        <w:t>Industry Advisory Panel for</w:t>
      </w:r>
      <w:r w:rsidR="00631747">
        <w:rPr>
          <w:rFonts w:ascii="Arial" w:hAnsi="Arial" w:cs="Arial"/>
        </w:rPr>
        <w:t xml:space="preserve"> </w:t>
      </w:r>
      <w:r w:rsidR="00BB5C7E">
        <w:rPr>
          <w:rFonts w:ascii="Arial" w:hAnsi="Arial" w:cs="Arial"/>
        </w:rPr>
        <w:t>q</w:t>
      </w:r>
      <w:r w:rsidR="00631747">
        <w:rPr>
          <w:rFonts w:ascii="Arial" w:hAnsi="Arial" w:cs="Arial"/>
        </w:rPr>
        <w:t>uality</w:t>
      </w:r>
      <w:r w:rsidR="00163451">
        <w:rPr>
          <w:rFonts w:ascii="Arial" w:hAnsi="Arial" w:cs="Arial"/>
        </w:rPr>
        <w:t xml:space="preserve"> </w:t>
      </w:r>
      <w:r w:rsidR="00BB5C7E">
        <w:rPr>
          <w:rFonts w:ascii="Arial" w:hAnsi="Arial" w:cs="Arial"/>
        </w:rPr>
        <w:t>b</w:t>
      </w:r>
      <w:r w:rsidR="00163451">
        <w:rPr>
          <w:rFonts w:ascii="Arial" w:hAnsi="Arial" w:cs="Arial"/>
        </w:rPr>
        <w:t>ids,</w:t>
      </w:r>
      <w:r w:rsidR="00631747">
        <w:rPr>
          <w:rFonts w:ascii="Arial" w:hAnsi="Arial" w:cs="Arial"/>
        </w:rPr>
        <w:t xml:space="preserve"> </w:t>
      </w:r>
      <w:r w:rsidR="00BB5C7E">
        <w:rPr>
          <w:rFonts w:ascii="Arial" w:hAnsi="Arial" w:cs="Arial"/>
        </w:rPr>
        <w:t>i</w:t>
      </w:r>
      <w:r w:rsidR="00163451">
        <w:rPr>
          <w:rFonts w:ascii="Arial" w:hAnsi="Arial" w:cs="Arial"/>
        </w:rPr>
        <w:t xml:space="preserve">nstallations, </w:t>
      </w:r>
      <w:r w:rsidR="00BB5C7E">
        <w:rPr>
          <w:rFonts w:ascii="Arial" w:hAnsi="Arial" w:cs="Arial"/>
        </w:rPr>
        <w:t>m</w:t>
      </w:r>
      <w:r w:rsidR="00163451">
        <w:rPr>
          <w:rFonts w:ascii="Arial" w:hAnsi="Arial" w:cs="Arial"/>
        </w:rPr>
        <w:t xml:space="preserve">aintenance </w:t>
      </w:r>
      <w:r w:rsidR="00BB5C7E">
        <w:rPr>
          <w:rFonts w:ascii="Arial" w:hAnsi="Arial" w:cs="Arial"/>
        </w:rPr>
        <w:t>p</w:t>
      </w:r>
      <w:r w:rsidR="00163451">
        <w:rPr>
          <w:rFonts w:ascii="Arial" w:hAnsi="Arial" w:cs="Arial"/>
        </w:rPr>
        <w:t xml:space="preserve">lans, </w:t>
      </w:r>
      <w:r w:rsidR="00BB5C7E">
        <w:rPr>
          <w:rFonts w:ascii="Arial" w:hAnsi="Arial" w:cs="Arial"/>
        </w:rPr>
        <w:t>and m</w:t>
      </w:r>
      <w:r w:rsidR="00163451">
        <w:rPr>
          <w:rFonts w:ascii="Arial" w:hAnsi="Arial" w:cs="Arial"/>
        </w:rPr>
        <w:t xml:space="preserve">aintenance </w:t>
      </w:r>
      <w:r w:rsidR="00BB5C7E">
        <w:rPr>
          <w:rFonts w:ascii="Arial" w:hAnsi="Arial" w:cs="Arial"/>
        </w:rPr>
        <w:t>c</w:t>
      </w:r>
      <w:r w:rsidR="00163451">
        <w:rPr>
          <w:rFonts w:ascii="Arial" w:hAnsi="Arial" w:cs="Arial"/>
        </w:rPr>
        <w:t>alls</w:t>
      </w:r>
      <w:r w:rsidR="00BB5C7E">
        <w:rPr>
          <w:rFonts w:ascii="Arial" w:hAnsi="Arial" w:cs="Arial"/>
        </w:rPr>
        <w:t xml:space="preserve"> for participating contractors. The </w:t>
      </w:r>
      <w:r w:rsidR="00BC22C6">
        <w:rPr>
          <w:rFonts w:ascii="Arial" w:hAnsi="Arial" w:cs="Arial"/>
        </w:rPr>
        <w:t xml:space="preserve">purpose of these incentives </w:t>
      </w:r>
      <w:r w:rsidR="00F136BE">
        <w:rPr>
          <w:rFonts w:ascii="Arial" w:hAnsi="Arial" w:cs="Arial"/>
        </w:rPr>
        <w:t xml:space="preserve">is to </w:t>
      </w:r>
      <w:r w:rsidR="00554F50">
        <w:rPr>
          <w:rFonts w:ascii="Arial" w:hAnsi="Arial" w:cs="Arial"/>
        </w:rPr>
        <w:t xml:space="preserve">encourage contractors to </w:t>
      </w:r>
      <w:r w:rsidR="00C85E4D">
        <w:rPr>
          <w:rFonts w:ascii="Arial" w:hAnsi="Arial" w:cs="Arial"/>
        </w:rPr>
        <w:t xml:space="preserve">strictly </w:t>
      </w:r>
      <w:r w:rsidR="00554F50">
        <w:rPr>
          <w:rFonts w:ascii="Arial" w:hAnsi="Arial" w:cs="Arial"/>
        </w:rPr>
        <w:t>adhere to industry</w:t>
      </w:r>
      <w:r w:rsidR="00C85E4D">
        <w:rPr>
          <w:rFonts w:ascii="Arial" w:hAnsi="Arial" w:cs="Arial"/>
        </w:rPr>
        <w:t xml:space="preserve"> and program</w:t>
      </w:r>
      <w:r w:rsidR="00554F50">
        <w:rPr>
          <w:rFonts w:ascii="Arial" w:hAnsi="Arial" w:cs="Arial"/>
        </w:rPr>
        <w:t xml:space="preserve"> standards for installation and maintenance </w:t>
      </w:r>
      <w:r w:rsidR="00C85E4D">
        <w:rPr>
          <w:rFonts w:ascii="Arial" w:hAnsi="Arial" w:cs="Arial"/>
        </w:rPr>
        <w:t>of energy efficient HVAC technologies</w:t>
      </w:r>
      <w:r w:rsidR="00AB16EB">
        <w:rPr>
          <w:rFonts w:ascii="Arial" w:hAnsi="Arial" w:cs="Arial"/>
        </w:rPr>
        <w:t xml:space="preserve"> and to educate </w:t>
      </w:r>
      <w:r w:rsidR="00C222D8">
        <w:rPr>
          <w:rFonts w:ascii="Arial" w:hAnsi="Arial" w:cs="Arial"/>
        </w:rPr>
        <w:t xml:space="preserve">their </w:t>
      </w:r>
      <w:r w:rsidR="00AB16EB">
        <w:rPr>
          <w:rFonts w:ascii="Arial" w:hAnsi="Arial" w:cs="Arial"/>
        </w:rPr>
        <w:t>customers</w:t>
      </w:r>
      <w:r w:rsidR="00C222D8">
        <w:rPr>
          <w:rFonts w:ascii="Arial" w:hAnsi="Arial" w:cs="Arial"/>
        </w:rPr>
        <w:t xml:space="preserve"> on the </w:t>
      </w:r>
      <w:r w:rsidR="00BC5BA5">
        <w:rPr>
          <w:rFonts w:ascii="Arial" w:hAnsi="Arial" w:cs="Arial"/>
        </w:rPr>
        <w:t>value</w:t>
      </w:r>
      <w:r w:rsidR="00A15048">
        <w:rPr>
          <w:rFonts w:ascii="Arial" w:hAnsi="Arial" w:cs="Arial"/>
        </w:rPr>
        <w:t xml:space="preserve"> of </w:t>
      </w:r>
      <w:r w:rsidR="008974DC">
        <w:rPr>
          <w:rFonts w:ascii="Arial" w:hAnsi="Arial" w:cs="Arial"/>
        </w:rPr>
        <w:t xml:space="preserve">said technologies. </w:t>
      </w:r>
    </w:p>
    <w:p w14:paraId="548DF487" w14:textId="17ABE564" w:rsidR="00123332" w:rsidRPr="00123332" w:rsidRDefault="008974DC" w:rsidP="00291F67">
      <w:pPr>
        <w:spacing w:line="240" w:lineRule="auto"/>
      </w:pPr>
      <w:r>
        <w:rPr>
          <w:rFonts w:ascii="Arial" w:hAnsi="Arial" w:cs="Arial"/>
        </w:rPr>
        <w:t>The Program will be administered statewide, however there will be a focus</w:t>
      </w:r>
      <w:r w:rsidR="007673E7">
        <w:rPr>
          <w:rFonts w:ascii="Arial" w:hAnsi="Arial" w:cs="Arial"/>
        </w:rPr>
        <w:t xml:space="preserve"> on </w:t>
      </w:r>
      <w:r w:rsidR="00E9008F">
        <w:rPr>
          <w:rFonts w:ascii="Arial" w:hAnsi="Arial" w:cs="Arial"/>
        </w:rPr>
        <w:t xml:space="preserve">recruiting and trainings </w:t>
      </w:r>
      <w:r w:rsidR="00E159E5">
        <w:rPr>
          <w:rFonts w:ascii="Arial" w:hAnsi="Arial" w:cs="Arial"/>
        </w:rPr>
        <w:t xml:space="preserve">contractors and/or technicians </w:t>
      </w:r>
      <w:r w:rsidR="002010DB">
        <w:rPr>
          <w:rFonts w:ascii="Arial" w:hAnsi="Arial" w:cs="Arial"/>
        </w:rPr>
        <w:t xml:space="preserve">who </w:t>
      </w:r>
      <w:r w:rsidR="00E9008F">
        <w:rPr>
          <w:rFonts w:ascii="Arial" w:hAnsi="Arial" w:cs="Arial"/>
        </w:rPr>
        <w:t xml:space="preserve">are considered Disadvantaged Workers (DAW) </w:t>
      </w:r>
      <w:r w:rsidR="001B13D0">
        <w:rPr>
          <w:rFonts w:ascii="Arial" w:hAnsi="Arial" w:cs="Arial"/>
        </w:rPr>
        <w:t xml:space="preserve">and </w:t>
      </w:r>
      <w:r w:rsidR="00A45C7A">
        <w:rPr>
          <w:rFonts w:ascii="Arial" w:hAnsi="Arial" w:cs="Arial"/>
        </w:rPr>
        <w:t xml:space="preserve">who </w:t>
      </w:r>
      <w:r w:rsidR="002010DB">
        <w:rPr>
          <w:rFonts w:ascii="Arial" w:hAnsi="Arial" w:cs="Arial"/>
        </w:rPr>
        <w:t xml:space="preserve">serve or operate within </w:t>
      </w:r>
      <w:r w:rsidR="001A5D05">
        <w:rPr>
          <w:rFonts w:ascii="Arial" w:hAnsi="Arial" w:cs="Arial"/>
        </w:rPr>
        <w:t xml:space="preserve">Disadvantaged </w:t>
      </w:r>
      <w:r w:rsidR="00B7306A">
        <w:rPr>
          <w:rFonts w:ascii="Arial" w:hAnsi="Arial" w:cs="Arial"/>
        </w:rPr>
        <w:t xml:space="preserve">Communities (DAC) </w:t>
      </w:r>
      <w:r w:rsidR="001A5D05">
        <w:rPr>
          <w:rFonts w:ascii="Arial" w:hAnsi="Arial" w:cs="Arial"/>
        </w:rPr>
        <w:t xml:space="preserve">or </w:t>
      </w:r>
      <w:r w:rsidR="001B13D0">
        <w:rPr>
          <w:rFonts w:ascii="Arial" w:hAnsi="Arial" w:cs="Arial"/>
        </w:rPr>
        <w:t>Hard-to-Reach (HTR)</w:t>
      </w:r>
      <w:r w:rsidR="00B7306A">
        <w:rPr>
          <w:rFonts w:ascii="Arial" w:hAnsi="Arial" w:cs="Arial"/>
        </w:rPr>
        <w:t xml:space="preserve"> markets. </w:t>
      </w:r>
      <w:r w:rsidR="001B13D0">
        <w:rPr>
          <w:rFonts w:ascii="Arial" w:hAnsi="Arial" w:cs="Arial"/>
        </w:rPr>
        <w:t>In this way, the Program strives for market transformation within DAW, DAC, and HTR communities</w:t>
      </w:r>
      <w:r w:rsidR="00113ECD">
        <w:rPr>
          <w:rFonts w:ascii="Arial" w:hAnsi="Arial" w:cs="Arial"/>
        </w:rPr>
        <w:t xml:space="preserve"> and households</w:t>
      </w:r>
      <w:r w:rsidR="00AB1142">
        <w:rPr>
          <w:rFonts w:ascii="Arial" w:hAnsi="Arial" w:cs="Arial"/>
        </w:rPr>
        <w:t xml:space="preserve"> through </w:t>
      </w:r>
      <w:r w:rsidR="00D52254">
        <w:rPr>
          <w:rFonts w:ascii="Arial" w:hAnsi="Arial" w:cs="Arial"/>
        </w:rPr>
        <w:t xml:space="preserve">increased </w:t>
      </w:r>
      <w:r w:rsidR="005564CA">
        <w:rPr>
          <w:rFonts w:ascii="Arial" w:hAnsi="Arial" w:cs="Arial"/>
        </w:rPr>
        <w:t xml:space="preserve">adoption </w:t>
      </w:r>
      <w:r w:rsidR="001C37A7">
        <w:rPr>
          <w:rFonts w:ascii="Arial" w:hAnsi="Arial" w:cs="Arial"/>
        </w:rPr>
        <w:t xml:space="preserve">of energy efficient HVAC technologies within those </w:t>
      </w:r>
      <w:r w:rsidR="008955C7">
        <w:rPr>
          <w:rFonts w:ascii="Arial" w:hAnsi="Arial" w:cs="Arial"/>
        </w:rPr>
        <w:t xml:space="preserve">demographics. </w:t>
      </w:r>
    </w:p>
    <w:p w14:paraId="3B185FBF" w14:textId="636C98C0" w:rsidR="00280F1C" w:rsidRPr="0005195F" w:rsidRDefault="00303C49"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25" w:name="_Toc129168568"/>
      <w:r w:rsidRPr="0005195F">
        <w:rPr>
          <w:rFonts w:ascii="Arial" w:eastAsiaTheme="minorEastAsia" w:hAnsi="Arial"/>
          <w:bCs/>
          <w:iCs/>
          <w:color w:val="32476E"/>
          <w:spacing w:val="10"/>
          <w:sz w:val="24"/>
          <w:u w:val="single"/>
        </w:rPr>
        <w:t>Innovation</w:t>
      </w:r>
      <w:bookmarkEnd w:id="25"/>
    </w:p>
    <w:p w14:paraId="0429FBAF" w14:textId="0E7C1AA7" w:rsidR="00340D58" w:rsidRPr="004F39F7" w:rsidRDefault="00340D58" w:rsidP="00BF1EE4">
      <w:pPr>
        <w:tabs>
          <w:tab w:val="left" w:pos="990"/>
        </w:tabs>
        <w:spacing w:before="117" w:line="240" w:lineRule="auto"/>
        <w:ind w:right="173"/>
        <w:rPr>
          <w:rFonts w:ascii="Arial" w:hAnsi="Arial" w:cs="Arial"/>
        </w:rPr>
      </w:pPr>
      <w:r w:rsidRPr="004F39F7">
        <w:rPr>
          <w:rFonts w:ascii="Arial" w:hAnsi="Arial" w:cs="Arial"/>
        </w:rPr>
        <w:lastRenderedPageBreak/>
        <w:t xml:space="preserve">The Program will help transform the installation and maintenance market by helping HVAC Contractors differentiate their higher-value services, justify premium fees, and inspire all participating HVAC Contractors to improve the quality of their HVAC services. The Program will not market to consumers </w:t>
      </w:r>
      <w:r w:rsidRPr="004F39F7" w:rsidDel="00E604F1">
        <w:rPr>
          <w:rFonts w:ascii="Arial" w:hAnsi="Arial" w:cs="Arial"/>
        </w:rPr>
        <w:t>directly</w:t>
      </w:r>
      <w:r w:rsidRPr="004F39F7">
        <w:rPr>
          <w:rFonts w:ascii="Arial" w:hAnsi="Arial" w:cs="Arial"/>
        </w:rPr>
        <w:t xml:space="preserve"> but will provide HVAC Contractors with the tools and information to market these services themselves without program intervention. </w:t>
      </w:r>
    </w:p>
    <w:p w14:paraId="59A929C3" w14:textId="77777777" w:rsidR="00340D58" w:rsidRPr="004F39F7" w:rsidRDefault="00340D58" w:rsidP="00BF1EE4">
      <w:pPr>
        <w:tabs>
          <w:tab w:val="left" w:pos="990"/>
        </w:tabs>
        <w:spacing w:before="117" w:line="240" w:lineRule="auto"/>
        <w:ind w:right="173"/>
        <w:rPr>
          <w:rFonts w:ascii="Arial" w:hAnsi="Arial" w:cs="Arial"/>
        </w:rPr>
      </w:pPr>
      <w:r w:rsidRPr="004F39F7">
        <w:rPr>
          <w:rFonts w:ascii="Arial" w:hAnsi="Arial" w:cs="Arial"/>
        </w:rPr>
        <w:t>Program Innovations to be implemented include:</w:t>
      </w:r>
    </w:p>
    <w:p w14:paraId="49B3F8BA" w14:textId="77777777" w:rsidR="00340D58" w:rsidRPr="004F39F7" w:rsidRDefault="00340D58" w:rsidP="00BF1EE4">
      <w:pPr>
        <w:pStyle w:val="ListParagraph"/>
        <w:widowControl w:val="0"/>
        <w:numPr>
          <w:ilvl w:val="0"/>
          <w:numId w:val="6"/>
        </w:numPr>
        <w:tabs>
          <w:tab w:val="left" w:pos="990"/>
        </w:tabs>
        <w:spacing w:before="117" w:after="0" w:line="240" w:lineRule="auto"/>
        <w:ind w:right="173"/>
        <w:contextualSpacing w:val="0"/>
        <w:rPr>
          <w:rFonts w:ascii="Arial" w:hAnsi="Arial" w:cs="Arial"/>
        </w:rPr>
      </w:pPr>
      <w:r w:rsidRPr="004F39F7">
        <w:rPr>
          <w:rFonts w:ascii="Arial" w:hAnsi="Arial" w:cs="Arial"/>
        </w:rPr>
        <w:t>Industry Advisory Panel is responsible for helping the Implementer determine standards for service, verification requirements, and outreach and training, particularly for HVAC contractors who serve Disadvantaged Communities and hard-to-reach customers.</w:t>
      </w:r>
    </w:p>
    <w:p w14:paraId="1859DE13" w14:textId="77777777" w:rsidR="00340D58" w:rsidRPr="004F39F7" w:rsidRDefault="00340D58" w:rsidP="00BF1EE4">
      <w:pPr>
        <w:pStyle w:val="ListParagraph"/>
        <w:widowControl w:val="0"/>
        <w:numPr>
          <w:ilvl w:val="0"/>
          <w:numId w:val="6"/>
        </w:numPr>
        <w:tabs>
          <w:tab w:val="left" w:pos="990"/>
        </w:tabs>
        <w:spacing w:before="117" w:after="0" w:line="240" w:lineRule="auto"/>
        <w:ind w:right="173"/>
        <w:contextualSpacing w:val="0"/>
        <w:rPr>
          <w:rFonts w:ascii="Arial" w:hAnsi="Arial" w:cs="Arial"/>
        </w:rPr>
      </w:pPr>
      <w:r w:rsidRPr="004F39F7">
        <w:rPr>
          <w:rFonts w:ascii="Arial" w:hAnsi="Arial" w:cs="Arial"/>
        </w:rPr>
        <w:t>Multi-Tiered services with varying incentive levels</w:t>
      </w:r>
    </w:p>
    <w:p w14:paraId="4AA944F6" w14:textId="77777777" w:rsidR="00340D58" w:rsidRPr="004F39F7" w:rsidRDefault="00340D58" w:rsidP="00BF1EE4">
      <w:pPr>
        <w:pStyle w:val="ListParagraph"/>
        <w:widowControl w:val="0"/>
        <w:numPr>
          <w:ilvl w:val="1"/>
          <w:numId w:val="6"/>
        </w:numPr>
        <w:tabs>
          <w:tab w:val="left" w:pos="990"/>
        </w:tabs>
        <w:spacing w:before="117" w:after="0" w:line="240" w:lineRule="auto"/>
        <w:ind w:right="173"/>
        <w:contextualSpacing w:val="0"/>
        <w:rPr>
          <w:rFonts w:ascii="Arial" w:hAnsi="Arial" w:cs="Arial"/>
        </w:rPr>
      </w:pPr>
      <w:r w:rsidRPr="004F39F7">
        <w:rPr>
          <w:rFonts w:ascii="Arial" w:hAnsi="Arial" w:cs="Arial"/>
        </w:rPr>
        <w:t>Quality Services (aka, basic services)</w:t>
      </w:r>
    </w:p>
    <w:p w14:paraId="5AC764D6" w14:textId="77777777" w:rsidR="00340D58" w:rsidRPr="004F39F7" w:rsidRDefault="00340D58" w:rsidP="00BF1EE4">
      <w:pPr>
        <w:pStyle w:val="ListParagraph"/>
        <w:widowControl w:val="0"/>
        <w:numPr>
          <w:ilvl w:val="1"/>
          <w:numId w:val="6"/>
        </w:numPr>
        <w:tabs>
          <w:tab w:val="left" w:pos="990"/>
        </w:tabs>
        <w:spacing w:before="117" w:after="0" w:line="240" w:lineRule="auto"/>
        <w:ind w:right="173"/>
        <w:contextualSpacing w:val="0"/>
        <w:rPr>
          <w:rFonts w:ascii="Arial" w:hAnsi="Arial" w:cs="Arial"/>
        </w:rPr>
      </w:pPr>
      <w:r w:rsidRPr="004F39F7">
        <w:rPr>
          <w:rFonts w:ascii="Arial" w:hAnsi="Arial" w:cs="Arial"/>
        </w:rPr>
        <w:t>Enhanced Quality Services</w:t>
      </w:r>
    </w:p>
    <w:p w14:paraId="2E744CEB" w14:textId="77777777" w:rsidR="00340D58" w:rsidRPr="004F39F7" w:rsidRDefault="00340D58" w:rsidP="00BF1EE4">
      <w:pPr>
        <w:pStyle w:val="ListParagraph"/>
        <w:widowControl w:val="0"/>
        <w:numPr>
          <w:ilvl w:val="1"/>
          <w:numId w:val="6"/>
        </w:numPr>
        <w:tabs>
          <w:tab w:val="left" w:pos="990"/>
        </w:tabs>
        <w:spacing w:before="117" w:after="0" w:line="240" w:lineRule="auto"/>
        <w:ind w:right="173"/>
        <w:contextualSpacing w:val="0"/>
        <w:rPr>
          <w:rFonts w:ascii="Arial" w:hAnsi="Arial" w:cs="Arial"/>
        </w:rPr>
      </w:pPr>
      <w:r w:rsidRPr="004F39F7">
        <w:rPr>
          <w:rFonts w:ascii="Arial" w:hAnsi="Arial" w:cs="Arial"/>
        </w:rPr>
        <w:t>Quality Contractor</w:t>
      </w:r>
    </w:p>
    <w:p w14:paraId="3EB7B1C8" w14:textId="77777777" w:rsidR="00340D58" w:rsidRPr="004F39F7" w:rsidRDefault="00340D58" w:rsidP="00BF1EE4">
      <w:pPr>
        <w:pStyle w:val="ListParagraph"/>
        <w:widowControl w:val="0"/>
        <w:numPr>
          <w:ilvl w:val="0"/>
          <w:numId w:val="6"/>
        </w:numPr>
        <w:tabs>
          <w:tab w:val="left" w:pos="990"/>
        </w:tabs>
        <w:spacing w:before="117" w:after="0" w:line="240" w:lineRule="auto"/>
        <w:ind w:right="173"/>
        <w:contextualSpacing w:val="0"/>
        <w:rPr>
          <w:rFonts w:ascii="Arial" w:hAnsi="Arial" w:cs="Arial"/>
        </w:rPr>
      </w:pPr>
      <w:r w:rsidRPr="004F39F7">
        <w:rPr>
          <w:rFonts w:ascii="Arial" w:hAnsi="Arial" w:cs="Arial"/>
        </w:rPr>
        <w:t>Quality Service Reports</w:t>
      </w:r>
    </w:p>
    <w:p w14:paraId="282C1A67" w14:textId="77777777" w:rsidR="00340D58" w:rsidRPr="004F39F7" w:rsidRDefault="00340D58" w:rsidP="00BF1EE4">
      <w:pPr>
        <w:pStyle w:val="ListParagraph"/>
        <w:widowControl w:val="0"/>
        <w:numPr>
          <w:ilvl w:val="0"/>
          <w:numId w:val="6"/>
        </w:numPr>
        <w:tabs>
          <w:tab w:val="left" w:pos="990"/>
        </w:tabs>
        <w:spacing w:before="117" w:after="0" w:line="240" w:lineRule="auto"/>
        <w:ind w:right="173"/>
        <w:contextualSpacing w:val="0"/>
        <w:rPr>
          <w:rFonts w:ascii="Arial" w:hAnsi="Arial" w:cs="Arial"/>
        </w:rPr>
      </w:pPr>
      <w:r w:rsidRPr="004F39F7">
        <w:rPr>
          <w:rFonts w:ascii="Arial" w:hAnsi="Arial" w:cs="Arial"/>
        </w:rPr>
        <w:t>Utilizing proven HVAC industry contractor tool (e.g., Visual Service)</w:t>
      </w:r>
    </w:p>
    <w:p w14:paraId="2CEAC74D" w14:textId="4F931537" w:rsidR="00354FA2" w:rsidRDefault="00340D58" w:rsidP="00BF1EE4">
      <w:pPr>
        <w:pStyle w:val="ListParagraph"/>
        <w:widowControl w:val="0"/>
        <w:numPr>
          <w:ilvl w:val="0"/>
          <w:numId w:val="6"/>
        </w:numPr>
        <w:tabs>
          <w:tab w:val="left" w:pos="990"/>
        </w:tabs>
        <w:spacing w:before="117" w:after="0" w:line="240" w:lineRule="auto"/>
        <w:ind w:right="173"/>
        <w:contextualSpacing w:val="0"/>
        <w:rPr>
          <w:rFonts w:ascii="Arial" w:hAnsi="Arial" w:cs="Arial"/>
        </w:rPr>
      </w:pPr>
      <w:r w:rsidRPr="004F39F7">
        <w:rPr>
          <w:rFonts w:ascii="Arial" w:hAnsi="Arial" w:cs="Arial"/>
        </w:rPr>
        <w:t xml:space="preserve">Leveraging other EE, demand response, and financing opportunities </w:t>
      </w:r>
    </w:p>
    <w:p w14:paraId="4203BC74" w14:textId="77777777" w:rsidR="00E641E9" w:rsidRPr="004F39F7" w:rsidRDefault="00E641E9" w:rsidP="00E641E9">
      <w:pPr>
        <w:pStyle w:val="ListParagraph"/>
        <w:widowControl w:val="0"/>
        <w:tabs>
          <w:tab w:val="left" w:pos="990"/>
        </w:tabs>
        <w:spacing w:before="117" w:after="0" w:line="240" w:lineRule="auto"/>
        <w:ind w:right="173"/>
        <w:contextualSpacing w:val="0"/>
        <w:rPr>
          <w:rFonts w:ascii="Arial" w:hAnsi="Arial" w:cs="Arial"/>
        </w:rPr>
      </w:pPr>
    </w:p>
    <w:p w14:paraId="4F1A8234" w14:textId="09850591" w:rsidR="00303C49" w:rsidRPr="0005195F" w:rsidRDefault="00345C62"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26" w:name="_Toc129168569"/>
      <w:r w:rsidRPr="0005195F">
        <w:rPr>
          <w:rFonts w:ascii="Arial" w:eastAsiaTheme="minorEastAsia" w:hAnsi="Arial"/>
          <w:bCs/>
          <w:iCs/>
          <w:color w:val="32476E"/>
          <w:spacing w:val="10"/>
          <w:sz w:val="24"/>
          <w:u w:val="single"/>
        </w:rPr>
        <w:t>Metrics</w:t>
      </w:r>
      <w:bookmarkEnd w:id="26"/>
    </w:p>
    <w:p w14:paraId="6535A1DB" w14:textId="4616CA73" w:rsidR="00291F67" w:rsidRPr="00DB2C6B" w:rsidRDefault="00291F67" w:rsidP="00DB2C6B">
      <w:pPr>
        <w:tabs>
          <w:tab w:val="left" w:pos="990"/>
        </w:tabs>
        <w:spacing w:before="117" w:line="240" w:lineRule="auto"/>
        <w:ind w:right="173"/>
        <w:rPr>
          <w:rFonts w:ascii="Arial" w:hAnsi="Arial" w:cs="Arial"/>
        </w:rPr>
      </w:pPr>
      <w:r w:rsidRPr="00DB2C6B">
        <w:rPr>
          <w:rFonts w:ascii="Arial" w:hAnsi="Arial" w:cs="Arial"/>
        </w:rPr>
        <w:t>Program Performance:</w:t>
      </w:r>
    </w:p>
    <w:p w14:paraId="48483921" w14:textId="07D30CF9" w:rsidR="00BF1EE4" w:rsidRPr="00DB2C6B" w:rsidRDefault="008A3B68" w:rsidP="00DB2C6B">
      <w:pPr>
        <w:pStyle w:val="ListParagraph"/>
        <w:numPr>
          <w:ilvl w:val="0"/>
          <w:numId w:val="11"/>
        </w:numPr>
        <w:tabs>
          <w:tab w:val="left" w:pos="990"/>
        </w:tabs>
        <w:spacing w:before="117" w:line="240" w:lineRule="auto"/>
        <w:ind w:right="173"/>
        <w:rPr>
          <w:rFonts w:ascii="Arial" w:hAnsi="Arial" w:cs="Arial"/>
        </w:rPr>
      </w:pPr>
      <w:r w:rsidRPr="00DB2C6B">
        <w:rPr>
          <w:rFonts w:ascii="Arial" w:hAnsi="Arial" w:cs="Arial"/>
        </w:rPr>
        <w:t>Incentivized services provided to customers.</w:t>
      </w:r>
    </w:p>
    <w:p w14:paraId="0A6296AC" w14:textId="0A4D3975" w:rsidR="008A3B68" w:rsidRPr="00DB2C6B" w:rsidRDefault="009962F0" w:rsidP="00DB2C6B">
      <w:pPr>
        <w:pStyle w:val="ListParagraph"/>
        <w:numPr>
          <w:ilvl w:val="0"/>
          <w:numId w:val="11"/>
        </w:numPr>
        <w:tabs>
          <w:tab w:val="left" w:pos="990"/>
        </w:tabs>
        <w:spacing w:before="117" w:line="240" w:lineRule="auto"/>
        <w:ind w:right="173"/>
        <w:rPr>
          <w:rFonts w:ascii="Arial" w:hAnsi="Arial" w:cs="Arial"/>
        </w:rPr>
      </w:pPr>
      <w:r w:rsidRPr="00DB2C6B">
        <w:rPr>
          <w:rFonts w:ascii="Arial" w:hAnsi="Arial" w:cs="Arial"/>
        </w:rPr>
        <w:t>Number of licensed HVAC Contractors and/or Technicians trained on how to perform Quality Services.</w:t>
      </w:r>
    </w:p>
    <w:p w14:paraId="1CBBE7C8" w14:textId="6A9087C5" w:rsidR="009962F0" w:rsidRPr="00DB2C6B" w:rsidRDefault="00386BC4" w:rsidP="00DB2C6B">
      <w:pPr>
        <w:pStyle w:val="ListParagraph"/>
        <w:numPr>
          <w:ilvl w:val="0"/>
          <w:numId w:val="11"/>
        </w:numPr>
        <w:tabs>
          <w:tab w:val="left" w:pos="990"/>
        </w:tabs>
        <w:spacing w:before="117" w:line="240" w:lineRule="auto"/>
        <w:ind w:right="173"/>
        <w:rPr>
          <w:rFonts w:ascii="Arial" w:hAnsi="Arial" w:cs="Arial"/>
        </w:rPr>
      </w:pPr>
      <w:r w:rsidRPr="00DB2C6B">
        <w:rPr>
          <w:rFonts w:ascii="Arial" w:hAnsi="Arial" w:cs="Arial"/>
        </w:rPr>
        <w:t>Percent of the total number of participating HVAC contractors who received an “Enhanced” or “Quality Contractor” tier incentive in the last year that previously received a lower tier incentive.</w:t>
      </w:r>
    </w:p>
    <w:p w14:paraId="5BB0ECB6" w14:textId="72C3D7FB" w:rsidR="00386BC4" w:rsidRPr="00DB2C6B" w:rsidRDefault="00A63285" w:rsidP="00DB2C6B">
      <w:pPr>
        <w:pStyle w:val="ListParagraph"/>
        <w:numPr>
          <w:ilvl w:val="0"/>
          <w:numId w:val="11"/>
        </w:numPr>
        <w:tabs>
          <w:tab w:val="left" w:pos="990"/>
        </w:tabs>
        <w:spacing w:before="117" w:line="240" w:lineRule="auto"/>
        <w:ind w:right="173"/>
        <w:rPr>
          <w:rFonts w:ascii="Arial" w:hAnsi="Arial" w:cs="Arial"/>
        </w:rPr>
      </w:pPr>
      <w:r w:rsidRPr="00DB2C6B">
        <w:rPr>
          <w:rFonts w:ascii="Arial" w:hAnsi="Arial" w:cs="Arial"/>
        </w:rPr>
        <w:t>Customer Recognition of Value.</w:t>
      </w:r>
    </w:p>
    <w:p w14:paraId="17E7491F" w14:textId="6ED3431D" w:rsidR="00A63285" w:rsidRPr="00DB2C6B" w:rsidRDefault="0064289C" w:rsidP="00DB2C6B">
      <w:pPr>
        <w:pStyle w:val="ListParagraph"/>
        <w:numPr>
          <w:ilvl w:val="0"/>
          <w:numId w:val="11"/>
        </w:numPr>
        <w:tabs>
          <w:tab w:val="left" w:pos="990"/>
        </w:tabs>
        <w:spacing w:before="117" w:line="240" w:lineRule="auto"/>
        <w:ind w:right="173"/>
        <w:rPr>
          <w:rFonts w:ascii="Arial" w:hAnsi="Arial" w:cs="Arial"/>
        </w:rPr>
      </w:pPr>
      <w:r w:rsidRPr="00DB2C6B">
        <w:rPr>
          <w:rFonts w:ascii="Arial" w:hAnsi="Arial" w:cs="Arial"/>
        </w:rPr>
        <w:t xml:space="preserve">Contractor Knowledge about Quality Installation </w:t>
      </w:r>
      <w:r w:rsidR="00E26D24" w:rsidRPr="00DB2C6B">
        <w:rPr>
          <w:rFonts w:ascii="Arial" w:hAnsi="Arial" w:cs="Arial"/>
        </w:rPr>
        <w:t>and Mainten</w:t>
      </w:r>
      <w:r w:rsidR="00F02A22" w:rsidRPr="00DB2C6B">
        <w:rPr>
          <w:rFonts w:ascii="Arial" w:hAnsi="Arial" w:cs="Arial"/>
        </w:rPr>
        <w:t>ance.</w:t>
      </w:r>
    </w:p>
    <w:p w14:paraId="7B4769B7" w14:textId="243C1BC8" w:rsidR="00F02A22" w:rsidRPr="00DB2C6B" w:rsidRDefault="008369B9" w:rsidP="00DB2C6B">
      <w:pPr>
        <w:tabs>
          <w:tab w:val="left" w:pos="990"/>
        </w:tabs>
        <w:spacing w:before="117" w:line="240" w:lineRule="auto"/>
        <w:ind w:right="173"/>
        <w:rPr>
          <w:rFonts w:ascii="Arial" w:hAnsi="Arial" w:cs="Arial"/>
        </w:rPr>
      </w:pPr>
      <w:r w:rsidRPr="00DB2C6B">
        <w:rPr>
          <w:rFonts w:ascii="Arial" w:hAnsi="Arial" w:cs="Arial"/>
        </w:rPr>
        <w:t>Marketing:</w:t>
      </w:r>
    </w:p>
    <w:p w14:paraId="4C92DB77" w14:textId="02D3739F" w:rsidR="008369B9" w:rsidRPr="00DB2C6B" w:rsidRDefault="003D3A2E" w:rsidP="00DB2C6B">
      <w:pPr>
        <w:pStyle w:val="ListParagraph"/>
        <w:numPr>
          <w:ilvl w:val="0"/>
          <w:numId w:val="12"/>
        </w:numPr>
        <w:tabs>
          <w:tab w:val="left" w:pos="990"/>
        </w:tabs>
        <w:spacing w:before="117" w:line="240" w:lineRule="auto"/>
        <w:ind w:right="173"/>
        <w:rPr>
          <w:rFonts w:ascii="Arial" w:hAnsi="Arial" w:cs="Arial"/>
        </w:rPr>
      </w:pPr>
      <w:r w:rsidRPr="00DB2C6B">
        <w:rPr>
          <w:rFonts w:ascii="Arial" w:hAnsi="Arial" w:cs="Arial"/>
        </w:rPr>
        <w:t>Number of market actors reached through partner networks and partner communications channels.</w:t>
      </w:r>
    </w:p>
    <w:p w14:paraId="10F91B00" w14:textId="7C6FC44B" w:rsidR="003D3A2E" w:rsidRPr="00DB2C6B" w:rsidRDefault="00AC5AE6" w:rsidP="00DB2C6B">
      <w:pPr>
        <w:tabs>
          <w:tab w:val="left" w:pos="990"/>
        </w:tabs>
        <w:spacing w:before="117" w:line="240" w:lineRule="auto"/>
        <w:ind w:right="173"/>
        <w:rPr>
          <w:rFonts w:ascii="Arial" w:hAnsi="Arial" w:cs="Arial"/>
        </w:rPr>
      </w:pPr>
      <w:r w:rsidRPr="00DB2C6B">
        <w:rPr>
          <w:rFonts w:ascii="Arial" w:hAnsi="Arial" w:cs="Arial"/>
        </w:rPr>
        <w:t>Compliance:</w:t>
      </w:r>
    </w:p>
    <w:p w14:paraId="7E4FA774" w14:textId="2438A127" w:rsidR="00AC5AE6" w:rsidRPr="00DB2C6B" w:rsidRDefault="00AC5AE6" w:rsidP="00DB2C6B">
      <w:pPr>
        <w:pStyle w:val="ListParagraph"/>
        <w:numPr>
          <w:ilvl w:val="0"/>
          <w:numId w:val="12"/>
        </w:numPr>
        <w:tabs>
          <w:tab w:val="left" w:pos="990"/>
        </w:tabs>
        <w:spacing w:before="117" w:line="240" w:lineRule="auto"/>
        <w:ind w:right="173"/>
        <w:rPr>
          <w:rFonts w:ascii="Arial" w:hAnsi="Arial" w:cs="Arial"/>
        </w:rPr>
      </w:pPr>
      <w:r w:rsidRPr="00DB2C6B">
        <w:rPr>
          <w:rFonts w:ascii="Arial" w:hAnsi="Arial" w:cs="Arial"/>
        </w:rPr>
        <w:t>Reporting accuracy</w:t>
      </w:r>
    </w:p>
    <w:p w14:paraId="10A38A6F" w14:textId="2A234B6F" w:rsidR="00AC5AE6" w:rsidRPr="00DB2C6B" w:rsidRDefault="008E5A98" w:rsidP="00DB2C6B">
      <w:pPr>
        <w:pStyle w:val="ListParagraph"/>
        <w:numPr>
          <w:ilvl w:val="0"/>
          <w:numId w:val="12"/>
        </w:numPr>
        <w:tabs>
          <w:tab w:val="left" w:pos="990"/>
        </w:tabs>
        <w:spacing w:before="117" w:line="240" w:lineRule="auto"/>
        <w:ind w:right="173"/>
        <w:rPr>
          <w:rFonts w:ascii="Arial" w:hAnsi="Arial" w:cs="Arial"/>
        </w:rPr>
      </w:pPr>
      <w:r w:rsidRPr="00DB2C6B">
        <w:rPr>
          <w:rFonts w:ascii="Arial" w:hAnsi="Arial" w:cs="Arial"/>
        </w:rPr>
        <w:t>HTR/DAC penetration</w:t>
      </w:r>
    </w:p>
    <w:p w14:paraId="1C5502CB" w14:textId="0D7C5427" w:rsidR="00822C75" w:rsidRPr="00DB2C6B" w:rsidRDefault="0081773B" w:rsidP="00DB2C6B">
      <w:pPr>
        <w:pStyle w:val="ListParagraph"/>
        <w:numPr>
          <w:ilvl w:val="0"/>
          <w:numId w:val="12"/>
        </w:numPr>
        <w:tabs>
          <w:tab w:val="left" w:pos="990"/>
        </w:tabs>
        <w:spacing w:before="117" w:line="240" w:lineRule="auto"/>
        <w:ind w:right="173"/>
        <w:rPr>
          <w:rFonts w:ascii="Arial" w:hAnsi="Arial" w:cs="Arial"/>
        </w:rPr>
      </w:pPr>
      <w:r w:rsidRPr="00DB2C6B">
        <w:rPr>
          <w:rFonts w:ascii="Arial" w:hAnsi="Arial" w:cs="Arial"/>
        </w:rPr>
        <w:t xml:space="preserve">Diverse </w:t>
      </w:r>
      <w:r w:rsidR="005B4154" w:rsidRPr="00DB2C6B">
        <w:rPr>
          <w:rFonts w:ascii="Arial" w:hAnsi="Arial" w:cs="Arial"/>
        </w:rPr>
        <w:t xml:space="preserve">Business Enterprise </w:t>
      </w:r>
      <w:r w:rsidR="00426CEF" w:rsidRPr="00DB2C6B">
        <w:rPr>
          <w:rFonts w:ascii="Arial" w:hAnsi="Arial" w:cs="Arial"/>
        </w:rPr>
        <w:t>expenditures</w:t>
      </w:r>
    </w:p>
    <w:p w14:paraId="1201D604" w14:textId="38ACDC6E" w:rsidR="00FB10C5" w:rsidRPr="00DB2C6B" w:rsidRDefault="00FB10C5" w:rsidP="00DB2C6B">
      <w:pPr>
        <w:pStyle w:val="ListParagraph"/>
        <w:numPr>
          <w:ilvl w:val="0"/>
          <w:numId w:val="12"/>
        </w:numPr>
        <w:tabs>
          <w:tab w:val="left" w:pos="990"/>
        </w:tabs>
        <w:spacing w:before="117" w:line="240" w:lineRule="auto"/>
        <w:ind w:right="173"/>
        <w:rPr>
          <w:rFonts w:ascii="Arial" w:hAnsi="Arial" w:cs="Arial"/>
        </w:rPr>
      </w:pPr>
      <w:r w:rsidRPr="00DB2C6B">
        <w:rPr>
          <w:rFonts w:ascii="Arial" w:hAnsi="Arial" w:cs="Arial"/>
        </w:rPr>
        <w:t>Contractors/Technicians considered Disadvantaged Workers</w:t>
      </w:r>
    </w:p>
    <w:p w14:paraId="40E91ECD" w14:textId="734BA65F" w:rsidR="00426CEF" w:rsidRPr="00DB2C6B" w:rsidRDefault="008F2E3A" w:rsidP="00DB2C6B">
      <w:pPr>
        <w:tabs>
          <w:tab w:val="left" w:pos="990"/>
        </w:tabs>
        <w:spacing w:before="117" w:line="240" w:lineRule="auto"/>
        <w:ind w:right="173"/>
        <w:rPr>
          <w:rFonts w:ascii="Arial" w:hAnsi="Arial" w:cs="Arial"/>
        </w:rPr>
      </w:pPr>
      <w:r w:rsidRPr="00DB2C6B">
        <w:rPr>
          <w:rFonts w:ascii="Arial" w:hAnsi="Arial" w:cs="Arial"/>
        </w:rPr>
        <w:t>Customer Satisfaction:</w:t>
      </w:r>
    </w:p>
    <w:p w14:paraId="7395029D" w14:textId="3A489D59" w:rsidR="00DB2C6B" w:rsidRPr="00DB2C6B" w:rsidRDefault="008F2E3A" w:rsidP="00DB2C6B">
      <w:pPr>
        <w:pStyle w:val="ListParagraph"/>
        <w:numPr>
          <w:ilvl w:val="0"/>
          <w:numId w:val="13"/>
        </w:numPr>
        <w:tabs>
          <w:tab w:val="left" w:pos="990"/>
        </w:tabs>
        <w:spacing w:before="117" w:line="240" w:lineRule="auto"/>
        <w:ind w:right="173"/>
        <w:rPr>
          <w:rFonts w:ascii="Arial" w:hAnsi="Arial" w:cs="Arial"/>
        </w:rPr>
      </w:pPr>
      <w:r w:rsidRPr="00DB2C6B">
        <w:rPr>
          <w:rFonts w:ascii="Arial" w:hAnsi="Arial" w:cs="Arial"/>
        </w:rPr>
        <w:t>Complaints received</w:t>
      </w:r>
      <w:r w:rsidR="00C94111" w:rsidRPr="00DB2C6B">
        <w:rPr>
          <w:rFonts w:ascii="Arial" w:hAnsi="Arial" w:cs="Arial"/>
        </w:rPr>
        <w:t>.</w:t>
      </w:r>
    </w:p>
    <w:p w14:paraId="1D8F0361" w14:textId="77777777" w:rsidR="00AC0242" w:rsidRPr="00DB2C6B" w:rsidRDefault="00AC0242" w:rsidP="00AC0242">
      <w:pPr>
        <w:pStyle w:val="ListParagraph"/>
        <w:tabs>
          <w:tab w:val="left" w:pos="990"/>
        </w:tabs>
        <w:spacing w:before="117" w:line="240" w:lineRule="auto"/>
        <w:ind w:right="173"/>
        <w:rPr>
          <w:rFonts w:ascii="Arial" w:hAnsi="Arial" w:cs="Arial"/>
        </w:rPr>
      </w:pPr>
    </w:p>
    <w:p w14:paraId="215C042B" w14:textId="77777777" w:rsidR="002B4173" w:rsidRPr="0005195F" w:rsidRDefault="002B4173"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27" w:name="_Toc129168570"/>
      <w:r w:rsidRPr="0005195F">
        <w:rPr>
          <w:rFonts w:ascii="Arial" w:eastAsiaTheme="minorEastAsia" w:hAnsi="Arial"/>
          <w:bCs/>
          <w:iCs/>
          <w:color w:val="32476E"/>
          <w:spacing w:val="10"/>
          <w:sz w:val="24"/>
          <w:u w:val="single"/>
        </w:rPr>
        <w:t>For Programs claiming to</w:t>
      </w:r>
      <w:r w:rsidRPr="0005195F">
        <w:rPr>
          <w:rFonts w:ascii="Cambria Math" w:eastAsiaTheme="minorEastAsia" w:hAnsi="Cambria Math" w:cs="Cambria Math"/>
          <w:bCs/>
          <w:iCs/>
          <w:color w:val="32476E"/>
          <w:spacing w:val="10"/>
          <w:sz w:val="24"/>
          <w:u w:val="single"/>
        </w:rPr>
        <w:t>‐</w:t>
      </w:r>
      <w:r w:rsidRPr="0005195F">
        <w:rPr>
          <w:rFonts w:ascii="Arial" w:eastAsiaTheme="minorEastAsia" w:hAnsi="Arial"/>
          <w:bCs/>
          <w:iCs/>
          <w:color w:val="32476E"/>
          <w:spacing w:val="10"/>
          <w:sz w:val="24"/>
          <w:u w:val="single"/>
        </w:rPr>
        <w:t>code savings</w:t>
      </w:r>
      <w:bookmarkEnd w:id="27"/>
    </w:p>
    <w:p w14:paraId="60B72DC5" w14:textId="568EC8E6" w:rsidR="00AC0242" w:rsidRPr="00345797" w:rsidRDefault="00345797" w:rsidP="00345797">
      <w:r>
        <w:lastRenderedPageBreak/>
        <w:t>N/A</w:t>
      </w:r>
    </w:p>
    <w:p w14:paraId="7B2D36CB" w14:textId="2FCE4873" w:rsidR="00345C62" w:rsidRPr="0005195F" w:rsidRDefault="009301C4"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28" w:name="_Toc129168571"/>
      <w:r w:rsidRPr="0005195F">
        <w:rPr>
          <w:rFonts w:ascii="Arial" w:eastAsiaTheme="minorEastAsia" w:hAnsi="Arial"/>
          <w:bCs/>
          <w:iCs/>
          <w:color w:val="32476E"/>
          <w:spacing w:val="10"/>
          <w:sz w:val="24"/>
          <w:u w:val="single"/>
        </w:rPr>
        <w:t>Pilots</w:t>
      </w:r>
      <w:bookmarkEnd w:id="28"/>
    </w:p>
    <w:p w14:paraId="18D06C78" w14:textId="2D85E605" w:rsidR="00345797" w:rsidRPr="00345797" w:rsidRDefault="00345797" w:rsidP="00345797">
      <w:r>
        <w:t>N/A</w:t>
      </w:r>
    </w:p>
    <w:p w14:paraId="56558A86" w14:textId="77777777" w:rsidR="00891DFB" w:rsidRPr="0005195F" w:rsidRDefault="00891DFB"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29" w:name="_Toc129168572"/>
      <w:r w:rsidRPr="0005195F">
        <w:rPr>
          <w:rFonts w:ascii="Arial" w:eastAsiaTheme="minorEastAsia" w:hAnsi="Arial"/>
          <w:bCs/>
          <w:iCs/>
          <w:color w:val="32476E"/>
          <w:spacing w:val="10"/>
          <w:sz w:val="24"/>
          <w:u w:val="single"/>
        </w:rPr>
        <w:t>Workforce Education and Training</w:t>
      </w:r>
      <w:bookmarkEnd w:id="29"/>
    </w:p>
    <w:p w14:paraId="5F0EAA9E" w14:textId="5485CEB4" w:rsidR="002853A1" w:rsidRPr="005C4984" w:rsidRDefault="0032340A" w:rsidP="005C4984">
      <w:pPr>
        <w:ind w:right="216"/>
        <w:rPr>
          <w:rFonts w:ascii="Arial" w:eastAsia="Times New Roman" w:hAnsi="Arial" w:cs="Arial"/>
          <w:spacing w:val="-1"/>
        </w:rPr>
      </w:pPr>
      <w:r>
        <w:rPr>
          <w:rFonts w:ascii="Arial" w:eastAsia="Times New Roman" w:hAnsi="Arial" w:cs="Arial"/>
          <w:spacing w:val="-1"/>
        </w:rPr>
        <w:t xml:space="preserve">The Program will provide </w:t>
      </w:r>
      <w:r w:rsidR="002853A1" w:rsidRPr="00C13583">
        <w:rPr>
          <w:rFonts w:ascii="Arial" w:eastAsia="Times New Roman" w:hAnsi="Arial" w:cs="Arial"/>
          <w:spacing w:val="-1"/>
        </w:rPr>
        <w:t>Technician and Contractor Training</w:t>
      </w:r>
      <w:r>
        <w:rPr>
          <w:rFonts w:ascii="Arial" w:eastAsia="Times New Roman" w:hAnsi="Arial" w:cs="Arial"/>
          <w:spacing w:val="-1"/>
        </w:rPr>
        <w:t xml:space="preserve"> to program participants</w:t>
      </w:r>
      <w:r w:rsidR="002853A1" w:rsidRPr="00C13583">
        <w:rPr>
          <w:rFonts w:ascii="Arial" w:eastAsia="Times New Roman" w:hAnsi="Arial" w:cs="Arial"/>
          <w:spacing w:val="-1"/>
        </w:rPr>
        <w:t xml:space="preserve">. This shall include identifying detailed training requirements for different quality services and tiers, </w:t>
      </w:r>
      <w:r w:rsidR="00C13583" w:rsidRPr="00C13583">
        <w:rPr>
          <w:rFonts w:ascii="Arial" w:eastAsia="Times New Roman" w:hAnsi="Arial" w:cs="Arial"/>
          <w:spacing w:val="-1"/>
        </w:rPr>
        <w:t>designing,</w:t>
      </w:r>
      <w:r w:rsidR="002853A1" w:rsidRPr="00C13583">
        <w:rPr>
          <w:rFonts w:ascii="Arial" w:eastAsia="Times New Roman" w:hAnsi="Arial" w:cs="Arial"/>
          <w:spacing w:val="-1"/>
        </w:rPr>
        <w:t xml:space="preserve"> and producing training materials, </w:t>
      </w:r>
      <w:proofErr w:type="gramStart"/>
      <w:r w:rsidR="002853A1" w:rsidRPr="00C13583">
        <w:rPr>
          <w:rFonts w:ascii="Arial" w:eastAsia="Times New Roman" w:hAnsi="Arial" w:cs="Arial"/>
          <w:spacing w:val="-1"/>
        </w:rPr>
        <w:t>developing</w:t>
      </w:r>
      <w:proofErr w:type="gramEnd"/>
      <w:r w:rsidR="002853A1" w:rsidRPr="00C13583">
        <w:rPr>
          <w:rFonts w:ascii="Arial" w:eastAsia="Times New Roman" w:hAnsi="Arial" w:cs="Arial"/>
          <w:spacing w:val="-1"/>
        </w:rPr>
        <w:t xml:space="preserve"> and implementing training evaluation tools, signing up training participants, delivering training, and producing data for tracking the training provided.</w:t>
      </w:r>
    </w:p>
    <w:p w14:paraId="54ED46BF" w14:textId="69A01DB0" w:rsidR="003A0F1F" w:rsidRPr="0005195F" w:rsidRDefault="003A0F1F" w:rsidP="54C7D34A">
      <w:pPr>
        <w:pStyle w:val="ListParagraph"/>
        <w:numPr>
          <w:ilvl w:val="0"/>
          <w:numId w:val="4"/>
        </w:numPr>
        <w:rPr>
          <w:rFonts w:ascii="Arial" w:eastAsiaTheme="minorEastAsia" w:hAnsi="Arial"/>
          <w:color w:val="32476E"/>
          <w:spacing w:val="10"/>
          <w:sz w:val="24"/>
          <w:szCs w:val="24"/>
          <w:u w:val="single"/>
        </w:rPr>
      </w:pPr>
      <w:bookmarkStart w:id="30" w:name="_Toc129168573"/>
      <w:r w:rsidRPr="1484ED5D">
        <w:rPr>
          <w:rFonts w:ascii="Arial" w:eastAsiaTheme="minorEastAsia" w:hAnsi="Arial"/>
          <w:color w:val="32476E"/>
          <w:spacing w:val="10"/>
          <w:sz w:val="24"/>
          <w:szCs w:val="24"/>
          <w:u w:val="single"/>
        </w:rPr>
        <w:t>Workforce Standards</w:t>
      </w:r>
      <w:bookmarkEnd w:id="30"/>
    </w:p>
    <w:p w14:paraId="67C45D7F" w14:textId="267F9A71" w:rsidR="00956F12" w:rsidRDefault="0043748F" w:rsidP="0043748F">
      <w:pPr>
        <w:rPr>
          <w:rFonts w:ascii="Arial" w:hAnsi="Arial" w:cs="Arial"/>
        </w:rPr>
      </w:pPr>
      <w:r w:rsidRPr="0043748F">
        <w:rPr>
          <w:rFonts w:ascii="Arial" w:hAnsi="Arial" w:cs="Arial"/>
        </w:rPr>
        <w:t>The Program will emphasize “</w:t>
      </w:r>
      <w:r w:rsidR="0076716C">
        <w:rPr>
          <w:rFonts w:ascii="Arial" w:hAnsi="Arial" w:cs="Arial"/>
        </w:rPr>
        <w:t>Be</w:t>
      </w:r>
      <w:r w:rsidR="00C25F76">
        <w:rPr>
          <w:rFonts w:ascii="Arial" w:hAnsi="Arial" w:cs="Arial"/>
        </w:rPr>
        <w:t>gin the Journey</w:t>
      </w:r>
      <w:r w:rsidR="00AE1462">
        <w:rPr>
          <w:rFonts w:ascii="Arial" w:hAnsi="Arial" w:cs="Arial"/>
        </w:rPr>
        <w:t xml:space="preserve"> (Tier I)</w:t>
      </w:r>
      <w:r w:rsidR="008C758E" w:rsidRPr="0043748F">
        <w:rPr>
          <w:rFonts w:ascii="Arial" w:hAnsi="Arial" w:cs="Arial"/>
        </w:rPr>
        <w:t>,”</w:t>
      </w:r>
      <w:r w:rsidRPr="0043748F">
        <w:rPr>
          <w:rFonts w:ascii="Arial" w:hAnsi="Arial" w:cs="Arial"/>
        </w:rPr>
        <w:t xml:space="preserve"> “Advanc</w:t>
      </w:r>
      <w:r w:rsidR="00BF239F">
        <w:rPr>
          <w:rFonts w:ascii="Arial" w:hAnsi="Arial" w:cs="Arial"/>
        </w:rPr>
        <w:t>e</w:t>
      </w:r>
      <w:r w:rsidRPr="0043748F">
        <w:rPr>
          <w:rFonts w:ascii="Arial" w:hAnsi="Arial" w:cs="Arial"/>
        </w:rPr>
        <w:t xml:space="preserve"> the Average</w:t>
      </w:r>
      <w:r w:rsidR="00AE1462">
        <w:rPr>
          <w:rFonts w:ascii="Arial" w:hAnsi="Arial" w:cs="Arial"/>
        </w:rPr>
        <w:t xml:space="preserve"> (Tier II)</w:t>
      </w:r>
      <w:r w:rsidR="000E2E59" w:rsidRPr="0043748F">
        <w:rPr>
          <w:rFonts w:ascii="Arial" w:hAnsi="Arial" w:cs="Arial"/>
        </w:rPr>
        <w:t>,”</w:t>
      </w:r>
      <w:r w:rsidRPr="0043748F">
        <w:rPr>
          <w:rFonts w:ascii="Arial" w:hAnsi="Arial" w:cs="Arial"/>
        </w:rPr>
        <w:t xml:space="preserve"> and “</w:t>
      </w:r>
      <w:r w:rsidR="00BF239F">
        <w:rPr>
          <w:rFonts w:ascii="Arial" w:hAnsi="Arial" w:cs="Arial"/>
        </w:rPr>
        <w:t>Elevate the Champions</w:t>
      </w:r>
      <w:r w:rsidR="006F1F66">
        <w:rPr>
          <w:rFonts w:ascii="Arial" w:hAnsi="Arial" w:cs="Arial"/>
        </w:rPr>
        <w:t xml:space="preserve"> “kicker”</w:t>
      </w:r>
      <w:r w:rsidR="00AE1462">
        <w:rPr>
          <w:rFonts w:ascii="Arial" w:hAnsi="Arial" w:cs="Arial"/>
        </w:rPr>
        <w:t xml:space="preserve"> (Tier III)</w:t>
      </w:r>
      <w:r w:rsidRPr="0043748F">
        <w:rPr>
          <w:rFonts w:ascii="Arial" w:hAnsi="Arial" w:cs="Arial"/>
        </w:rPr>
        <w:t>” tiers. The workforce standards are different for each of these tiers. The Program’s Advisory Panel will further define the tiers during the program’s implementation period.</w:t>
      </w:r>
    </w:p>
    <w:p w14:paraId="79FD1A61" w14:textId="35814F47" w:rsidR="006863C8" w:rsidRPr="00E87308" w:rsidRDefault="00AE1462" w:rsidP="006863C8">
      <w:pPr>
        <w:rPr>
          <w:rFonts w:ascii="Arial" w:hAnsi="Arial" w:cs="Arial"/>
        </w:rPr>
      </w:pPr>
      <w:r>
        <w:rPr>
          <w:rFonts w:ascii="Arial" w:hAnsi="Arial" w:cs="Arial"/>
        </w:rPr>
        <w:t>Tier I</w:t>
      </w:r>
      <w:r w:rsidR="006863C8" w:rsidRPr="00E87308">
        <w:rPr>
          <w:rFonts w:ascii="Arial" w:hAnsi="Arial" w:cs="Arial"/>
        </w:rPr>
        <w:t>: This is an entry-level tier for quality services. The expectation is that participating HVAC Contractors will have very few qualifications that one might expect from the other tiers. Participants will be required to be licensed C-20 contractors, but there is no requirement that they have achieved any other quality certifications. Workers who deliver services are likely technicians with little to no experience. The Program attempts to address this gap in service. Through clear step-by-step standards and verifications, along with focused training, the program aims to ensure that the HVAC Contractors and their technicians will become more qualified throughout their participation in the Program.</w:t>
      </w:r>
    </w:p>
    <w:p w14:paraId="7DE9E57C" w14:textId="338EDC18" w:rsidR="006863C8" w:rsidRPr="00E87308" w:rsidRDefault="00287F45" w:rsidP="006863C8">
      <w:pPr>
        <w:rPr>
          <w:rFonts w:ascii="Arial" w:hAnsi="Arial" w:cs="Arial"/>
        </w:rPr>
      </w:pPr>
      <w:r w:rsidRPr="54C7D34A">
        <w:rPr>
          <w:rFonts w:ascii="Arial" w:hAnsi="Arial" w:cs="Arial"/>
        </w:rPr>
        <w:t>Tier II</w:t>
      </w:r>
      <w:r w:rsidR="006863C8" w:rsidRPr="54C7D34A">
        <w:rPr>
          <w:rFonts w:ascii="Arial" w:hAnsi="Arial" w:cs="Arial"/>
        </w:rPr>
        <w:t>: This middle tier will provide more sophisticated skills in providing enhanced quality HVAC services. Participants are required to be licensed C-20 contractors, but there is no requirement that they have achieved other quality certifications. They will receive training in the skills they may lack in the measurements, adjustments, system design, and salesmanship required for quality services. Technicians will be expected to have some basic skills but receive training on more advanced ones. Participants will be encouraged and supported in achieving certifications such as North American Technician Excellence (NATE) or National Comfort Institute (NCI).</w:t>
      </w:r>
    </w:p>
    <w:p w14:paraId="199199CC" w14:textId="0D4A89B8" w:rsidR="006863C8" w:rsidRPr="0043748F" w:rsidRDefault="00287F45" w:rsidP="0043748F">
      <w:pPr>
        <w:rPr>
          <w:rFonts w:ascii="Arial" w:hAnsi="Arial" w:cs="Arial"/>
        </w:rPr>
      </w:pPr>
      <w:r w:rsidRPr="54C7D34A">
        <w:rPr>
          <w:rFonts w:ascii="Arial" w:hAnsi="Arial" w:cs="Arial"/>
        </w:rPr>
        <w:t>Tier III</w:t>
      </w:r>
      <w:r w:rsidR="00B76BA8" w:rsidRPr="54C7D34A">
        <w:rPr>
          <w:rFonts w:ascii="Arial" w:hAnsi="Arial" w:cs="Arial"/>
        </w:rPr>
        <w:t xml:space="preserve"> “kicker”</w:t>
      </w:r>
      <w:r w:rsidR="006863C8" w:rsidRPr="54C7D34A">
        <w:rPr>
          <w:rFonts w:ascii="Arial" w:hAnsi="Arial" w:cs="Arial"/>
        </w:rPr>
        <w:t>: This elite tier will require that HVAC Contractors and their technicians already be highly skilled. They must demonstrate that they have consistently provided high-quality services and that their installed and maintained systems are performing better than average. Many of these workers may have advanced certifications, such as NATE and NCI, and while these are not required for the Program, they will be part of the evidence considered to evaluate their qualification for the “Quality Contractor” moniker.</w:t>
      </w:r>
    </w:p>
    <w:p w14:paraId="576722BD" w14:textId="7CAE1EC2" w:rsidR="005D4504" w:rsidRPr="0005195F" w:rsidRDefault="005D4504"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31" w:name="_Toc129168574"/>
      <w:r w:rsidRPr="0005195F">
        <w:rPr>
          <w:rFonts w:ascii="Arial" w:eastAsiaTheme="minorEastAsia" w:hAnsi="Arial"/>
          <w:bCs/>
          <w:iCs/>
          <w:color w:val="32476E"/>
          <w:spacing w:val="10"/>
          <w:sz w:val="24"/>
          <w:u w:val="single"/>
        </w:rPr>
        <w:t>Disadvantaged Worker Plan</w:t>
      </w:r>
      <w:bookmarkEnd w:id="31"/>
    </w:p>
    <w:p w14:paraId="71FC19AB" w14:textId="7EC21B14" w:rsidR="00422B1B" w:rsidRPr="00422B1B" w:rsidRDefault="00422B1B" w:rsidP="00422B1B">
      <w:pPr>
        <w:rPr>
          <w:rFonts w:ascii="Arial" w:hAnsi="Arial" w:cs="Arial"/>
        </w:rPr>
      </w:pPr>
      <w:r w:rsidRPr="1484ED5D">
        <w:rPr>
          <w:rFonts w:ascii="Arial" w:hAnsi="Arial" w:cs="Arial"/>
        </w:rPr>
        <w:t>The Program will focus on HVAC contractors who have a high percentage of workers (e.g., technicians) who fall into the</w:t>
      </w:r>
      <w:r w:rsidR="00C36F3B" w:rsidRPr="1484ED5D">
        <w:rPr>
          <w:rFonts w:ascii="Arial" w:hAnsi="Arial" w:cs="Arial"/>
        </w:rPr>
        <w:t xml:space="preserve"> CPUC</w:t>
      </w:r>
      <w:r w:rsidRPr="1484ED5D">
        <w:rPr>
          <w:rFonts w:ascii="Arial" w:hAnsi="Arial" w:cs="Arial"/>
        </w:rPr>
        <w:t xml:space="preserve"> definition of “Disadvantaged Worker”</w:t>
      </w:r>
      <w:r w:rsidR="00A16045" w:rsidRPr="1484ED5D">
        <w:rPr>
          <w:rFonts w:ascii="Arial" w:hAnsi="Arial" w:cs="Arial"/>
        </w:rPr>
        <w:t xml:space="preserve">. </w:t>
      </w:r>
    </w:p>
    <w:p w14:paraId="74E7A9B2" w14:textId="200D9BE4" w:rsidR="00422B1B" w:rsidRPr="00422B1B" w:rsidRDefault="00422B1B" w:rsidP="00422B1B">
      <w:pPr>
        <w:rPr>
          <w:rFonts w:ascii="Arial" w:hAnsi="Arial" w:cs="Arial"/>
        </w:rPr>
      </w:pPr>
      <w:r w:rsidRPr="1484ED5D">
        <w:rPr>
          <w:rFonts w:ascii="Arial" w:hAnsi="Arial" w:cs="Arial"/>
        </w:rPr>
        <w:t>The Program will also</w:t>
      </w:r>
      <w:r w:rsidR="000D5059">
        <w:rPr>
          <w:rFonts w:ascii="Arial" w:hAnsi="Arial" w:cs="Arial"/>
        </w:rPr>
        <w:t xml:space="preserve"> perform anal</w:t>
      </w:r>
      <w:r w:rsidR="006F405A">
        <w:rPr>
          <w:rFonts w:ascii="Arial" w:hAnsi="Arial" w:cs="Arial"/>
        </w:rPr>
        <w:t>yses to</w:t>
      </w:r>
      <w:r w:rsidR="00B66C6D">
        <w:rPr>
          <w:rFonts w:ascii="Arial" w:hAnsi="Arial" w:cs="Arial"/>
        </w:rPr>
        <w:t xml:space="preserve"> identify and</w:t>
      </w:r>
      <w:r w:rsidRPr="1484ED5D">
        <w:rPr>
          <w:rFonts w:ascii="Arial" w:hAnsi="Arial" w:cs="Arial"/>
        </w:rPr>
        <w:t xml:space="preserve"> provide </w:t>
      </w:r>
      <w:r w:rsidR="000D5059" w:rsidRPr="00B66C6D">
        <w:rPr>
          <w:rFonts w:ascii="Arial" w:hAnsi="Arial" w:cs="Arial"/>
        </w:rPr>
        <w:t xml:space="preserve">targeted </w:t>
      </w:r>
      <w:r w:rsidRPr="00B66C6D">
        <w:rPr>
          <w:rFonts w:ascii="Arial" w:hAnsi="Arial" w:cs="Arial"/>
        </w:rPr>
        <w:t>outreach</w:t>
      </w:r>
      <w:r w:rsidRPr="1484ED5D">
        <w:rPr>
          <w:rFonts w:ascii="Arial" w:hAnsi="Arial" w:cs="Arial"/>
        </w:rPr>
        <w:t xml:space="preserve"> to HVAC contractors who are:  located in Disadvantaged Communities, DBE-certified, or a small </w:t>
      </w:r>
      <w:r w:rsidRPr="1484ED5D">
        <w:rPr>
          <w:rFonts w:ascii="Arial" w:hAnsi="Arial" w:cs="Arial"/>
        </w:rPr>
        <w:lastRenderedPageBreak/>
        <w:t>business.</w:t>
      </w:r>
      <w:r w:rsidR="00167937">
        <w:rPr>
          <w:rFonts w:ascii="Arial" w:hAnsi="Arial" w:cs="Arial"/>
        </w:rPr>
        <w:t xml:space="preserve"> This will be accomplished through </w:t>
      </w:r>
      <w:r w:rsidR="00CA5D09">
        <w:rPr>
          <w:rFonts w:ascii="Arial" w:hAnsi="Arial" w:cs="Arial"/>
        </w:rPr>
        <w:t>specialized</w:t>
      </w:r>
      <w:r w:rsidR="002B51B7" w:rsidRPr="002B51B7">
        <w:rPr>
          <w:rFonts w:ascii="Arial" w:hAnsi="Arial" w:cs="Arial"/>
        </w:rPr>
        <w:t xml:space="preserve"> value propositions and cross-promotions delivered through multi-channel communications</w:t>
      </w:r>
      <w:r w:rsidR="00CA5D09">
        <w:rPr>
          <w:rFonts w:ascii="Arial" w:hAnsi="Arial" w:cs="Arial"/>
        </w:rPr>
        <w:t xml:space="preserve"> specifically intended to </w:t>
      </w:r>
      <w:r w:rsidR="00B067E1">
        <w:rPr>
          <w:rFonts w:ascii="Arial" w:hAnsi="Arial" w:cs="Arial"/>
        </w:rPr>
        <w:t xml:space="preserve">promote </w:t>
      </w:r>
      <w:r w:rsidR="00622752">
        <w:rPr>
          <w:rFonts w:ascii="Arial" w:hAnsi="Arial" w:cs="Arial"/>
        </w:rPr>
        <w:t xml:space="preserve">the benefits of </w:t>
      </w:r>
      <w:r w:rsidR="00622752" w:rsidRPr="00622752">
        <w:rPr>
          <w:rFonts w:ascii="Arial" w:hAnsi="Arial" w:cs="Arial"/>
        </w:rPr>
        <w:t>quality HVAC services within the</w:t>
      </w:r>
      <w:r w:rsidR="00443D78">
        <w:rPr>
          <w:rFonts w:ascii="Arial" w:hAnsi="Arial" w:cs="Arial"/>
        </w:rPr>
        <w:t xml:space="preserve">se targeted </w:t>
      </w:r>
      <w:r w:rsidR="003A0150">
        <w:rPr>
          <w:rFonts w:ascii="Arial" w:hAnsi="Arial" w:cs="Arial"/>
        </w:rPr>
        <w:t>demographics</w:t>
      </w:r>
      <w:r w:rsidR="00443D78">
        <w:rPr>
          <w:rFonts w:ascii="Arial" w:hAnsi="Arial" w:cs="Arial"/>
        </w:rPr>
        <w:t>.</w:t>
      </w:r>
      <w:r w:rsidR="003A0150">
        <w:rPr>
          <w:rFonts w:ascii="Arial" w:hAnsi="Arial" w:cs="Arial"/>
        </w:rPr>
        <w:t xml:space="preserve"> </w:t>
      </w:r>
      <w:r w:rsidRPr="1484ED5D">
        <w:rPr>
          <w:rFonts w:ascii="Arial" w:hAnsi="Arial" w:cs="Arial"/>
        </w:rPr>
        <w:t>This will present challenges—it would surely be easier to identify the few very large HVAC contractors in the state to get a large number of installations with minimum outreach effort, but such an approach would fail to transform the market. To advance participating HVAC Contractors’ quality services, the Program intends to actively seek out this previously untapped part of the market.</w:t>
      </w:r>
    </w:p>
    <w:p w14:paraId="4A223423" w14:textId="4DDF7974" w:rsidR="00DA7126" w:rsidRPr="005C4984" w:rsidRDefault="00422B1B" w:rsidP="00DA7126">
      <w:pPr>
        <w:rPr>
          <w:rFonts w:ascii="Arial" w:hAnsi="Arial" w:cs="Arial"/>
        </w:rPr>
      </w:pPr>
      <w:r w:rsidRPr="00422B1B">
        <w:rPr>
          <w:rFonts w:ascii="Arial" w:hAnsi="Arial" w:cs="Arial"/>
        </w:rPr>
        <w:t>The team seeks to deliver a program that can address the intersectional barriers inhibiting disadvantaged workers and businesses from participating in the energy efficiency industry. Disadvantaged communities are heterogeneous, with potentially different geographic and social factors that can be defined in a variety of ways.</w:t>
      </w:r>
    </w:p>
    <w:p w14:paraId="72C1BD76" w14:textId="77777777" w:rsidR="00683EEF" w:rsidRPr="0005195F" w:rsidRDefault="00683EEF" w:rsidP="0005195F">
      <w:pPr>
        <w:pStyle w:val="ListParagraph"/>
        <w:numPr>
          <w:ilvl w:val="0"/>
          <w:numId w:val="4"/>
        </w:numPr>
        <w:spacing w:before="120" w:after="120" w:line="240" w:lineRule="auto"/>
        <w:outlineLvl w:val="1"/>
        <w:rPr>
          <w:rFonts w:ascii="Arial" w:eastAsiaTheme="minorEastAsia" w:hAnsi="Arial"/>
          <w:bCs/>
          <w:iCs/>
          <w:color w:val="32476E"/>
          <w:spacing w:val="10"/>
          <w:sz w:val="24"/>
          <w:u w:val="single"/>
        </w:rPr>
      </w:pPr>
      <w:bookmarkStart w:id="32" w:name="_Toc129168575"/>
      <w:r w:rsidRPr="0005195F">
        <w:rPr>
          <w:rFonts w:ascii="Arial" w:eastAsiaTheme="minorEastAsia" w:hAnsi="Arial"/>
          <w:bCs/>
          <w:iCs/>
          <w:color w:val="32476E"/>
          <w:spacing w:val="10"/>
          <w:sz w:val="24"/>
          <w:u w:val="single"/>
        </w:rPr>
        <w:t>Additional information</w:t>
      </w:r>
      <w:bookmarkEnd w:id="32"/>
    </w:p>
    <w:p w14:paraId="5B16AF35" w14:textId="4A4816A0" w:rsidR="005C4984" w:rsidRPr="005C4984" w:rsidRDefault="005C4984" w:rsidP="005C4984">
      <w:r>
        <w:t>N/A</w:t>
      </w:r>
    </w:p>
    <w:p w14:paraId="738B5635" w14:textId="77777777" w:rsidR="00F96162" w:rsidRDefault="00F96162" w:rsidP="00F96162">
      <w:pPr>
        <w:pStyle w:val="Heading1"/>
        <w:rPr>
          <w:rFonts w:eastAsia="Century Gothic"/>
        </w:rPr>
      </w:pPr>
      <w:bookmarkStart w:id="33" w:name="_Toc86668837"/>
      <w:bookmarkStart w:id="34" w:name="_Toc86676179"/>
      <w:bookmarkStart w:id="35" w:name="_Toc97128860"/>
      <w:bookmarkStart w:id="36" w:name="_Toc129168576"/>
      <w:r w:rsidRPr="371F850D">
        <w:rPr>
          <w:rFonts w:eastAsia="Century Gothic"/>
        </w:rPr>
        <w:t>Supporting Documents</w:t>
      </w:r>
      <w:bookmarkEnd w:id="33"/>
      <w:bookmarkEnd w:id="34"/>
      <w:bookmarkEnd w:id="35"/>
      <w:bookmarkEnd w:id="36"/>
      <w:r w:rsidRPr="371F850D">
        <w:rPr>
          <w:rFonts w:eastAsia="Century Gothic"/>
        </w:rPr>
        <w:t xml:space="preserve"> </w:t>
      </w:r>
    </w:p>
    <w:p w14:paraId="780F6AEA" w14:textId="58E0D426" w:rsidR="009301C4" w:rsidRDefault="004A22A5" w:rsidP="00FF7E05">
      <w:pPr>
        <w:pStyle w:val="ListParagraph"/>
        <w:numPr>
          <w:ilvl w:val="0"/>
          <w:numId w:val="5"/>
        </w:numPr>
        <w:spacing w:before="120" w:after="120" w:line="240" w:lineRule="auto"/>
        <w:outlineLvl w:val="1"/>
        <w:rPr>
          <w:rFonts w:ascii="Arial" w:eastAsiaTheme="minorEastAsia" w:hAnsi="Arial"/>
          <w:bCs/>
          <w:iCs/>
          <w:color w:val="32476E"/>
          <w:spacing w:val="10"/>
          <w:sz w:val="24"/>
          <w:u w:val="single"/>
        </w:rPr>
      </w:pPr>
      <w:bookmarkStart w:id="37" w:name="_Toc129168577"/>
      <w:r w:rsidRPr="00FF7E05">
        <w:rPr>
          <w:rFonts w:ascii="Arial" w:eastAsiaTheme="minorEastAsia" w:hAnsi="Arial"/>
          <w:bCs/>
          <w:iCs/>
          <w:color w:val="32476E"/>
          <w:spacing w:val="10"/>
          <w:sz w:val="24"/>
          <w:u w:val="single"/>
        </w:rPr>
        <w:t>Program Manuals and Program Rules</w:t>
      </w:r>
      <w:bookmarkEnd w:id="37"/>
    </w:p>
    <w:p w14:paraId="101F15D8" w14:textId="150D26DC" w:rsidR="00F836F6" w:rsidRDefault="00F836F6" w:rsidP="00F836F6">
      <w:pPr>
        <w:spacing w:before="120" w:after="120" w:line="240" w:lineRule="auto"/>
        <w:outlineLvl w:val="1"/>
        <w:rPr>
          <w:rFonts w:ascii="Arial" w:hAnsi="Arial" w:cs="Arial"/>
        </w:rPr>
      </w:pPr>
      <w:r w:rsidRPr="003B6E65">
        <w:rPr>
          <w:rFonts w:ascii="Arial" w:hAnsi="Arial" w:cs="Arial"/>
        </w:rPr>
        <w:t xml:space="preserve">A summary of program processes and rules are presented below. As required, the full program </w:t>
      </w:r>
      <w:r w:rsidR="003D1B89" w:rsidRPr="003B6E65">
        <w:rPr>
          <w:rFonts w:ascii="Arial" w:hAnsi="Arial" w:cs="Arial"/>
        </w:rPr>
        <w:t>manual will be uploaded in the California Energy Data and Reporting System (CEDARS). The manual will comply with CPUC implementation plan template guidance document, V2.1, May 2020.</w:t>
      </w:r>
    </w:p>
    <w:p w14:paraId="54C9F378" w14:textId="60A65495" w:rsidR="008C3D82" w:rsidRDefault="008C3D82" w:rsidP="00F836F6">
      <w:pPr>
        <w:spacing w:before="120" w:after="120" w:line="240" w:lineRule="auto"/>
        <w:outlineLvl w:val="1"/>
        <w:rPr>
          <w:rFonts w:ascii="Arial" w:hAnsi="Arial" w:cs="Arial"/>
          <w:b/>
          <w:bCs/>
        </w:rPr>
      </w:pPr>
      <w:r w:rsidRPr="008C3D82">
        <w:rPr>
          <w:rFonts w:ascii="Arial" w:hAnsi="Arial" w:cs="Arial"/>
          <w:b/>
          <w:bCs/>
        </w:rPr>
        <w:t>Eligible Measures</w:t>
      </w:r>
    </w:p>
    <w:p w14:paraId="79DA719C" w14:textId="4F0F5E40" w:rsidR="00D47C14" w:rsidRDefault="00E905E7" w:rsidP="00D95FBA">
      <w:pPr>
        <w:pStyle w:val="ListParagraph"/>
        <w:ind w:left="0"/>
        <w:jc w:val="both"/>
        <w:rPr>
          <w:rFonts w:ascii="Arial" w:hAnsi="Arial" w:cs="Arial"/>
        </w:rPr>
      </w:pPr>
      <w:r w:rsidRPr="54C7D34A">
        <w:rPr>
          <w:rFonts w:ascii="Arial" w:hAnsi="Arial" w:cs="Arial"/>
          <w:u w:val="single"/>
        </w:rPr>
        <w:t>Site eligibility</w:t>
      </w:r>
      <w:r w:rsidRPr="54C7D34A">
        <w:rPr>
          <w:rFonts w:ascii="Arial" w:hAnsi="Arial" w:cs="Arial"/>
        </w:rPr>
        <w:t xml:space="preserve"> </w:t>
      </w:r>
      <w:r w:rsidR="00D421A8" w:rsidRPr="54C7D34A">
        <w:rPr>
          <w:rFonts w:ascii="Arial" w:hAnsi="Arial" w:cs="Arial"/>
        </w:rPr>
        <w:t>–</w:t>
      </w:r>
      <w:r w:rsidRPr="54C7D34A">
        <w:rPr>
          <w:rFonts w:ascii="Arial" w:hAnsi="Arial" w:cs="Arial"/>
        </w:rPr>
        <w:t xml:space="preserve"> </w:t>
      </w:r>
      <w:r w:rsidR="00D421A8" w:rsidRPr="00D601B8">
        <w:rPr>
          <w:rFonts w:ascii="Arial" w:hAnsi="Arial" w:cs="Arial"/>
        </w:rPr>
        <w:t>Verification of s</w:t>
      </w:r>
      <w:r w:rsidR="00105CB7" w:rsidRPr="00D601B8">
        <w:rPr>
          <w:rFonts w:ascii="Arial" w:hAnsi="Arial" w:cs="Arial"/>
        </w:rPr>
        <w:t>ites receiving services in the Program are</w:t>
      </w:r>
      <w:r w:rsidR="00D421A8" w:rsidRPr="00D601B8">
        <w:rPr>
          <w:rFonts w:ascii="Arial" w:hAnsi="Arial" w:cs="Arial"/>
        </w:rPr>
        <w:t xml:space="preserve"> </w:t>
      </w:r>
      <w:r w:rsidR="00105CB7" w:rsidRPr="00D601B8">
        <w:rPr>
          <w:rFonts w:ascii="Arial" w:hAnsi="Arial" w:cs="Arial"/>
        </w:rPr>
        <w:t>customers who hav</w:t>
      </w:r>
      <w:r w:rsidR="00D421A8" w:rsidRPr="00D601B8">
        <w:rPr>
          <w:rFonts w:ascii="Arial" w:hAnsi="Arial" w:cs="Arial"/>
        </w:rPr>
        <w:t xml:space="preserve">e </w:t>
      </w:r>
      <w:r w:rsidR="00105CB7" w:rsidRPr="00D601B8">
        <w:rPr>
          <w:rFonts w:ascii="Arial" w:hAnsi="Arial" w:cs="Arial"/>
        </w:rPr>
        <w:t>qualified to receive products and services</w:t>
      </w:r>
      <w:r w:rsidR="00936261" w:rsidRPr="00D601B8">
        <w:rPr>
          <w:rFonts w:ascii="Arial" w:hAnsi="Arial" w:cs="Arial"/>
        </w:rPr>
        <w:t xml:space="preserve"> will take place </w:t>
      </w:r>
      <w:r w:rsidR="00105CB7" w:rsidRPr="00D601B8">
        <w:rPr>
          <w:rFonts w:ascii="Arial" w:hAnsi="Arial" w:cs="Arial"/>
        </w:rPr>
        <w:t>through review and approval</w:t>
      </w:r>
      <w:r w:rsidR="00D421A8" w:rsidRPr="00D601B8">
        <w:rPr>
          <w:rFonts w:ascii="Arial" w:hAnsi="Arial" w:cs="Arial"/>
        </w:rPr>
        <w:t xml:space="preserve"> </w:t>
      </w:r>
      <w:r w:rsidR="00105CB7" w:rsidRPr="00D601B8">
        <w:rPr>
          <w:rFonts w:ascii="Arial" w:hAnsi="Arial" w:cs="Arial"/>
        </w:rPr>
        <w:t>of a Site</w:t>
      </w:r>
      <w:r w:rsidR="00936261" w:rsidRPr="00D601B8">
        <w:rPr>
          <w:rFonts w:ascii="Arial" w:hAnsi="Arial" w:cs="Arial"/>
        </w:rPr>
        <w:t xml:space="preserve"> </w:t>
      </w:r>
      <w:r w:rsidR="00105CB7" w:rsidRPr="00D601B8">
        <w:rPr>
          <w:rFonts w:ascii="Arial" w:hAnsi="Arial" w:cs="Arial"/>
        </w:rPr>
        <w:t>Eligibility Application.</w:t>
      </w:r>
      <w:r w:rsidR="00105CB7" w:rsidRPr="54C7D34A">
        <w:rPr>
          <w:rFonts w:ascii="Arial" w:hAnsi="Arial" w:cs="Arial"/>
        </w:rPr>
        <w:t xml:space="preserve"> This document shall record Program participation, facilitate</w:t>
      </w:r>
      <w:r w:rsidR="0059489F" w:rsidRPr="54C7D34A">
        <w:rPr>
          <w:rFonts w:ascii="Arial" w:hAnsi="Arial" w:cs="Arial"/>
        </w:rPr>
        <w:t xml:space="preserve"> </w:t>
      </w:r>
      <w:r w:rsidR="00105CB7" w:rsidRPr="54C7D34A">
        <w:rPr>
          <w:rFonts w:ascii="Arial" w:hAnsi="Arial" w:cs="Arial"/>
        </w:rPr>
        <w:t>easy completion, and contain relevant customer information, including at a minimum:</w:t>
      </w:r>
      <w:r w:rsidR="0059489F" w:rsidRPr="54C7D34A">
        <w:rPr>
          <w:rFonts w:ascii="Arial" w:hAnsi="Arial" w:cs="Arial"/>
        </w:rPr>
        <w:t xml:space="preserve"> </w:t>
      </w:r>
      <w:r w:rsidR="00105CB7" w:rsidRPr="54C7D34A">
        <w:rPr>
          <w:rFonts w:ascii="Arial" w:hAnsi="Arial" w:cs="Arial"/>
        </w:rPr>
        <w:t>Customer</w:t>
      </w:r>
      <w:r w:rsidR="0059489F" w:rsidRPr="54C7D34A">
        <w:rPr>
          <w:rFonts w:ascii="Arial" w:hAnsi="Arial" w:cs="Arial"/>
        </w:rPr>
        <w:t xml:space="preserve"> </w:t>
      </w:r>
      <w:r w:rsidR="00105CB7" w:rsidRPr="54C7D34A">
        <w:rPr>
          <w:rFonts w:ascii="Arial" w:hAnsi="Arial" w:cs="Arial"/>
        </w:rPr>
        <w:t>Name, Address, E-mail Address and Phone Number, Service Account Number,</w:t>
      </w:r>
      <w:r w:rsidR="0059489F" w:rsidRPr="54C7D34A">
        <w:rPr>
          <w:rFonts w:ascii="Arial" w:hAnsi="Arial" w:cs="Arial"/>
        </w:rPr>
        <w:t xml:space="preserve"> </w:t>
      </w:r>
      <w:r w:rsidR="00105CB7" w:rsidRPr="54C7D34A">
        <w:rPr>
          <w:rFonts w:ascii="Arial" w:hAnsi="Arial" w:cs="Arial"/>
        </w:rPr>
        <w:t>and information</w:t>
      </w:r>
      <w:r w:rsidR="0059489F" w:rsidRPr="54C7D34A">
        <w:rPr>
          <w:rFonts w:ascii="Arial" w:hAnsi="Arial" w:cs="Arial"/>
        </w:rPr>
        <w:t xml:space="preserve"> </w:t>
      </w:r>
      <w:r w:rsidR="00105CB7" w:rsidRPr="54C7D34A">
        <w:rPr>
          <w:rFonts w:ascii="Arial" w:hAnsi="Arial" w:cs="Arial"/>
        </w:rPr>
        <w:t>needed to assess DAC and HTR status.</w:t>
      </w:r>
      <w:r w:rsidR="00F261FE" w:rsidRPr="54C7D34A">
        <w:rPr>
          <w:rFonts w:ascii="Arial" w:hAnsi="Arial" w:cs="Arial"/>
        </w:rPr>
        <w:t xml:space="preserve">  </w:t>
      </w:r>
      <w:r w:rsidR="00D47C14" w:rsidRPr="54C7D34A">
        <w:rPr>
          <w:rFonts w:ascii="Arial" w:hAnsi="Arial" w:cs="Arial"/>
        </w:rPr>
        <w:t xml:space="preserve">All </w:t>
      </w:r>
      <w:r w:rsidR="00CB5F88" w:rsidRPr="54C7D34A">
        <w:rPr>
          <w:rFonts w:ascii="Arial" w:hAnsi="Arial" w:cs="Arial"/>
        </w:rPr>
        <w:t xml:space="preserve">residential single and multifamily </w:t>
      </w:r>
      <w:r w:rsidR="00AE4264" w:rsidRPr="54C7D34A">
        <w:rPr>
          <w:rFonts w:ascii="Arial" w:hAnsi="Arial" w:cs="Arial"/>
        </w:rPr>
        <w:t>buildings</w:t>
      </w:r>
      <w:r w:rsidR="00CB5F88" w:rsidRPr="54C7D34A">
        <w:rPr>
          <w:rFonts w:ascii="Arial" w:hAnsi="Arial" w:cs="Arial"/>
        </w:rPr>
        <w:t xml:space="preserve"> in California’s IOUs’ service territories are </w:t>
      </w:r>
      <w:r w:rsidR="00D95FBA" w:rsidRPr="54C7D34A">
        <w:rPr>
          <w:rFonts w:ascii="Arial" w:hAnsi="Arial" w:cs="Arial"/>
        </w:rPr>
        <w:t>e</w:t>
      </w:r>
      <w:r w:rsidR="00AE4264" w:rsidRPr="54C7D34A">
        <w:rPr>
          <w:rFonts w:ascii="Arial" w:hAnsi="Arial" w:cs="Arial"/>
        </w:rPr>
        <w:t>ligible sites for this program.</w:t>
      </w:r>
    </w:p>
    <w:p w14:paraId="3FD90A20" w14:textId="77777777" w:rsidR="00D06D4B" w:rsidRDefault="00D06D4B" w:rsidP="0059489F">
      <w:pPr>
        <w:pStyle w:val="ListParagraph"/>
        <w:ind w:left="504" w:right="216" w:hanging="504"/>
        <w:jc w:val="both"/>
        <w:rPr>
          <w:rFonts w:ascii="Arial" w:hAnsi="Arial" w:cs="Arial"/>
        </w:rPr>
      </w:pPr>
    </w:p>
    <w:p w14:paraId="245C3645" w14:textId="1CE801B6" w:rsidR="008706EA" w:rsidRDefault="008C72BE" w:rsidP="00D17FC7">
      <w:pPr>
        <w:pStyle w:val="ListParagraph"/>
        <w:ind w:left="504" w:right="216" w:hanging="504"/>
        <w:rPr>
          <w:rFonts w:eastAsia="Calibri" w:cs="Calibri"/>
          <w:sz w:val="24"/>
          <w:szCs w:val="24"/>
        </w:rPr>
      </w:pPr>
      <w:r w:rsidRPr="0084263B">
        <w:rPr>
          <w:rFonts w:ascii="Arial" w:hAnsi="Arial" w:cs="Arial"/>
          <w:u w:val="single"/>
        </w:rPr>
        <w:t>Participant (Contractor)</w:t>
      </w:r>
      <w:r w:rsidR="00D06D4B" w:rsidRPr="0084263B">
        <w:rPr>
          <w:rFonts w:ascii="Arial" w:hAnsi="Arial" w:cs="Arial"/>
          <w:u w:val="single"/>
        </w:rPr>
        <w:t xml:space="preserve"> eligibility</w:t>
      </w:r>
      <w:r w:rsidR="00D06D4B">
        <w:rPr>
          <w:rFonts w:ascii="Arial" w:hAnsi="Arial" w:cs="Arial"/>
        </w:rPr>
        <w:t xml:space="preserve"> –</w:t>
      </w:r>
    </w:p>
    <w:p w14:paraId="77968690" w14:textId="77777777" w:rsidR="008706EA" w:rsidRPr="00B211EC" w:rsidRDefault="008706EA" w:rsidP="00B211EC">
      <w:pPr>
        <w:pStyle w:val="ListParagraph"/>
        <w:ind w:left="504" w:right="216" w:hanging="504"/>
        <w:rPr>
          <w:rFonts w:ascii="Arial" w:hAnsi="Arial" w:cs="Arial"/>
        </w:rPr>
      </w:pPr>
    </w:p>
    <w:p w14:paraId="72A7AA64" w14:textId="77777777" w:rsidR="008A74F5" w:rsidRDefault="00A84166" w:rsidP="008A74F5">
      <w:pPr>
        <w:pStyle w:val="ListParagraph"/>
        <w:ind w:left="504" w:right="216" w:hanging="504"/>
        <w:jc w:val="both"/>
        <w:rPr>
          <w:rFonts w:ascii="Arial" w:hAnsi="Arial" w:cs="Arial"/>
        </w:rPr>
      </w:pPr>
      <w:r w:rsidRPr="1484ED5D">
        <w:rPr>
          <w:rFonts w:ascii="Arial" w:hAnsi="Arial" w:cs="Arial"/>
        </w:rPr>
        <w:t>At a minimum, participants will be required to be licensed C-20 contractors</w:t>
      </w:r>
      <w:r w:rsidR="008B1E22">
        <w:rPr>
          <w:rFonts w:ascii="Arial" w:hAnsi="Arial" w:cs="Arial"/>
        </w:rPr>
        <w:t xml:space="preserve"> This will </w:t>
      </w:r>
      <w:proofErr w:type="gramStart"/>
      <w:r w:rsidR="008B1E22">
        <w:rPr>
          <w:rFonts w:ascii="Arial" w:hAnsi="Arial" w:cs="Arial"/>
        </w:rPr>
        <w:t>be</w:t>
      </w:r>
      <w:proofErr w:type="gramEnd"/>
      <w:r w:rsidR="008B1E22">
        <w:rPr>
          <w:rFonts w:ascii="Arial" w:hAnsi="Arial" w:cs="Arial"/>
        </w:rPr>
        <w:t xml:space="preserve"> </w:t>
      </w:r>
    </w:p>
    <w:p w14:paraId="64E5D06A" w14:textId="59CB9889" w:rsidR="00A84166" w:rsidRDefault="008B1E22" w:rsidP="008A74F5">
      <w:pPr>
        <w:pStyle w:val="ListParagraph"/>
        <w:ind w:left="504" w:right="216" w:hanging="504"/>
        <w:jc w:val="both"/>
        <w:rPr>
          <w:rFonts w:ascii="Arial" w:hAnsi="Arial" w:cs="Arial"/>
        </w:rPr>
      </w:pPr>
      <w:r>
        <w:rPr>
          <w:rFonts w:ascii="Arial" w:hAnsi="Arial" w:cs="Arial"/>
        </w:rPr>
        <w:t xml:space="preserve">verified by the </w:t>
      </w:r>
      <w:r w:rsidR="00F53C0E">
        <w:rPr>
          <w:rFonts w:ascii="Arial" w:hAnsi="Arial" w:cs="Arial"/>
        </w:rPr>
        <w:t>program implementor during initial contractor enrollment</w:t>
      </w:r>
      <w:r w:rsidR="00A84166" w:rsidRPr="1484ED5D">
        <w:rPr>
          <w:rFonts w:ascii="Arial" w:hAnsi="Arial" w:cs="Arial"/>
        </w:rPr>
        <w:t xml:space="preserve">. </w:t>
      </w:r>
      <w:r w:rsidR="00C534ED" w:rsidRPr="1484ED5D">
        <w:rPr>
          <w:rFonts w:ascii="Arial" w:hAnsi="Arial" w:cs="Arial"/>
        </w:rPr>
        <w:t>The contractor</w:t>
      </w:r>
    </w:p>
    <w:p w14:paraId="5FCE148F" w14:textId="4BDE7940" w:rsidR="00D06D4B" w:rsidRDefault="00C534ED" w:rsidP="008A74F5">
      <w:pPr>
        <w:pStyle w:val="ListParagraph"/>
        <w:ind w:left="504" w:right="216" w:hanging="504"/>
        <w:jc w:val="both"/>
        <w:rPr>
          <w:rFonts w:ascii="Arial" w:hAnsi="Arial" w:cs="Arial"/>
        </w:rPr>
      </w:pPr>
      <w:r w:rsidRPr="00A84166">
        <w:rPr>
          <w:rFonts w:ascii="Arial" w:hAnsi="Arial" w:cs="Arial"/>
        </w:rPr>
        <w:t>must</w:t>
      </w:r>
      <w:r w:rsidR="0093709D" w:rsidRPr="00A84166">
        <w:rPr>
          <w:rFonts w:ascii="Arial" w:hAnsi="Arial" w:cs="Arial"/>
        </w:rPr>
        <w:t xml:space="preserve"> </w:t>
      </w:r>
      <w:r w:rsidR="00A84166">
        <w:rPr>
          <w:rFonts w:ascii="Arial" w:hAnsi="Arial" w:cs="Arial"/>
        </w:rPr>
        <w:t>also meet the following CPUC requirements:</w:t>
      </w:r>
    </w:p>
    <w:p w14:paraId="33040362" w14:textId="77777777" w:rsidR="00A84166" w:rsidRDefault="00A84166" w:rsidP="00A84166">
      <w:pPr>
        <w:pStyle w:val="ListParagraph"/>
        <w:ind w:left="504" w:right="216" w:hanging="504"/>
        <w:rPr>
          <w:rFonts w:ascii="Arial" w:hAnsi="Arial" w:cs="Arial"/>
        </w:rPr>
      </w:pPr>
    </w:p>
    <w:p w14:paraId="51E111F2" w14:textId="77777777" w:rsidR="00286169" w:rsidRDefault="00286169" w:rsidP="00286169">
      <w:pPr>
        <w:pStyle w:val="ListParagraph"/>
        <w:numPr>
          <w:ilvl w:val="0"/>
          <w:numId w:val="6"/>
        </w:numPr>
        <w:ind w:right="216"/>
        <w:rPr>
          <w:rFonts w:ascii="Arial" w:hAnsi="Arial" w:cs="Arial"/>
        </w:rPr>
      </w:pPr>
      <w:r w:rsidRPr="00286169">
        <w:rPr>
          <w:rFonts w:ascii="Arial" w:hAnsi="Arial" w:cs="Arial"/>
        </w:rPr>
        <w:t xml:space="preserve">Install all measures in accordance with all applicable federal, state, and local laws building codes, manufacturers' specifications, and permitting requirements. </w:t>
      </w:r>
    </w:p>
    <w:p w14:paraId="5A223A24" w14:textId="77777777" w:rsidR="00286169" w:rsidRDefault="00286169" w:rsidP="00286169">
      <w:pPr>
        <w:pStyle w:val="ListParagraph"/>
        <w:numPr>
          <w:ilvl w:val="0"/>
          <w:numId w:val="6"/>
        </w:numPr>
        <w:ind w:right="216"/>
        <w:rPr>
          <w:rFonts w:ascii="Arial" w:hAnsi="Arial" w:cs="Arial"/>
        </w:rPr>
      </w:pPr>
      <w:r w:rsidRPr="00286169">
        <w:rPr>
          <w:rFonts w:ascii="Arial" w:hAnsi="Arial" w:cs="Arial"/>
        </w:rPr>
        <w:t xml:space="preserve">If a contractor performs the installation or improvement, the contractor must hold the appropriate license for the work. </w:t>
      </w:r>
    </w:p>
    <w:p w14:paraId="0D2BB068" w14:textId="13294E50" w:rsidR="00043312" w:rsidRDefault="00286169" w:rsidP="00F07022">
      <w:pPr>
        <w:pStyle w:val="ListParagraph"/>
        <w:numPr>
          <w:ilvl w:val="0"/>
          <w:numId w:val="6"/>
        </w:numPr>
        <w:ind w:right="216"/>
        <w:rPr>
          <w:rFonts w:ascii="Arial" w:hAnsi="Arial" w:cs="Arial"/>
        </w:rPr>
      </w:pPr>
      <w:r w:rsidRPr="00286169">
        <w:rPr>
          <w:rFonts w:ascii="Arial" w:hAnsi="Arial" w:cs="Arial"/>
        </w:rPr>
        <w:t>A rebate or incentive can only be provided if the contractor certifies that the improvement or installation has complied with any applicable permitting requirements, including from California Building Standards Code (California Code of Regulations Title 24).</w:t>
      </w:r>
    </w:p>
    <w:p w14:paraId="64710136" w14:textId="77777777" w:rsidR="00272050" w:rsidRDefault="00043312" w:rsidP="00F07022">
      <w:pPr>
        <w:pStyle w:val="ListParagraph"/>
        <w:numPr>
          <w:ilvl w:val="0"/>
          <w:numId w:val="6"/>
        </w:numPr>
        <w:ind w:right="216"/>
        <w:rPr>
          <w:rFonts w:ascii="Arial" w:hAnsi="Arial" w:cs="Arial"/>
        </w:rPr>
      </w:pPr>
      <w:r>
        <w:rPr>
          <w:rFonts w:ascii="Arial" w:hAnsi="Arial" w:cs="Arial"/>
        </w:rPr>
        <w:lastRenderedPageBreak/>
        <w:t>I</w:t>
      </w:r>
      <w:r w:rsidR="00286169" w:rsidRPr="00286169">
        <w:rPr>
          <w:rFonts w:ascii="Arial" w:hAnsi="Arial" w:cs="Arial"/>
        </w:rPr>
        <w:t xml:space="preserve">f a contractor is the recipient of a rebate or incentive offered by an energy efficiency program specifically for the purchase or installation of air-conditioning or heat pump units, and their related fans, the rebate or incentive will be paid only if the customer or contractor provides proof of permit closure. </w:t>
      </w:r>
    </w:p>
    <w:p w14:paraId="4B592627" w14:textId="19AE50E2" w:rsidR="00A84166" w:rsidRDefault="00286169" w:rsidP="00F07022">
      <w:pPr>
        <w:pStyle w:val="ListParagraph"/>
        <w:numPr>
          <w:ilvl w:val="0"/>
          <w:numId w:val="6"/>
        </w:numPr>
        <w:ind w:right="216"/>
        <w:rPr>
          <w:rFonts w:ascii="Arial" w:hAnsi="Arial" w:cs="Arial"/>
        </w:rPr>
      </w:pPr>
      <w:r w:rsidRPr="00286169">
        <w:rPr>
          <w:rFonts w:ascii="Arial" w:hAnsi="Arial" w:cs="Arial"/>
        </w:rPr>
        <w:t>Follow workforce standards pursuant to D.18-10-008.11</w:t>
      </w:r>
    </w:p>
    <w:p w14:paraId="5AF25AB9" w14:textId="77777777" w:rsidR="00190F8E" w:rsidRDefault="00190F8E" w:rsidP="00190F8E">
      <w:pPr>
        <w:ind w:right="216"/>
        <w:rPr>
          <w:rFonts w:ascii="Arial" w:hAnsi="Arial" w:cs="Arial"/>
        </w:rPr>
      </w:pPr>
    </w:p>
    <w:p w14:paraId="6CF47227" w14:textId="5F24F3A5" w:rsidR="00D441FF" w:rsidRDefault="00190F8E" w:rsidP="00190F8E">
      <w:pPr>
        <w:ind w:right="216"/>
        <w:rPr>
          <w:rFonts w:ascii="Arial" w:hAnsi="Arial" w:cs="Arial"/>
        </w:rPr>
      </w:pPr>
      <w:r w:rsidRPr="1484ED5D">
        <w:rPr>
          <w:rFonts w:ascii="Arial" w:hAnsi="Arial" w:cs="Arial"/>
        </w:rPr>
        <w:t xml:space="preserve">Contractors shall, provide and maintain in effect the insurance policies and minimum limits of coverage specified below, and such additional coverage as may be required by Applicable Laws, with insurance companies which are authorized to do business in the state in which the services are to be performed and which have an A.M. Best's Insurance Rating of not less than A-: </w:t>
      </w:r>
      <w:r>
        <w:br/>
      </w:r>
    </w:p>
    <w:p w14:paraId="61B36BFA" w14:textId="77777777" w:rsidR="00D441FF" w:rsidRDefault="00190F8E" w:rsidP="00D441FF">
      <w:pPr>
        <w:pStyle w:val="ListParagraph"/>
        <w:numPr>
          <w:ilvl w:val="0"/>
          <w:numId w:val="14"/>
        </w:numPr>
        <w:ind w:right="216"/>
        <w:rPr>
          <w:rFonts w:ascii="Arial" w:hAnsi="Arial" w:cs="Arial"/>
        </w:rPr>
      </w:pPr>
      <w:r w:rsidRPr="00D441FF">
        <w:rPr>
          <w:rFonts w:ascii="Arial" w:hAnsi="Arial" w:cs="Arial"/>
        </w:rPr>
        <w:t xml:space="preserve">Worker's Compensation Insurance with the statutory limits required by the state having jurisdiction over Implementer's employees. </w:t>
      </w:r>
    </w:p>
    <w:p w14:paraId="16351E7E" w14:textId="77777777" w:rsidR="00D441FF" w:rsidRDefault="00190F8E" w:rsidP="00D441FF">
      <w:pPr>
        <w:pStyle w:val="ListParagraph"/>
        <w:numPr>
          <w:ilvl w:val="0"/>
          <w:numId w:val="14"/>
        </w:numPr>
        <w:ind w:right="216"/>
        <w:rPr>
          <w:rFonts w:ascii="Arial" w:hAnsi="Arial" w:cs="Arial"/>
        </w:rPr>
      </w:pPr>
      <w:r w:rsidRPr="00D441FF">
        <w:rPr>
          <w:rFonts w:ascii="Arial" w:hAnsi="Arial" w:cs="Arial"/>
        </w:rPr>
        <w:t xml:space="preserve">Employer's Liability Insurance with limits of not less than: </w:t>
      </w:r>
    </w:p>
    <w:p w14:paraId="01F10721" w14:textId="4BFF214D" w:rsidR="00D441FF" w:rsidRDefault="00190F8E" w:rsidP="00D441FF">
      <w:pPr>
        <w:pStyle w:val="ListParagraph"/>
        <w:numPr>
          <w:ilvl w:val="1"/>
          <w:numId w:val="6"/>
        </w:numPr>
        <w:ind w:right="216"/>
        <w:rPr>
          <w:rFonts w:ascii="Arial" w:hAnsi="Arial" w:cs="Arial"/>
        </w:rPr>
      </w:pPr>
      <w:r w:rsidRPr="00D441FF">
        <w:rPr>
          <w:rFonts w:ascii="Arial" w:hAnsi="Arial" w:cs="Arial"/>
        </w:rPr>
        <w:t xml:space="preserve">Bodily injury by accident - $1,000,000 each accident </w:t>
      </w:r>
    </w:p>
    <w:p w14:paraId="3AC63670" w14:textId="77777777" w:rsidR="00D441FF" w:rsidRDefault="00190F8E" w:rsidP="00D441FF">
      <w:pPr>
        <w:pStyle w:val="ListParagraph"/>
        <w:numPr>
          <w:ilvl w:val="1"/>
          <w:numId w:val="6"/>
        </w:numPr>
        <w:ind w:right="216"/>
        <w:rPr>
          <w:rFonts w:ascii="Arial" w:hAnsi="Arial" w:cs="Arial"/>
        </w:rPr>
      </w:pPr>
      <w:r w:rsidRPr="00D441FF">
        <w:rPr>
          <w:rFonts w:ascii="Arial" w:hAnsi="Arial" w:cs="Arial"/>
        </w:rPr>
        <w:t xml:space="preserve">Bodily injury by disease - $1,000,000 policy limit, and </w:t>
      </w:r>
    </w:p>
    <w:p w14:paraId="372DBD80" w14:textId="77777777" w:rsidR="00D441FF" w:rsidRDefault="00190F8E" w:rsidP="00D441FF">
      <w:pPr>
        <w:pStyle w:val="ListParagraph"/>
        <w:numPr>
          <w:ilvl w:val="1"/>
          <w:numId w:val="6"/>
        </w:numPr>
        <w:ind w:right="216"/>
        <w:rPr>
          <w:rFonts w:ascii="Arial" w:hAnsi="Arial" w:cs="Arial"/>
        </w:rPr>
      </w:pPr>
      <w:r w:rsidRPr="00D441FF">
        <w:rPr>
          <w:rFonts w:ascii="Arial" w:hAnsi="Arial" w:cs="Arial"/>
        </w:rPr>
        <w:t xml:space="preserve">Bodily injury by disease - $1,000,000 each employee. </w:t>
      </w:r>
    </w:p>
    <w:p w14:paraId="4FA78AF1" w14:textId="77777777" w:rsidR="00D441FF" w:rsidRDefault="00190F8E" w:rsidP="00D441FF">
      <w:pPr>
        <w:pStyle w:val="ListParagraph"/>
        <w:numPr>
          <w:ilvl w:val="0"/>
          <w:numId w:val="14"/>
        </w:numPr>
        <w:ind w:right="216"/>
        <w:rPr>
          <w:rFonts w:ascii="Arial" w:hAnsi="Arial" w:cs="Arial"/>
        </w:rPr>
      </w:pPr>
      <w:r w:rsidRPr="00D441FF">
        <w:rPr>
          <w:rFonts w:ascii="Arial" w:hAnsi="Arial" w:cs="Arial"/>
        </w:rPr>
        <w:t xml:space="preserve">Commercial General Liability Insurance: Per occurrence limit of not less than $1,000,000 and annual aggregate of not less than $2,000,000 exclusive of defense costs, for all coverages. </w:t>
      </w:r>
    </w:p>
    <w:p w14:paraId="29FB8C86" w14:textId="77777777" w:rsidR="00CA08B1" w:rsidRDefault="00190F8E" w:rsidP="00D441FF">
      <w:pPr>
        <w:pStyle w:val="ListParagraph"/>
        <w:numPr>
          <w:ilvl w:val="0"/>
          <w:numId w:val="14"/>
        </w:numPr>
        <w:ind w:right="216"/>
        <w:rPr>
          <w:rFonts w:ascii="Arial" w:hAnsi="Arial" w:cs="Arial"/>
        </w:rPr>
      </w:pPr>
      <w:r w:rsidRPr="00D441FF">
        <w:rPr>
          <w:rFonts w:ascii="Arial" w:hAnsi="Arial" w:cs="Arial"/>
        </w:rPr>
        <w:t xml:space="preserve">Commercial Automobile Liability Insurance Covering bodily injury and property damage with a combined single limit of not less than $1,000,000 per occurrence. </w:t>
      </w:r>
    </w:p>
    <w:p w14:paraId="5C9EF27A" w14:textId="77777777" w:rsidR="00CA08B1" w:rsidRDefault="00190F8E" w:rsidP="00D441FF">
      <w:pPr>
        <w:pStyle w:val="ListParagraph"/>
        <w:numPr>
          <w:ilvl w:val="0"/>
          <w:numId w:val="14"/>
        </w:numPr>
        <w:ind w:right="216"/>
        <w:rPr>
          <w:rFonts w:ascii="Arial" w:hAnsi="Arial" w:cs="Arial"/>
        </w:rPr>
      </w:pPr>
      <w:r w:rsidRPr="00D441FF">
        <w:rPr>
          <w:rFonts w:ascii="Arial" w:hAnsi="Arial" w:cs="Arial"/>
        </w:rPr>
        <w:t xml:space="preserve">Umbrella / Excess Liability Insurance written on an "occurrence," not a "claims-made" basis, providing coverage excess of the underlying Employer's Liability, Commercial General Liability, Pollution Liability Insurance, and Commercial Automobile Liability insurance, on terms at least as broad as the underlying coverage, with limits of not less than $10,000,000 per occurrence and in the annual aggregate. </w:t>
      </w:r>
    </w:p>
    <w:p w14:paraId="572BBFF1" w14:textId="77777777" w:rsidR="00113DBC" w:rsidRDefault="00190F8E" w:rsidP="00D441FF">
      <w:pPr>
        <w:pStyle w:val="ListParagraph"/>
        <w:numPr>
          <w:ilvl w:val="0"/>
          <w:numId w:val="14"/>
        </w:numPr>
        <w:ind w:right="216"/>
        <w:rPr>
          <w:rFonts w:ascii="Arial" w:hAnsi="Arial" w:cs="Arial"/>
        </w:rPr>
      </w:pPr>
      <w:r w:rsidRPr="00D441FF">
        <w:rPr>
          <w:rFonts w:ascii="Arial" w:hAnsi="Arial" w:cs="Arial"/>
        </w:rPr>
        <w:t xml:space="preserve">Cyber insurance covering: </w:t>
      </w:r>
    </w:p>
    <w:p w14:paraId="527BB689" w14:textId="77777777" w:rsidR="00113DBC" w:rsidRDefault="00190F8E" w:rsidP="00113DBC">
      <w:pPr>
        <w:pStyle w:val="ListParagraph"/>
        <w:numPr>
          <w:ilvl w:val="1"/>
          <w:numId w:val="6"/>
        </w:numPr>
        <w:ind w:right="216"/>
        <w:rPr>
          <w:rFonts w:ascii="Arial" w:hAnsi="Arial" w:cs="Arial"/>
        </w:rPr>
      </w:pPr>
      <w:r w:rsidRPr="00113DBC">
        <w:rPr>
          <w:rFonts w:ascii="Arial" w:hAnsi="Arial" w:cs="Arial"/>
        </w:rPr>
        <w:t xml:space="preserve">Liability arising from theft, dissemination and/or use of Confidential Information stored or transmitted in electronic form, and </w:t>
      </w:r>
    </w:p>
    <w:p w14:paraId="21B0C96E" w14:textId="506ECFB6" w:rsidR="00190F8E" w:rsidRPr="00113DBC" w:rsidRDefault="00190F8E" w:rsidP="00113DBC">
      <w:pPr>
        <w:pStyle w:val="ListParagraph"/>
        <w:numPr>
          <w:ilvl w:val="1"/>
          <w:numId w:val="6"/>
        </w:numPr>
        <w:ind w:right="216"/>
        <w:rPr>
          <w:rFonts w:ascii="Arial" w:hAnsi="Arial" w:cs="Arial"/>
        </w:rPr>
      </w:pPr>
      <w:r w:rsidRPr="00113DBC">
        <w:rPr>
          <w:rFonts w:ascii="Arial" w:hAnsi="Arial" w:cs="Arial"/>
        </w:rPr>
        <w:t>Liability arising from the introduction of a computer virus into, or otherwise causing damage to, a customer's or third person's computer, computer system, network or similar computer related property and the data, software and programs stored thereon. Such insurance will be maintained with limits of no less than $2,000,000 per claim and in the annual aggregate, and may be maintained on a stand-alone basis, or as part of any errors and omissions coverage.</w:t>
      </w:r>
    </w:p>
    <w:p w14:paraId="246C87DE" w14:textId="55D242DA" w:rsidR="00257DAD" w:rsidRDefault="005E34BE" w:rsidP="00776FD2">
      <w:pPr>
        <w:tabs>
          <w:tab w:val="left" w:pos="990"/>
        </w:tabs>
        <w:spacing w:before="123"/>
        <w:rPr>
          <w:rFonts w:ascii="Arial" w:hAnsi="Arial" w:cs="Arial"/>
        </w:rPr>
      </w:pPr>
      <w:r w:rsidRPr="0084263B">
        <w:rPr>
          <w:rFonts w:ascii="Arial" w:hAnsi="Arial" w:cs="Arial"/>
          <w:u w:val="single"/>
        </w:rPr>
        <w:t>Measure Eligibility</w:t>
      </w:r>
      <w:r>
        <w:rPr>
          <w:rFonts w:ascii="Arial" w:hAnsi="Arial" w:cs="Arial"/>
        </w:rPr>
        <w:t xml:space="preserve"> – </w:t>
      </w:r>
      <w:r w:rsidR="00024843">
        <w:rPr>
          <w:rFonts w:ascii="Arial" w:hAnsi="Arial" w:cs="Arial"/>
        </w:rPr>
        <w:t xml:space="preserve">Industry Advisory Panel </w:t>
      </w:r>
      <w:r w:rsidR="003739D9">
        <w:rPr>
          <w:rFonts w:ascii="Arial" w:hAnsi="Arial" w:cs="Arial"/>
        </w:rPr>
        <w:t>will provide guidelines to determine</w:t>
      </w:r>
      <w:r w:rsidR="00EC1C46">
        <w:rPr>
          <w:rFonts w:ascii="Arial" w:hAnsi="Arial" w:cs="Arial"/>
        </w:rPr>
        <w:t xml:space="preserve"> standards for service and measure eligibility.</w:t>
      </w:r>
    </w:p>
    <w:p w14:paraId="75F6AAF7" w14:textId="77777777" w:rsidR="0084263B" w:rsidRPr="00776FD2" w:rsidRDefault="0084263B" w:rsidP="00776FD2">
      <w:pPr>
        <w:tabs>
          <w:tab w:val="left" w:pos="990"/>
        </w:tabs>
        <w:spacing w:before="123"/>
        <w:rPr>
          <w:rFonts w:ascii="Arial" w:hAnsi="Arial" w:cs="Arial"/>
        </w:rPr>
      </w:pPr>
    </w:p>
    <w:p w14:paraId="3DF54734" w14:textId="77777777" w:rsidR="00EC3048" w:rsidRDefault="00EC3048" w:rsidP="00FF7E05">
      <w:pPr>
        <w:pStyle w:val="ListParagraph"/>
        <w:numPr>
          <w:ilvl w:val="0"/>
          <w:numId w:val="5"/>
        </w:numPr>
        <w:spacing w:before="120" w:after="120" w:line="240" w:lineRule="auto"/>
        <w:outlineLvl w:val="1"/>
        <w:rPr>
          <w:rFonts w:ascii="Arial" w:eastAsiaTheme="minorEastAsia" w:hAnsi="Arial"/>
          <w:bCs/>
          <w:iCs/>
          <w:color w:val="32476E"/>
          <w:spacing w:val="10"/>
          <w:sz w:val="24"/>
          <w:u w:val="single"/>
        </w:rPr>
      </w:pPr>
      <w:bookmarkStart w:id="38" w:name="_Toc129168578"/>
      <w:r w:rsidRPr="00FF7E05">
        <w:rPr>
          <w:rFonts w:ascii="Arial" w:eastAsiaTheme="minorEastAsia" w:hAnsi="Arial"/>
          <w:bCs/>
          <w:iCs/>
          <w:color w:val="32476E"/>
          <w:spacing w:val="10"/>
          <w:sz w:val="24"/>
          <w:u w:val="single"/>
        </w:rPr>
        <w:t>Program Theory and Program Logic Model</w:t>
      </w:r>
      <w:bookmarkEnd w:id="38"/>
    </w:p>
    <w:p w14:paraId="2DC80E7F" w14:textId="1FE5EB73" w:rsidR="00467ED0" w:rsidRDefault="00B92E9F" w:rsidP="00C156DD">
      <w:pPr>
        <w:spacing w:before="120" w:after="120" w:line="240" w:lineRule="auto"/>
        <w:outlineLvl w:val="1"/>
        <w:rPr>
          <w:rFonts w:ascii="Arial" w:eastAsiaTheme="minorEastAsia" w:hAnsi="Arial"/>
          <w:bCs/>
          <w:iCs/>
          <w:color w:val="32476E"/>
          <w:spacing w:val="10"/>
          <w:sz w:val="24"/>
          <w:u w:val="single"/>
        </w:rPr>
      </w:pPr>
      <w:r>
        <w:rPr>
          <w:rFonts w:ascii="Arial" w:eastAsiaTheme="minorEastAsia" w:hAnsi="Arial"/>
          <w:bCs/>
          <w:iCs/>
          <w:color w:val="32476E"/>
          <w:spacing w:val="10"/>
          <w:sz w:val="24"/>
          <w:u w:val="single"/>
        </w:rPr>
        <w:t>Program Theor</w:t>
      </w:r>
      <w:r w:rsidR="00363CA1">
        <w:rPr>
          <w:rFonts w:ascii="Arial" w:eastAsiaTheme="minorEastAsia" w:hAnsi="Arial"/>
          <w:bCs/>
          <w:iCs/>
          <w:color w:val="32476E"/>
          <w:spacing w:val="10"/>
          <w:sz w:val="24"/>
          <w:u w:val="single"/>
        </w:rPr>
        <w:t>y</w:t>
      </w:r>
    </w:p>
    <w:p w14:paraId="1F8BC0F4" w14:textId="5B8053B6" w:rsidR="00467ED0" w:rsidRPr="00467ED0" w:rsidRDefault="00AF3357" w:rsidP="00467ED0">
      <w:pPr>
        <w:tabs>
          <w:tab w:val="left" w:pos="990"/>
        </w:tabs>
        <w:spacing w:before="123"/>
        <w:rPr>
          <w:rFonts w:ascii="Arial" w:hAnsi="Arial" w:cs="Arial"/>
          <w:bCs/>
          <w:spacing w:val="-7"/>
        </w:rPr>
      </w:pPr>
      <w:r w:rsidRPr="00AF3357">
        <w:rPr>
          <w:rFonts w:ascii="Arial" w:hAnsi="Arial" w:cs="Arial"/>
          <w:bCs/>
          <w:spacing w:val="-1"/>
        </w:rPr>
        <w:lastRenderedPageBreak/>
        <w:t xml:space="preserve">The Statewide Residential HVAC Quality Installation and Quality Maintenance (QI/QM) Program </w:t>
      </w:r>
      <w:r w:rsidR="00467ED0" w:rsidRPr="00467ED0">
        <w:rPr>
          <w:rFonts w:ascii="Arial" w:hAnsi="Arial" w:cs="Arial"/>
          <w:bCs/>
          <w:spacing w:val="-1"/>
        </w:rPr>
        <w:t>provides multi-tiered incentives for Quality Maintenance Plans, Quality Maintenance Calls, Quality Bids, and Quality Installations and provides extra incentives, training, and tools to Quality HVAC Contractors who routinely provide higher-quality services. An Industry Advisory Panel will help determine standards for services, verification requirements, and outreach and training, particularly for HVAC Contractors who serve Disadvantaged Communities (DAC) and hard-to-reach customers.</w:t>
      </w:r>
    </w:p>
    <w:p w14:paraId="69299BF3" w14:textId="77777777" w:rsidR="000F1564" w:rsidRPr="000F1564" w:rsidRDefault="000F1564" w:rsidP="000F1564">
      <w:pPr>
        <w:tabs>
          <w:tab w:val="left" w:pos="990"/>
        </w:tabs>
        <w:spacing w:before="123"/>
        <w:rPr>
          <w:rFonts w:ascii="Arial" w:hAnsi="Arial" w:cs="Arial"/>
          <w:bCs/>
          <w:spacing w:val="-1"/>
        </w:rPr>
      </w:pPr>
      <w:r w:rsidRPr="000F1564">
        <w:rPr>
          <w:rFonts w:ascii="Arial" w:hAnsi="Arial" w:cs="Arial"/>
          <w:bCs/>
          <w:spacing w:val="-1"/>
        </w:rPr>
        <w:t>The Program objectives are to educate end-use customers on the value of quality HVAC services, provide improved training for HVAC industry contractors and technicians on providing and selling HVAC services, build partnerships with HVAC industry organizations, and improve beneficial HVAC technologies towards greater cost-effectiveness.</w:t>
      </w:r>
    </w:p>
    <w:p w14:paraId="7C50ACD0" w14:textId="77777777" w:rsidR="000F1564" w:rsidRPr="000F1564" w:rsidRDefault="000F1564" w:rsidP="000F1564">
      <w:pPr>
        <w:tabs>
          <w:tab w:val="left" w:pos="990"/>
        </w:tabs>
        <w:spacing w:before="123"/>
        <w:rPr>
          <w:rFonts w:ascii="Arial" w:hAnsi="Arial" w:cs="Arial"/>
          <w:bCs/>
          <w:spacing w:val="-1"/>
        </w:rPr>
      </w:pPr>
      <w:r w:rsidRPr="000F1564">
        <w:rPr>
          <w:rFonts w:ascii="Arial" w:hAnsi="Arial" w:cs="Arial"/>
          <w:bCs/>
          <w:spacing w:val="-1"/>
        </w:rPr>
        <w:t>The Program will do this across all four IOUs by providing education and downstream incentives directly to residential HVAC installation, service, and maintenance contractors and technicians for providing quality maintenance or installation services to residential end-use customers.</w:t>
      </w:r>
    </w:p>
    <w:p w14:paraId="6E070D07" w14:textId="77777777" w:rsidR="00467ED0" w:rsidRDefault="00467ED0" w:rsidP="00134E63"/>
    <w:p w14:paraId="7D7E4AB9" w14:textId="7B07F489" w:rsidR="00B92E9F" w:rsidRDefault="00B92E9F" w:rsidP="00C156DD">
      <w:pPr>
        <w:spacing w:before="120" w:after="120" w:line="240" w:lineRule="auto"/>
        <w:outlineLvl w:val="1"/>
        <w:rPr>
          <w:rFonts w:ascii="Arial" w:eastAsiaTheme="minorEastAsia" w:hAnsi="Arial"/>
          <w:bCs/>
          <w:iCs/>
          <w:color w:val="32476E"/>
          <w:spacing w:val="10"/>
          <w:sz w:val="24"/>
          <w:u w:val="single"/>
        </w:rPr>
      </w:pPr>
      <w:r>
        <w:rPr>
          <w:rFonts w:ascii="Arial" w:eastAsiaTheme="minorEastAsia" w:hAnsi="Arial"/>
          <w:bCs/>
          <w:iCs/>
          <w:color w:val="32476E"/>
          <w:spacing w:val="10"/>
          <w:sz w:val="24"/>
          <w:u w:val="single"/>
        </w:rPr>
        <w:t>Program Logic Model:</w:t>
      </w:r>
    </w:p>
    <w:p w14:paraId="53AE9ED2" w14:textId="5C6EFDBC" w:rsidR="008423E8" w:rsidRDefault="009B3B45" w:rsidP="00134E63">
      <w:pPr>
        <w:rPr>
          <w:rFonts w:ascii="Arial" w:eastAsiaTheme="minorEastAsia" w:hAnsi="Arial"/>
          <w:color w:val="32476E"/>
          <w:spacing w:val="10"/>
          <w:sz w:val="24"/>
          <w:u w:val="single"/>
        </w:rPr>
      </w:pPr>
      <w:r w:rsidRPr="004A065F">
        <w:rPr>
          <w:rFonts w:cstheme="minorHAnsi"/>
          <w:noProof/>
        </w:rPr>
        <w:drawing>
          <wp:inline distT="0" distB="0" distL="0" distR="0" wp14:anchorId="3A78ED15" wp14:editId="5978B04C">
            <wp:extent cx="5647788" cy="4389984"/>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7"/>
                    <a:stretch>
                      <a:fillRect/>
                    </a:stretch>
                  </pic:blipFill>
                  <pic:spPr>
                    <a:xfrm>
                      <a:off x="0" y="0"/>
                      <a:ext cx="5655765" cy="4396184"/>
                    </a:xfrm>
                    <a:prstGeom prst="rect">
                      <a:avLst/>
                    </a:prstGeom>
                  </pic:spPr>
                </pic:pic>
              </a:graphicData>
            </a:graphic>
          </wp:inline>
        </w:drawing>
      </w:r>
    </w:p>
    <w:p w14:paraId="7B763DFD" w14:textId="77777777" w:rsidR="006F5501" w:rsidRPr="00C156DD" w:rsidRDefault="006F5501" w:rsidP="00134E63"/>
    <w:p w14:paraId="36030BAC" w14:textId="063EC449" w:rsidR="00C23A35" w:rsidRDefault="00C23A35" w:rsidP="00FF7E05">
      <w:pPr>
        <w:pStyle w:val="ListParagraph"/>
        <w:numPr>
          <w:ilvl w:val="0"/>
          <w:numId w:val="5"/>
        </w:numPr>
        <w:spacing w:before="120" w:after="120" w:line="240" w:lineRule="auto"/>
        <w:outlineLvl w:val="1"/>
        <w:rPr>
          <w:rFonts w:ascii="Arial" w:eastAsiaTheme="minorEastAsia" w:hAnsi="Arial"/>
          <w:bCs/>
          <w:iCs/>
          <w:color w:val="32476E"/>
          <w:spacing w:val="10"/>
          <w:sz w:val="24"/>
          <w:u w:val="single"/>
        </w:rPr>
      </w:pPr>
      <w:bookmarkStart w:id="39" w:name="_Toc129168579"/>
      <w:r w:rsidRPr="00FF7E05">
        <w:rPr>
          <w:rFonts w:ascii="Arial" w:eastAsiaTheme="minorEastAsia" w:hAnsi="Arial"/>
          <w:bCs/>
          <w:iCs/>
          <w:color w:val="32476E"/>
          <w:spacing w:val="10"/>
          <w:sz w:val="24"/>
          <w:u w:val="single"/>
        </w:rPr>
        <w:lastRenderedPageBreak/>
        <w:t>Proc</w:t>
      </w:r>
      <w:r w:rsidR="00FF7E05">
        <w:rPr>
          <w:rFonts w:ascii="Arial" w:eastAsiaTheme="minorEastAsia" w:hAnsi="Arial"/>
          <w:bCs/>
          <w:iCs/>
          <w:color w:val="32476E"/>
          <w:spacing w:val="10"/>
          <w:sz w:val="24"/>
          <w:u w:val="single"/>
        </w:rPr>
        <w:t>e</w:t>
      </w:r>
      <w:r w:rsidRPr="00FF7E05">
        <w:rPr>
          <w:rFonts w:ascii="Arial" w:eastAsiaTheme="minorEastAsia" w:hAnsi="Arial"/>
          <w:bCs/>
          <w:iCs/>
          <w:color w:val="32476E"/>
          <w:spacing w:val="10"/>
          <w:sz w:val="24"/>
          <w:u w:val="single"/>
        </w:rPr>
        <w:t>ss Flow Chart</w:t>
      </w:r>
      <w:bookmarkEnd w:id="39"/>
      <w:r w:rsidRPr="00FF7E05">
        <w:rPr>
          <w:rFonts w:ascii="Arial" w:eastAsiaTheme="minorEastAsia" w:hAnsi="Arial"/>
          <w:bCs/>
          <w:iCs/>
          <w:color w:val="32476E"/>
          <w:spacing w:val="10"/>
          <w:sz w:val="24"/>
          <w:u w:val="single"/>
        </w:rPr>
        <w:t xml:space="preserve"> </w:t>
      </w:r>
    </w:p>
    <w:p w14:paraId="597137DD" w14:textId="6CEF5E98" w:rsidR="00940E05" w:rsidRDefault="00C456EF" w:rsidP="00134E63">
      <w:pPr>
        <w:rPr>
          <w:rFonts w:ascii="Arial" w:eastAsiaTheme="minorEastAsia" w:hAnsi="Arial"/>
          <w:color w:val="32476E"/>
          <w:spacing w:val="10"/>
          <w:sz w:val="24"/>
          <w:u w:val="single"/>
        </w:rPr>
      </w:pPr>
      <w:r>
        <w:rPr>
          <w:noProof/>
        </w:rPr>
        <w:drawing>
          <wp:inline distT="0" distB="0" distL="0" distR="0" wp14:anchorId="2A5F76A2" wp14:editId="55DDF448">
            <wp:extent cx="6366542" cy="270510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73160" cy="2707912"/>
                    </a:xfrm>
                    <a:prstGeom prst="rect">
                      <a:avLst/>
                    </a:prstGeom>
                    <a:noFill/>
                    <a:ln>
                      <a:noFill/>
                    </a:ln>
                  </pic:spPr>
                </pic:pic>
              </a:graphicData>
            </a:graphic>
          </wp:inline>
        </w:drawing>
      </w:r>
    </w:p>
    <w:p w14:paraId="7F6A3189" w14:textId="77777777" w:rsidR="00940E05" w:rsidRPr="00940E05" w:rsidRDefault="00940E05" w:rsidP="00134E63"/>
    <w:p w14:paraId="063BE7C0" w14:textId="6D7B09A5" w:rsidR="00564861" w:rsidRDefault="00471781" w:rsidP="00564861">
      <w:pPr>
        <w:pStyle w:val="ListParagraph"/>
        <w:numPr>
          <w:ilvl w:val="0"/>
          <w:numId w:val="5"/>
        </w:numPr>
        <w:spacing w:before="120" w:after="120" w:line="240" w:lineRule="auto"/>
        <w:outlineLvl w:val="1"/>
        <w:rPr>
          <w:rFonts w:ascii="Arial" w:eastAsiaTheme="minorEastAsia" w:hAnsi="Arial"/>
          <w:bCs/>
          <w:iCs/>
          <w:color w:val="32476E"/>
          <w:spacing w:val="10"/>
          <w:sz w:val="24"/>
          <w:u w:val="single"/>
        </w:rPr>
      </w:pPr>
      <w:bookmarkStart w:id="40" w:name="_Toc129168580"/>
      <w:r w:rsidRPr="00FF7E05">
        <w:rPr>
          <w:rFonts w:ascii="Arial" w:eastAsiaTheme="minorEastAsia" w:hAnsi="Arial"/>
          <w:bCs/>
          <w:iCs/>
          <w:color w:val="32476E"/>
          <w:spacing w:val="10"/>
          <w:sz w:val="24"/>
          <w:u w:val="single"/>
        </w:rPr>
        <w:t>Incentive Tables, Workpapers, Software Tools</w:t>
      </w:r>
      <w:bookmarkEnd w:id="40"/>
      <w:r w:rsidRPr="00FF7E05">
        <w:rPr>
          <w:rFonts w:ascii="Arial" w:eastAsiaTheme="minorEastAsia" w:hAnsi="Arial"/>
          <w:bCs/>
          <w:iCs/>
          <w:color w:val="32476E"/>
          <w:spacing w:val="10"/>
          <w:sz w:val="24"/>
          <w:u w:val="single"/>
        </w:rPr>
        <w:t xml:space="preserve"> </w:t>
      </w:r>
    </w:p>
    <w:p w14:paraId="47653564" w14:textId="49B40992" w:rsidR="00E73001" w:rsidRPr="00A12039" w:rsidRDefault="00E73001" w:rsidP="00E73001">
      <w:pPr>
        <w:pStyle w:val="BodyText"/>
        <w:rPr>
          <w:rFonts w:ascii="Arial" w:hAnsi="Arial" w:cs="Arial"/>
          <w:szCs w:val="22"/>
        </w:rPr>
      </w:pPr>
      <w:r w:rsidRPr="00A12039">
        <w:rPr>
          <w:rFonts w:ascii="Arial" w:hAnsi="Arial" w:cs="Arial"/>
          <w:szCs w:val="22"/>
        </w:rPr>
        <w:t xml:space="preserve">The Program will provide incentives to participating HVAC contractors who deliver quality maintenance or installation services according to program-defined standards to end-use customers. The following services will be incentivized through the Program: </w:t>
      </w:r>
    </w:p>
    <w:p w14:paraId="10BE13CC" w14:textId="77777777" w:rsidR="00E73001" w:rsidRPr="00A12039" w:rsidRDefault="00E73001" w:rsidP="00E73001">
      <w:pPr>
        <w:pStyle w:val="BodyText"/>
        <w:ind w:left="540"/>
        <w:rPr>
          <w:rFonts w:ascii="Arial" w:hAnsi="Arial" w:cs="Arial"/>
          <w:szCs w:val="22"/>
        </w:rPr>
      </w:pPr>
    </w:p>
    <w:p w14:paraId="670A441C" w14:textId="77777777" w:rsidR="00E73001" w:rsidRPr="00A12039" w:rsidRDefault="00E73001" w:rsidP="00E73001">
      <w:pPr>
        <w:pStyle w:val="BodyText"/>
        <w:numPr>
          <w:ilvl w:val="0"/>
          <w:numId w:val="22"/>
        </w:numPr>
        <w:rPr>
          <w:rFonts w:ascii="Arial" w:hAnsi="Arial" w:cs="Arial"/>
          <w:szCs w:val="22"/>
        </w:rPr>
      </w:pPr>
      <w:r w:rsidRPr="00A12039">
        <w:rPr>
          <w:rFonts w:ascii="Arial" w:hAnsi="Arial" w:cs="Arial"/>
          <w:b/>
          <w:bCs/>
          <w:szCs w:val="22"/>
        </w:rPr>
        <w:t xml:space="preserve">Quality Services: </w:t>
      </w:r>
      <w:r w:rsidRPr="00A12039">
        <w:rPr>
          <w:rFonts w:ascii="Arial" w:hAnsi="Arial" w:cs="Arial"/>
          <w:szCs w:val="22"/>
        </w:rPr>
        <w:t>upon verification, these services earn a flat incentive per bid, installation, or maintenance plan or call.</w:t>
      </w:r>
    </w:p>
    <w:p w14:paraId="0FE3DF8F" w14:textId="77777777" w:rsidR="00E73001" w:rsidRPr="00A12039" w:rsidRDefault="00E73001" w:rsidP="00E73001">
      <w:pPr>
        <w:pStyle w:val="BodyText"/>
        <w:numPr>
          <w:ilvl w:val="0"/>
          <w:numId w:val="22"/>
        </w:numPr>
        <w:rPr>
          <w:rFonts w:ascii="Arial" w:hAnsi="Arial" w:cs="Arial"/>
          <w:szCs w:val="22"/>
        </w:rPr>
      </w:pPr>
      <w:r w:rsidRPr="00A12039">
        <w:rPr>
          <w:rFonts w:ascii="Arial" w:hAnsi="Arial" w:cs="Arial"/>
          <w:b/>
          <w:bCs/>
          <w:szCs w:val="22"/>
        </w:rPr>
        <w:t>Enhanced Quality Services:</w:t>
      </w:r>
      <w:r w:rsidRPr="00A12039">
        <w:rPr>
          <w:rFonts w:ascii="Arial" w:hAnsi="Arial" w:cs="Arial"/>
          <w:szCs w:val="22"/>
        </w:rPr>
        <w:t xml:space="preserve"> Qualified HVAC contractors who provide these verified services receive an incentive that depends on the service provided, up to a per project maximum.</w:t>
      </w:r>
    </w:p>
    <w:p w14:paraId="34042E51" w14:textId="177CA9FE" w:rsidR="00E73001" w:rsidRPr="00A12039" w:rsidRDefault="00E73001" w:rsidP="00E73001">
      <w:pPr>
        <w:pStyle w:val="BodyText"/>
        <w:numPr>
          <w:ilvl w:val="0"/>
          <w:numId w:val="22"/>
        </w:numPr>
        <w:rPr>
          <w:rFonts w:ascii="Arial" w:hAnsi="Arial" w:cs="Arial"/>
          <w:szCs w:val="22"/>
        </w:rPr>
      </w:pPr>
      <w:r w:rsidRPr="00A12039">
        <w:rPr>
          <w:rFonts w:ascii="Arial" w:hAnsi="Arial" w:cs="Arial"/>
          <w:b/>
          <w:bCs/>
          <w:szCs w:val="22"/>
        </w:rPr>
        <w:t>Quality Contractor:</w:t>
      </w:r>
      <w:r w:rsidRPr="00A12039">
        <w:rPr>
          <w:rFonts w:ascii="Arial" w:hAnsi="Arial" w:cs="Arial"/>
          <w:szCs w:val="22"/>
        </w:rPr>
        <w:t xml:space="preserve"> HVAC Contractors enrolled in the program receive a flat “kicker” per bid, installation project, maintenance plan, or maintenance call – above and beyond the quality services incentives. </w:t>
      </w:r>
    </w:p>
    <w:p w14:paraId="7D9787A3" w14:textId="1DAC3F64" w:rsidR="007F395C" w:rsidRPr="00A12039" w:rsidRDefault="00E73001" w:rsidP="007F395C">
      <w:pPr>
        <w:spacing w:before="120" w:after="120" w:line="240" w:lineRule="auto"/>
        <w:outlineLvl w:val="1"/>
        <w:rPr>
          <w:rFonts w:ascii="Arial" w:eastAsia="Times New Roman" w:hAnsi="Arial" w:cs="Arial"/>
        </w:rPr>
      </w:pPr>
      <w:r w:rsidRPr="00A12039">
        <w:rPr>
          <w:rFonts w:ascii="Arial" w:eastAsia="Times New Roman" w:hAnsi="Arial" w:cs="Arial"/>
        </w:rPr>
        <w:t>Detailed incentive tables</w:t>
      </w:r>
      <w:r w:rsidR="00363CA1" w:rsidRPr="00A12039">
        <w:rPr>
          <w:rFonts w:ascii="Arial" w:eastAsia="Times New Roman" w:hAnsi="Arial" w:cs="Arial"/>
        </w:rPr>
        <w:t xml:space="preserve"> as well as information on</w:t>
      </w:r>
      <w:r w:rsidRPr="00A12039">
        <w:rPr>
          <w:rFonts w:ascii="Arial" w:eastAsia="Times New Roman" w:hAnsi="Arial" w:cs="Arial"/>
        </w:rPr>
        <w:t xml:space="preserve"> workpapers</w:t>
      </w:r>
      <w:r w:rsidR="00363CA1" w:rsidRPr="00A12039">
        <w:rPr>
          <w:rFonts w:ascii="Arial" w:eastAsia="Times New Roman" w:hAnsi="Arial" w:cs="Arial"/>
        </w:rPr>
        <w:t xml:space="preserve"> and software tools will be provided once guidelines are set by the Technical Advisory Panel.</w:t>
      </w:r>
    </w:p>
    <w:p w14:paraId="79DAF6DC" w14:textId="77777777" w:rsidR="001F5A9B" w:rsidRDefault="001F5A9B" w:rsidP="00FF7E05">
      <w:pPr>
        <w:pStyle w:val="ListParagraph"/>
        <w:numPr>
          <w:ilvl w:val="0"/>
          <w:numId w:val="5"/>
        </w:numPr>
        <w:spacing w:before="120" w:after="120" w:line="240" w:lineRule="auto"/>
        <w:outlineLvl w:val="1"/>
        <w:rPr>
          <w:rFonts w:ascii="Arial" w:eastAsiaTheme="minorEastAsia" w:hAnsi="Arial"/>
          <w:bCs/>
          <w:iCs/>
          <w:color w:val="32476E"/>
          <w:spacing w:val="10"/>
          <w:sz w:val="24"/>
          <w:u w:val="single"/>
        </w:rPr>
      </w:pPr>
      <w:bookmarkStart w:id="41" w:name="_Toc129168581"/>
      <w:r w:rsidRPr="00FF7E05">
        <w:rPr>
          <w:rFonts w:ascii="Arial" w:eastAsiaTheme="minorEastAsia" w:hAnsi="Arial"/>
          <w:bCs/>
          <w:iCs/>
          <w:color w:val="32476E"/>
          <w:spacing w:val="10"/>
          <w:sz w:val="24"/>
          <w:u w:val="single"/>
        </w:rPr>
        <w:t>Quantitative Program Targets</w:t>
      </w:r>
      <w:bookmarkEnd w:id="41"/>
    </w:p>
    <w:p w14:paraId="0F80F3D8" w14:textId="142825E1" w:rsidR="00E17DC5" w:rsidRPr="00A12039" w:rsidRDefault="00E17DC5" w:rsidP="00E17DC5">
      <w:pPr>
        <w:spacing w:before="120" w:after="120" w:line="240" w:lineRule="auto"/>
        <w:outlineLvl w:val="1"/>
        <w:rPr>
          <w:rFonts w:ascii="Arial" w:hAnsi="Arial" w:cs="Arial"/>
        </w:rPr>
      </w:pPr>
      <w:r w:rsidRPr="00A12039">
        <w:rPr>
          <w:rFonts w:ascii="Arial" w:hAnsi="Arial" w:cs="Arial"/>
        </w:rPr>
        <w:t>Quantitative program goals are listed in the following table:</w:t>
      </w:r>
    </w:p>
    <w:tbl>
      <w:tblPr>
        <w:tblW w:w="10070" w:type="dxa"/>
        <w:jc w:val="center"/>
        <w:tblLayout w:type="fixed"/>
        <w:tblCellMar>
          <w:left w:w="0" w:type="dxa"/>
          <w:right w:w="0" w:type="dxa"/>
        </w:tblCellMar>
        <w:tblLook w:val="01E0" w:firstRow="1" w:lastRow="1" w:firstColumn="1" w:lastColumn="1" w:noHBand="0" w:noVBand="0"/>
      </w:tblPr>
      <w:tblGrid>
        <w:gridCol w:w="2060"/>
        <w:gridCol w:w="3330"/>
        <w:gridCol w:w="918"/>
        <w:gridCol w:w="918"/>
        <w:gridCol w:w="918"/>
        <w:gridCol w:w="918"/>
        <w:gridCol w:w="1008"/>
      </w:tblGrid>
      <w:tr w:rsidR="002C47CF" w:rsidRPr="00B64AE8" w14:paraId="7720DF81" w14:textId="77777777">
        <w:trPr>
          <w:trHeight w:val="252"/>
          <w:tblHeader/>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F420438" w14:textId="77777777" w:rsidR="002C47CF" w:rsidRPr="00A12039" w:rsidRDefault="002C47CF">
            <w:pPr>
              <w:pStyle w:val="TableParagraph"/>
              <w:spacing w:before="128"/>
              <w:jc w:val="center"/>
              <w:rPr>
                <w:rFonts w:ascii="Arial" w:eastAsia="Times New Roman" w:hAnsi="Arial" w:cs="Arial"/>
              </w:rPr>
            </w:pPr>
            <w:r w:rsidRPr="00A12039">
              <w:rPr>
                <w:rFonts w:ascii="Arial" w:hAnsi="Arial" w:cs="Arial"/>
                <w:b/>
                <w:spacing w:val="-1"/>
              </w:rPr>
              <w:t>Quality Residential HVAC Services Goals</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2A8A30D" w14:textId="77777777" w:rsidR="002C47CF" w:rsidRPr="00A12039" w:rsidRDefault="002C47CF">
            <w:pPr>
              <w:pStyle w:val="TableParagraph"/>
              <w:spacing w:before="128"/>
              <w:jc w:val="center"/>
              <w:rPr>
                <w:rFonts w:ascii="Arial" w:hAnsi="Arial" w:cs="Arial"/>
                <w:b/>
              </w:rPr>
            </w:pPr>
            <w:r w:rsidRPr="00A12039">
              <w:rPr>
                <w:rFonts w:ascii="Arial" w:hAnsi="Arial" w:cs="Arial"/>
                <w:b/>
              </w:rPr>
              <w:t>Goal Description</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A83E0DE" w14:textId="77777777" w:rsidR="002C47CF" w:rsidRPr="00A12039" w:rsidRDefault="002C47CF">
            <w:pPr>
              <w:pStyle w:val="TableParagraph"/>
              <w:spacing w:before="128"/>
              <w:jc w:val="center"/>
              <w:rPr>
                <w:rFonts w:ascii="Arial" w:hAnsi="Arial" w:cs="Arial"/>
                <w:b/>
              </w:rPr>
            </w:pPr>
            <w:r w:rsidRPr="00A12039">
              <w:rPr>
                <w:rFonts w:ascii="Arial" w:hAnsi="Arial" w:cs="Arial"/>
                <w:b/>
              </w:rPr>
              <w:t>2023</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05698DC" w14:textId="77777777" w:rsidR="002C47CF" w:rsidRPr="00A12039" w:rsidRDefault="002C47CF">
            <w:pPr>
              <w:pStyle w:val="TableParagraph"/>
              <w:spacing w:before="128"/>
              <w:jc w:val="center"/>
              <w:rPr>
                <w:rFonts w:ascii="Arial" w:hAnsi="Arial" w:cs="Arial"/>
                <w:b/>
              </w:rPr>
            </w:pPr>
            <w:r w:rsidRPr="00A12039">
              <w:rPr>
                <w:rFonts w:ascii="Arial" w:hAnsi="Arial" w:cs="Arial"/>
                <w:b/>
              </w:rPr>
              <w:t>2024</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533258E" w14:textId="77777777" w:rsidR="002C47CF" w:rsidRPr="00A12039" w:rsidRDefault="002C47CF">
            <w:pPr>
              <w:pStyle w:val="TableParagraph"/>
              <w:spacing w:before="128"/>
              <w:jc w:val="center"/>
              <w:rPr>
                <w:rFonts w:ascii="Arial" w:hAnsi="Arial" w:cs="Arial"/>
                <w:b/>
              </w:rPr>
            </w:pPr>
            <w:r w:rsidRPr="00A12039">
              <w:rPr>
                <w:rFonts w:ascii="Arial" w:hAnsi="Arial" w:cs="Arial"/>
                <w:b/>
              </w:rPr>
              <w:t>2025</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634BF88" w14:textId="77777777" w:rsidR="002C47CF" w:rsidRPr="00A12039" w:rsidRDefault="002C47CF">
            <w:pPr>
              <w:pStyle w:val="TableParagraph"/>
              <w:spacing w:before="128"/>
              <w:jc w:val="center"/>
              <w:rPr>
                <w:rFonts w:ascii="Arial" w:hAnsi="Arial" w:cs="Arial"/>
                <w:b/>
              </w:rPr>
            </w:pPr>
            <w:r w:rsidRPr="00A12039">
              <w:rPr>
                <w:rFonts w:ascii="Arial" w:hAnsi="Arial" w:cs="Arial"/>
                <w:b/>
              </w:rPr>
              <w:t>2026</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0A4A37D" w14:textId="77777777" w:rsidR="002C47CF" w:rsidRPr="00A12039" w:rsidRDefault="002C47CF">
            <w:pPr>
              <w:pStyle w:val="TableParagraph"/>
              <w:spacing w:before="128"/>
              <w:jc w:val="center"/>
              <w:rPr>
                <w:rFonts w:ascii="Arial" w:hAnsi="Arial" w:cs="Arial"/>
                <w:b/>
              </w:rPr>
            </w:pPr>
            <w:r w:rsidRPr="00A12039">
              <w:rPr>
                <w:rFonts w:ascii="Arial" w:hAnsi="Arial" w:cs="Arial"/>
                <w:b/>
              </w:rPr>
              <w:t>Total</w:t>
            </w:r>
          </w:p>
        </w:tc>
      </w:tr>
      <w:tr w:rsidR="002C47CF" w:rsidRPr="00B64AE8" w14:paraId="50FF9931"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2B43AF" w14:textId="77777777" w:rsidR="002C47CF" w:rsidRPr="00A12039" w:rsidRDefault="002C47CF" w:rsidP="002C47CF">
            <w:pPr>
              <w:pStyle w:val="TableParagraph"/>
              <w:numPr>
                <w:ilvl w:val="0"/>
                <w:numId w:val="21"/>
              </w:numPr>
              <w:spacing w:line="274" w:lineRule="exact"/>
              <w:ind w:left="288" w:right="280" w:hanging="288"/>
              <w:rPr>
                <w:rFonts w:ascii="Arial" w:hAnsi="Arial" w:cs="Arial"/>
              </w:rPr>
            </w:pPr>
            <w:r w:rsidRPr="00A12039">
              <w:rPr>
                <w:rFonts w:ascii="Arial" w:hAnsi="Arial" w:cs="Arial"/>
                <w:color w:val="000000"/>
              </w:rPr>
              <w:t>Program Performance: Sub-Objective #5: Access to capital</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D07919" w14:textId="10A37CB3" w:rsidR="002C47CF" w:rsidRPr="00A12039" w:rsidRDefault="002C47CF">
            <w:pPr>
              <w:rPr>
                <w:rFonts w:ascii="Arial" w:hAnsi="Arial" w:cs="Arial"/>
              </w:rPr>
            </w:pPr>
            <w:r w:rsidRPr="00A12039">
              <w:rPr>
                <w:rFonts w:ascii="Arial" w:hAnsi="Arial" w:cs="Arial"/>
                <w:color w:val="000000"/>
              </w:rPr>
              <w:t xml:space="preserve">Number of incentivized services provided to customers.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C29CD4" w14:textId="77777777" w:rsidR="002C47CF" w:rsidRPr="00A12039" w:rsidRDefault="002C47CF">
            <w:pPr>
              <w:jc w:val="center"/>
              <w:rPr>
                <w:rFonts w:ascii="Arial" w:hAnsi="Arial" w:cs="Arial"/>
                <w:color w:val="000000"/>
              </w:rPr>
            </w:pPr>
            <w:r w:rsidRPr="00A12039">
              <w:rPr>
                <w:rFonts w:ascii="Arial" w:hAnsi="Arial" w:cs="Arial"/>
                <w:color w:val="000000"/>
              </w:rPr>
              <w:t xml:space="preserve">                2,275 </w:t>
            </w:r>
          </w:p>
          <w:p w14:paraId="52076ED2" w14:textId="77777777" w:rsidR="002C47CF" w:rsidRPr="00A12039" w:rsidRDefault="002C47CF">
            <w:pPr>
              <w:jc w:val="center"/>
              <w:rPr>
                <w:rFonts w:ascii="Arial" w:hAnsi="Arial" w:cs="Arial"/>
              </w:rPr>
            </w:pP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33473C" w14:textId="77777777" w:rsidR="002C47CF" w:rsidRPr="00A12039" w:rsidRDefault="002C47CF">
            <w:pPr>
              <w:jc w:val="center"/>
              <w:rPr>
                <w:rFonts w:ascii="Arial" w:hAnsi="Arial" w:cs="Arial"/>
                <w:color w:val="000000"/>
              </w:rPr>
            </w:pPr>
            <w:r w:rsidRPr="00A12039">
              <w:rPr>
                <w:rFonts w:ascii="Arial" w:hAnsi="Arial" w:cs="Arial"/>
                <w:color w:val="000000"/>
              </w:rPr>
              <w:t xml:space="preserve">              11,379 </w:t>
            </w:r>
          </w:p>
          <w:p w14:paraId="04406D37" w14:textId="77777777" w:rsidR="002C47CF" w:rsidRPr="00A12039" w:rsidRDefault="002C47CF">
            <w:pPr>
              <w:jc w:val="center"/>
              <w:rPr>
                <w:rFonts w:ascii="Arial" w:hAnsi="Arial" w:cs="Arial"/>
              </w:rPr>
            </w:pP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6AA9519" w14:textId="77777777" w:rsidR="002C47CF" w:rsidRPr="00A12039" w:rsidRDefault="002C47CF">
            <w:pPr>
              <w:jc w:val="center"/>
              <w:rPr>
                <w:rFonts w:ascii="Arial" w:hAnsi="Arial" w:cs="Arial"/>
                <w:color w:val="000000"/>
              </w:rPr>
            </w:pPr>
            <w:r w:rsidRPr="00A12039">
              <w:rPr>
                <w:rFonts w:ascii="Arial" w:hAnsi="Arial" w:cs="Arial"/>
                <w:color w:val="000000"/>
              </w:rPr>
              <w:t xml:space="preserve">              11,706 </w:t>
            </w:r>
          </w:p>
          <w:p w14:paraId="4926C0CE" w14:textId="77777777" w:rsidR="002C47CF" w:rsidRPr="00A12039" w:rsidRDefault="002C47CF">
            <w:pPr>
              <w:jc w:val="center"/>
              <w:rPr>
                <w:rFonts w:ascii="Arial" w:hAnsi="Arial" w:cs="Arial"/>
              </w:rPr>
            </w:pP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BF7C7E" w14:textId="77777777" w:rsidR="002C47CF" w:rsidRPr="00A12039" w:rsidRDefault="002C47CF">
            <w:pPr>
              <w:jc w:val="center"/>
              <w:rPr>
                <w:rFonts w:ascii="Arial" w:hAnsi="Arial" w:cs="Arial"/>
                <w:color w:val="000000"/>
              </w:rPr>
            </w:pPr>
            <w:r w:rsidRPr="00A12039">
              <w:rPr>
                <w:rFonts w:ascii="Arial" w:hAnsi="Arial" w:cs="Arial"/>
                <w:color w:val="000000"/>
              </w:rPr>
              <w:t xml:space="preserve">                6,826 </w:t>
            </w:r>
          </w:p>
          <w:p w14:paraId="4317EFED" w14:textId="77777777" w:rsidR="002C47CF" w:rsidRPr="00A12039" w:rsidRDefault="002C47CF">
            <w:pPr>
              <w:jc w:val="center"/>
              <w:rPr>
                <w:rFonts w:ascii="Arial" w:hAnsi="Arial" w:cs="Arial"/>
              </w:rPr>
            </w:pP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5C1E35" w14:textId="77777777" w:rsidR="002C47CF" w:rsidRPr="00A12039" w:rsidRDefault="002C47CF">
            <w:pPr>
              <w:jc w:val="center"/>
              <w:rPr>
                <w:rFonts w:ascii="Arial" w:hAnsi="Arial" w:cs="Arial"/>
                <w:b/>
              </w:rPr>
            </w:pPr>
            <w:r w:rsidRPr="00A12039">
              <w:rPr>
                <w:rFonts w:ascii="Arial" w:hAnsi="Arial" w:cs="Arial"/>
                <w:color w:val="000000"/>
              </w:rPr>
              <w:t>32,186</w:t>
            </w:r>
          </w:p>
        </w:tc>
      </w:tr>
      <w:tr w:rsidR="002C47CF" w:rsidRPr="00B64AE8" w14:paraId="4AA790D3"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A4C0A4" w14:textId="77777777" w:rsidR="002C47CF" w:rsidRPr="00A12039" w:rsidRDefault="002C47CF" w:rsidP="002C47CF">
            <w:pPr>
              <w:pStyle w:val="TableParagraph"/>
              <w:numPr>
                <w:ilvl w:val="0"/>
                <w:numId w:val="21"/>
              </w:numPr>
              <w:spacing w:line="274" w:lineRule="exact"/>
              <w:ind w:left="288" w:right="280" w:hanging="288"/>
              <w:rPr>
                <w:rFonts w:ascii="Arial" w:hAnsi="Arial" w:cs="Arial"/>
              </w:rPr>
            </w:pPr>
            <w:r w:rsidRPr="00A12039">
              <w:rPr>
                <w:rFonts w:ascii="Arial" w:hAnsi="Arial" w:cs="Arial"/>
                <w:color w:val="000000"/>
              </w:rPr>
              <w:lastRenderedPageBreak/>
              <w:t>Program Performance: Sub-Objective #2: Supply</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7F5D98" w14:textId="6AF39593" w:rsidR="002C47CF" w:rsidRPr="00A12039" w:rsidRDefault="002C47CF">
            <w:pPr>
              <w:rPr>
                <w:rFonts w:ascii="Arial" w:hAnsi="Arial" w:cs="Arial"/>
              </w:rPr>
            </w:pPr>
            <w:r w:rsidRPr="00A12039">
              <w:rPr>
                <w:rFonts w:ascii="Arial" w:hAnsi="Arial" w:cs="Arial"/>
                <w:color w:val="000000"/>
              </w:rPr>
              <w:t xml:space="preserve">Number of licensed HVAC Contractors and/or Technicians trained on how to perform Quality Services.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36808A" w14:textId="77777777" w:rsidR="002C47CF" w:rsidRPr="00A12039" w:rsidRDefault="002C47CF">
            <w:pPr>
              <w:jc w:val="center"/>
              <w:rPr>
                <w:rFonts w:ascii="Arial" w:hAnsi="Arial" w:cs="Arial"/>
              </w:rPr>
            </w:pPr>
            <w:r w:rsidRPr="00A12039">
              <w:rPr>
                <w:rFonts w:ascii="Arial" w:hAnsi="Arial" w:cs="Arial"/>
              </w:rPr>
              <w:t>102</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EDEC53" w14:textId="77777777" w:rsidR="002C47CF" w:rsidRPr="00A12039" w:rsidRDefault="002C47CF">
            <w:pPr>
              <w:jc w:val="center"/>
              <w:rPr>
                <w:rFonts w:ascii="Arial" w:hAnsi="Arial" w:cs="Arial"/>
              </w:rPr>
            </w:pPr>
            <w:r w:rsidRPr="00A12039">
              <w:rPr>
                <w:rFonts w:ascii="Arial" w:hAnsi="Arial" w:cs="Arial"/>
              </w:rPr>
              <w:t>370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B8FFCDA" w14:textId="77777777" w:rsidR="002C47CF" w:rsidRPr="00A12039" w:rsidRDefault="002C47CF">
            <w:pPr>
              <w:jc w:val="center"/>
              <w:rPr>
                <w:rFonts w:ascii="Arial" w:hAnsi="Arial" w:cs="Arial"/>
              </w:rPr>
            </w:pPr>
            <w:r w:rsidRPr="00A12039">
              <w:rPr>
                <w:rFonts w:ascii="Arial" w:hAnsi="Arial" w:cs="Arial"/>
              </w:rPr>
              <w:t>368</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E402BA" w14:textId="77777777" w:rsidR="002C47CF" w:rsidRPr="00A12039" w:rsidRDefault="002C47CF">
            <w:pPr>
              <w:jc w:val="center"/>
              <w:rPr>
                <w:rFonts w:ascii="Arial" w:hAnsi="Arial" w:cs="Arial"/>
              </w:rPr>
            </w:pPr>
            <w:r w:rsidRPr="00A12039">
              <w:rPr>
                <w:rFonts w:ascii="Arial" w:hAnsi="Arial" w:cs="Arial"/>
              </w:rPr>
              <w:t>160</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F4950A4" w14:textId="77777777" w:rsidR="002C47CF" w:rsidRPr="00A12039" w:rsidRDefault="002C47CF">
            <w:pPr>
              <w:jc w:val="center"/>
              <w:rPr>
                <w:rFonts w:ascii="Arial" w:hAnsi="Arial" w:cs="Arial"/>
                <w:b/>
              </w:rPr>
            </w:pPr>
            <w:r w:rsidRPr="00A12039">
              <w:rPr>
                <w:rFonts w:ascii="Arial" w:hAnsi="Arial" w:cs="Arial"/>
              </w:rPr>
              <w:t>1,000</w:t>
            </w:r>
          </w:p>
        </w:tc>
      </w:tr>
      <w:tr w:rsidR="002C47CF" w:rsidRPr="00B64AE8" w14:paraId="68626A6D"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6BC20D" w14:textId="77777777" w:rsidR="002C47CF" w:rsidRPr="00A12039" w:rsidRDefault="002C47CF" w:rsidP="002C47CF">
            <w:pPr>
              <w:pStyle w:val="TableParagraph"/>
              <w:numPr>
                <w:ilvl w:val="0"/>
                <w:numId w:val="21"/>
              </w:numPr>
              <w:spacing w:line="274" w:lineRule="exact"/>
              <w:ind w:left="288" w:right="280" w:hanging="288"/>
              <w:rPr>
                <w:rFonts w:ascii="Arial" w:hAnsi="Arial" w:cs="Arial"/>
              </w:rPr>
            </w:pPr>
            <w:r w:rsidRPr="00A12039">
              <w:rPr>
                <w:rFonts w:ascii="Arial" w:hAnsi="Arial" w:cs="Arial"/>
                <w:color w:val="000000"/>
              </w:rPr>
              <w:t>Marketing: Sub-Objective #3: Partnerships</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002691" w14:textId="1DBE0B3C" w:rsidR="002C47CF" w:rsidRPr="00A12039" w:rsidRDefault="002C47CF">
            <w:pPr>
              <w:rPr>
                <w:rFonts w:ascii="Arial" w:hAnsi="Arial" w:cs="Arial"/>
              </w:rPr>
            </w:pPr>
            <w:r w:rsidRPr="00A12039">
              <w:rPr>
                <w:rFonts w:ascii="Arial" w:hAnsi="Arial" w:cs="Arial"/>
                <w:color w:val="000000"/>
              </w:rPr>
              <w:t xml:space="preserve">Number of market actors reached through partner networks and partner communications channels.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D46B34" w14:textId="77777777" w:rsidR="002C47CF" w:rsidRPr="00A12039" w:rsidRDefault="002C47CF">
            <w:pPr>
              <w:jc w:val="center"/>
              <w:rPr>
                <w:rFonts w:ascii="Arial" w:hAnsi="Arial" w:cs="Arial"/>
              </w:rPr>
            </w:pPr>
            <w:r w:rsidRPr="00A12039">
              <w:rPr>
                <w:rFonts w:ascii="Arial" w:hAnsi="Arial" w:cs="Arial"/>
                <w:color w:val="000000"/>
              </w:rPr>
              <w:t>1,733</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621A4A0" w14:textId="77777777" w:rsidR="002C47CF" w:rsidRPr="00A12039" w:rsidRDefault="002C47CF">
            <w:pPr>
              <w:jc w:val="center"/>
              <w:rPr>
                <w:rFonts w:ascii="Arial" w:hAnsi="Arial" w:cs="Arial"/>
              </w:rPr>
            </w:pPr>
            <w:r w:rsidRPr="00A12039">
              <w:rPr>
                <w:rFonts w:ascii="Arial" w:hAnsi="Arial" w:cs="Arial"/>
                <w:color w:val="000000"/>
              </w:rPr>
              <w:t>6,300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B555D5" w14:textId="77777777" w:rsidR="002C47CF" w:rsidRPr="00A12039" w:rsidRDefault="002C47CF">
            <w:pPr>
              <w:jc w:val="center"/>
              <w:rPr>
                <w:rFonts w:ascii="Arial" w:hAnsi="Arial" w:cs="Arial"/>
              </w:rPr>
            </w:pPr>
            <w:r w:rsidRPr="00A12039">
              <w:rPr>
                <w:rFonts w:ascii="Arial" w:hAnsi="Arial" w:cs="Arial"/>
                <w:color w:val="000000"/>
              </w:rPr>
              <w:t>6,300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EAA9FB2" w14:textId="77777777" w:rsidR="002C47CF" w:rsidRPr="00A12039" w:rsidRDefault="002C47CF">
            <w:pPr>
              <w:jc w:val="center"/>
              <w:rPr>
                <w:rFonts w:ascii="Arial" w:hAnsi="Arial" w:cs="Arial"/>
              </w:rPr>
            </w:pPr>
            <w:r w:rsidRPr="00A12039">
              <w:rPr>
                <w:rFonts w:ascii="Arial" w:hAnsi="Arial" w:cs="Arial"/>
                <w:color w:val="000000"/>
              </w:rPr>
              <w:t>5,775</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BD6F44" w14:textId="77777777" w:rsidR="002C47CF" w:rsidRPr="00A12039" w:rsidRDefault="002C47CF">
            <w:pPr>
              <w:jc w:val="center"/>
              <w:rPr>
                <w:rFonts w:ascii="Arial" w:hAnsi="Arial" w:cs="Arial"/>
                <w:b/>
              </w:rPr>
            </w:pPr>
            <w:r w:rsidRPr="00A12039">
              <w:rPr>
                <w:rFonts w:ascii="Arial" w:hAnsi="Arial" w:cs="Arial"/>
                <w:color w:val="000000"/>
              </w:rPr>
              <w:t>20,108</w:t>
            </w:r>
          </w:p>
        </w:tc>
      </w:tr>
      <w:tr w:rsidR="002C47CF" w:rsidRPr="00B64AE8" w14:paraId="0E727173"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99D900" w14:textId="77777777" w:rsidR="002C47CF" w:rsidRPr="00A12039" w:rsidRDefault="002C47CF" w:rsidP="002C47CF">
            <w:pPr>
              <w:pStyle w:val="TableParagraph"/>
              <w:numPr>
                <w:ilvl w:val="0"/>
                <w:numId w:val="21"/>
              </w:numPr>
              <w:spacing w:line="274" w:lineRule="exact"/>
              <w:ind w:left="288" w:right="280" w:hanging="288"/>
              <w:rPr>
                <w:rFonts w:ascii="Arial" w:hAnsi="Arial" w:cs="Arial"/>
              </w:rPr>
            </w:pPr>
            <w:r w:rsidRPr="00A12039">
              <w:rPr>
                <w:rFonts w:ascii="Arial" w:hAnsi="Arial" w:cs="Arial"/>
                <w:color w:val="000000"/>
              </w:rPr>
              <w:t>Program Performance: Sub-Objective #4: Innovation and Accessibility – Contractor Progress</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26A314" w14:textId="0AF2984F" w:rsidR="002C47CF" w:rsidRPr="00A12039" w:rsidRDefault="002C47CF">
            <w:pPr>
              <w:rPr>
                <w:rFonts w:ascii="Arial" w:hAnsi="Arial" w:cs="Arial"/>
              </w:rPr>
            </w:pPr>
            <w:r w:rsidRPr="00A12039">
              <w:rPr>
                <w:rFonts w:ascii="Arial" w:hAnsi="Arial" w:cs="Arial"/>
                <w:color w:val="000000"/>
              </w:rPr>
              <w:t xml:space="preserve">Percent of the total number of participating HVAC contractors who received an “Enhanced” or “Quality Contractor” tier incentive in the last year that previously received a lower tier incentive.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4AF414" w14:textId="77777777" w:rsidR="002C47CF" w:rsidRPr="00A12039" w:rsidRDefault="002C47CF">
            <w:pPr>
              <w:jc w:val="center"/>
              <w:rPr>
                <w:rFonts w:ascii="Arial" w:hAnsi="Arial" w:cs="Arial"/>
              </w:rPr>
            </w:pPr>
            <w:r w:rsidRPr="00A12039">
              <w:rPr>
                <w:rFonts w:ascii="Arial" w:hAnsi="Arial" w:cs="Arial"/>
                <w:color w:val="000000"/>
              </w:rPr>
              <w:t>8%</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829DD9" w14:textId="77777777" w:rsidR="002C47CF" w:rsidRPr="00A12039" w:rsidRDefault="002C47CF">
            <w:pPr>
              <w:jc w:val="center"/>
              <w:rPr>
                <w:rFonts w:ascii="Arial" w:hAnsi="Arial" w:cs="Arial"/>
              </w:rPr>
            </w:pPr>
            <w:r w:rsidRPr="00A12039">
              <w:rPr>
                <w:rFonts w:ascii="Arial" w:hAnsi="Arial" w:cs="Arial"/>
                <w:color w:val="000000"/>
              </w:rPr>
              <w:t>15%</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7EE850B" w14:textId="77777777" w:rsidR="002C47CF" w:rsidRPr="00A12039" w:rsidRDefault="002C47CF">
            <w:pPr>
              <w:jc w:val="center"/>
              <w:rPr>
                <w:rFonts w:ascii="Arial" w:hAnsi="Arial" w:cs="Arial"/>
              </w:rPr>
            </w:pPr>
            <w:r w:rsidRPr="00A12039">
              <w:rPr>
                <w:rFonts w:ascii="Arial" w:hAnsi="Arial" w:cs="Arial"/>
                <w:color w:val="000000"/>
              </w:rPr>
              <w:t>15%</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72D076" w14:textId="77777777" w:rsidR="002C47CF" w:rsidRPr="00A12039" w:rsidRDefault="002C47CF">
            <w:pPr>
              <w:jc w:val="center"/>
              <w:rPr>
                <w:rFonts w:ascii="Arial" w:hAnsi="Arial" w:cs="Arial"/>
              </w:rPr>
            </w:pPr>
            <w:r w:rsidRPr="00A12039">
              <w:rPr>
                <w:rFonts w:ascii="Arial" w:hAnsi="Arial" w:cs="Arial"/>
                <w:color w:val="000000"/>
              </w:rPr>
              <w:t>15%</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B4140F" w14:textId="77777777" w:rsidR="002C47CF" w:rsidRPr="00A12039" w:rsidRDefault="002C47CF">
            <w:pPr>
              <w:jc w:val="center"/>
              <w:rPr>
                <w:rFonts w:ascii="Arial" w:hAnsi="Arial" w:cs="Arial"/>
                <w:b/>
              </w:rPr>
            </w:pPr>
            <w:r w:rsidRPr="00A12039">
              <w:rPr>
                <w:rFonts w:ascii="Arial" w:hAnsi="Arial" w:cs="Arial"/>
                <w:color w:val="000000"/>
              </w:rPr>
              <w:t>15%</w:t>
            </w:r>
          </w:p>
        </w:tc>
      </w:tr>
      <w:tr w:rsidR="002C47CF" w:rsidRPr="00B64AE8" w14:paraId="010B1753"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76EEC4" w14:textId="77777777" w:rsidR="002C47CF" w:rsidRPr="00A12039" w:rsidRDefault="002C47CF" w:rsidP="002C47CF">
            <w:pPr>
              <w:pStyle w:val="TableParagraph"/>
              <w:numPr>
                <w:ilvl w:val="0"/>
                <w:numId w:val="21"/>
              </w:numPr>
              <w:spacing w:line="274" w:lineRule="exact"/>
              <w:ind w:left="288" w:right="280" w:hanging="288"/>
              <w:rPr>
                <w:rFonts w:ascii="Arial" w:hAnsi="Arial" w:cs="Arial"/>
              </w:rPr>
            </w:pPr>
            <w:r w:rsidRPr="00A12039">
              <w:rPr>
                <w:rFonts w:ascii="Arial" w:hAnsi="Arial" w:cs="Arial"/>
                <w:color w:val="000000"/>
              </w:rPr>
              <w:t xml:space="preserve">Compliance: Disadvantaged Workers </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B2B291" w14:textId="17C9B909" w:rsidR="002C47CF" w:rsidRPr="00A12039" w:rsidRDefault="002C47CF">
            <w:pPr>
              <w:rPr>
                <w:rFonts w:ascii="Arial" w:hAnsi="Arial" w:cs="Arial"/>
              </w:rPr>
            </w:pPr>
            <w:r w:rsidRPr="00A12039">
              <w:rPr>
                <w:rFonts w:ascii="Arial" w:hAnsi="Arial" w:cs="Arial"/>
                <w:color w:val="000000"/>
              </w:rPr>
              <w:t xml:space="preserve">Percent of services performed by workers who meet the CPUC criteria for “Disadvantaged Worker.”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792497" w14:textId="77777777" w:rsidR="002C47CF" w:rsidRPr="00A12039" w:rsidRDefault="002C47CF">
            <w:pPr>
              <w:jc w:val="center"/>
              <w:rPr>
                <w:rFonts w:ascii="Arial" w:hAnsi="Arial" w:cs="Arial"/>
              </w:rPr>
            </w:pPr>
            <w:r w:rsidRPr="00A12039">
              <w:rPr>
                <w:rFonts w:ascii="Arial" w:hAnsi="Arial" w:cs="Arial"/>
                <w:color w:val="000000"/>
              </w:rPr>
              <w:t>10%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7D8C60" w14:textId="77777777" w:rsidR="002C47CF" w:rsidRPr="00A12039" w:rsidRDefault="002C47CF">
            <w:pPr>
              <w:jc w:val="center"/>
              <w:rPr>
                <w:rFonts w:ascii="Arial" w:hAnsi="Arial" w:cs="Arial"/>
              </w:rPr>
            </w:pPr>
            <w:r w:rsidRPr="00A12039">
              <w:rPr>
                <w:rFonts w:ascii="Arial" w:hAnsi="Arial" w:cs="Arial"/>
                <w:color w:val="000000"/>
              </w:rPr>
              <w:t>20%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7EF857" w14:textId="77777777" w:rsidR="002C47CF" w:rsidRPr="00A12039" w:rsidRDefault="002C47CF">
            <w:pPr>
              <w:jc w:val="center"/>
              <w:rPr>
                <w:rFonts w:ascii="Arial" w:hAnsi="Arial" w:cs="Arial"/>
              </w:rPr>
            </w:pPr>
            <w:r w:rsidRPr="00A12039">
              <w:rPr>
                <w:rFonts w:ascii="Arial" w:hAnsi="Arial" w:cs="Arial"/>
                <w:color w:val="000000"/>
              </w:rPr>
              <w:t>20%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0A2E05" w14:textId="77777777" w:rsidR="002C47CF" w:rsidRPr="00A12039" w:rsidRDefault="002C47CF">
            <w:pPr>
              <w:jc w:val="center"/>
              <w:rPr>
                <w:rFonts w:ascii="Arial" w:hAnsi="Arial" w:cs="Arial"/>
              </w:rPr>
            </w:pPr>
            <w:r w:rsidRPr="00A12039">
              <w:rPr>
                <w:rFonts w:ascii="Arial" w:hAnsi="Arial" w:cs="Arial"/>
                <w:color w:val="000000"/>
              </w:rPr>
              <w:t>20%</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945EF1" w14:textId="77777777" w:rsidR="002C47CF" w:rsidRPr="00A12039" w:rsidRDefault="002C47CF">
            <w:pPr>
              <w:jc w:val="center"/>
              <w:rPr>
                <w:rFonts w:ascii="Arial" w:hAnsi="Arial" w:cs="Arial"/>
                <w:b/>
              </w:rPr>
            </w:pPr>
            <w:r w:rsidRPr="00A12039">
              <w:rPr>
                <w:rFonts w:ascii="Arial" w:hAnsi="Arial" w:cs="Arial"/>
                <w:color w:val="000000"/>
              </w:rPr>
              <w:t>20%</w:t>
            </w:r>
          </w:p>
        </w:tc>
      </w:tr>
      <w:tr w:rsidR="002C47CF" w:rsidRPr="00B64AE8" w14:paraId="01D57485"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A817A" w14:textId="77777777" w:rsidR="002C47CF" w:rsidRPr="00A12039" w:rsidRDefault="002C47CF" w:rsidP="002C47CF">
            <w:pPr>
              <w:pStyle w:val="TableParagraph"/>
              <w:numPr>
                <w:ilvl w:val="0"/>
                <w:numId w:val="21"/>
              </w:numPr>
              <w:spacing w:line="274" w:lineRule="exact"/>
              <w:ind w:left="288" w:right="280" w:hanging="288"/>
              <w:rPr>
                <w:rFonts w:ascii="Arial" w:hAnsi="Arial" w:cs="Arial"/>
              </w:rPr>
            </w:pPr>
            <w:r w:rsidRPr="00A12039">
              <w:rPr>
                <w:rFonts w:ascii="Arial" w:hAnsi="Arial" w:cs="Arial"/>
                <w:color w:val="000000"/>
              </w:rPr>
              <w:t>Compliance: Reporting Accuracy</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95F33F" w14:textId="77777777" w:rsidR="002C47CF" w:rsidRPr="00A12039" w:rsidRDefault="002C47CF">
            <w:pPr>
              <w:rPr>
                <w:rFonts w:ascii="Arial" w:hAnsi="Arial" w:cs="Arial"/>
              </w:rPr>
            </w:pPr>
            <w:r w:rsidRPr="00A12039">
              <w:rPr>
                <w:rFonts w:ascii="Arial" w:hAnsi="Arial" w:cs="Arial"/>
                <w:color w:val="000000"/>
              </w:rPr>
              <w:t>The variance between the monthly forecasted and actual expenditures.</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A199A1" w14:textId="77777777" w:rsidR="002C47CF" w:rsidRPr="00A12039" w:rsidRDefault="002C47CF">
            <w:pPr>
              <w:jc w:val="center"/>
              <w:rPr>
                <w:rFonts w:ascii="Arial" w:hAnsi="Arial" w:cs="Arial"/>
              </w:rPr>
            </w:pPr>
            <w:r w:rsidRPr="00A12039">
              <w:rPr>
                <w:rFonts w:ascii="Arial" w:hAnsi="Arial" w:cs="Arial"/>
                <w:color w:val="000000"/>
              </w:rPr>
              <w:t>20%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A8FA0A3" w14:textId="77777777" w:rsidR="002C47CF" w:rsidRPr="00A12039" w:rsidRDefault="002C47CF">
            <w:pPr>
              <w:jc w:val="center"/>
              <w:rPr>
                <w:rFonts w:ascii="Arial" w:hAnsi="Arial" w:cs="Arial"/>
              </w:rPr>
            </w:pPr>
            <w:r w:rsidRPr="00A12039">
              <w:rPr>
                <w:rFonts w:ascii="Arial" w:hAnsi="Arial" w:cs="Arial"/>
                <w:color w:val="000000"/>
              </w:rPr>
              <w:t>20%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3125D51" w14:textId="77777777" w:rsidR="002C47CF" w:rsidRPr="00A12039" w:rsidRDefault="002C47CF">
            <w:pPr>
              <w:jc w:val="center"/>
              <w:rPr>
                <w:rFonts w:ascii="Arial" w:hAnsi="Arial" w:cs="Arial"/>
              </w:rPr>
            </w:pPr>
            <w:r w:rsidRPr="00A12039">
              <w:rPr>
                <w:rFonts w:ascii="Arial" w:hAnsi="Arial" w:cs="Arial"/>
                <w:color w:val="000000"/>
              </w:rPr>
              <w:t>20%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92A692" w14:textId="77777777" w:rsidR="002C47CF" w:rsidRPr="00A12039" w:rsidRDefault="002C47CF">
            <w:pPr>
              <w:jc w:val="center"/>
              <w:rPr>
                <w:rFonts w:ascii="Arial" w:hAnsi="Arial" w:cs="Arial"/>
              </w:rPr>
            </w:pPr>
            <w:r w:rsidRPr="00A12039">
              <w:rPr>
                <w:rFonts w:ascii="Arial" w:hAnsi="Arial" w:cs="Arial"/>
                <w:color w:val="000000"/>
              </w:rPr>
              <w:t>20%</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0D0715" w14:textId="77777777" w:rsidR="002C47CF" w:rsidRPr="00A12039" w:rsidRDefault="002C47CF">
            <w:pPr>
              <w:jc w:val="center"/>
              <w:rPr>
                <w:rFonts w:ascii="Arial" w:hAnsi="Arial" w:cs="Arial"/>
                <w:b/>
              </w:rPr>
            </w:pPr>
            <w:r w:rsidRPr="00A12039">
              <w:rPr>
                <w:rFonts w:ascii="Arial" w:hAnsi="Arial" w:cs="Arial"/>
                <w:color w:val="000000"/>
              </w:rPr>
              <w:t>20%</w:t>
            </w:r>
          </w:p>
        </w:tc>
      </w:tr>
      <w:tr w:rsidR="002C47CF" w:rsidRPr="00B64AE8" w14:paraId="26999651"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4E3B528" w14:textId="77777777" w:rsidR="002C47CF" w:rsidRPr="00A12039" w:rsidRDefault="002C47CF" w:rsidP="002C47CF">
            <w:pPr>
              <w:pStyle w:val="ListParagraph"/>
              <w:widowControl w:val="0"/>
              <w:numPr>
                <w:ilvl w:val="0"/>
                <w:numId w:val="21"/>
              </w:numPr>
              <w:spacing w:after="0" w:line="240" w:lineRule="auto"/>
              <w:ind w:left="288" w:hanging="288"/>
              <w:contextualSpacing w:val="0"/>
              <w:rPr>
                <w:rFonts w:ascii="Arial" w:hAnsi="Arial" w:cs="Arial"/>
              </w:rPr>
            </w:pPr>
            <w:r w:rsidRPr="00A12039">
              <w:rPr>
                <w:rFonts w:ascii="Arial" w:hAnsi="Arial" w:cs="Arial"/>
                <w:color w:val="000000"/>
              </w:rPr>
              <w:t>Customer Satisfaction: Complaints Received</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A9AB21" w14:textId="77777777" w:rsidR="002C47CF" w:rsidRPr="00A12039" w:rsidRDefault="002C47CF">
            <w:pPr>
              <w:rPr>
                <w:rFonts w:ascii="Arial" w:hAnsi="Arial" w:cs="Arial"/>
              </w:rPr>
            </w:pPr>
            <w:r w:rsidRPr="00A12039">
              <w:rPr>
                <w:rFonts w:ascii="Arial" w:hAnsi="Arial" w:cs="Arial"/>
                <w:color w:val="000000"/>
              </w:rPr>
              <w:t>Number of currently enrolled HVAC contractors generating valid complaints on more than 5% of their associated projects divided by the total number of enrolled HVAC contractors program to date.</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16FB9D" w14:textId="77777777" w:rsidR="002C47CF" w:rsidRPr="00A12039" w:rsidRDefault="002C47CF">
            <w:pPr>
              <w:jc w:val="center"/>
              <w:rPr>
                <w:rFonts w:ascii="Arial" w:hAnsi="Arial" w:cs="Arial"/>
              </w:rPr>
            </w:pPr>
            <w:r w:rsidRPr="00A12039">
              <w:rPr>
                <w:rFonts w:ascii="Arial" w:hAnsi="Arial" w:cs="Arial"/>
                <w:color w:val="000000"/>
              </w:rPr>
              <w:t>2%</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BF7BB8" w14:textId="77777777" w:rsidR="002C47CF" w:rsidRPr="00A12039" w:rsidRDefault="002C47CF">
            <w:pPr>
              <w:jc w:val="center"/>
              <w:rPr>
                <w:rFonts w:ascii="Arial" w:hAnsi="Arial" w:cs="Arial"/>
              </w:rPr>
            </w:pPr>
            <w:r w:rsidRPr="00A12039">
              <w:rPr>
                <w:rFonts w:ascii="Arial" w:hAnsi="Arial" w:cs="Arial"/>
                <w:color w:val="000000"/>
              </w:rPr>
              <w:t>2%</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FA18D6" w14:textId="77777777" w:rsidR="002C47CF" w:rsidRPr="00A12039" w:rsidRDefault="002C47CF">
            <w:pPr>
              <w:jc w:val="center"/>
              <w:rPr>
                <w:rFonts w:ascii="Arial" w:hAnsi="Arial" w:cs="Arial"/>
              </w:rPr>
            </w:pPr>
            <w:r w:rsidRPr="00A12039">
              <w:rPr>
                <w:rFonts w:ascii="Arial" w:hAnsi="Arial" w:cs="Arial"/>
                <w:color w:val="000000"/>
              </w:rPr>
              <w:t>2%</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979F2A" w14:textId="77777777" w:rsidR="002C47CF" w:rsidRPr="00A12039" w:rsidRDefault="002C47CF">
            <w:pPr>
              <w:jc w:val="center"/>
              <w:rPr>
                <w:rFonts w:ascii="Arial" w:hAnsi="Arial" w:cs="Arial"/>
              </w:rPr>
            </w:pPr>
            <w:r w:rsidRPr="00A12039">
              <w:rPr>
                <w:rFonts w:ascii="Arial" w:hAnsi="Arial" w:cs="Arial"/>
                <w:color w:val="000000"/>
              </w:rPr>
              <w:t>2%</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C1C46E" w14:textId="77777777" w:rsidR="002C47CF" w:rsidRPr="00A12039" w:rsidRDefault="002C47CF">
            <w:pPr>
              <w:jc w:val="center"/>
              <w:rPr>
                <w:rFonts w:ascii="Arial" w:hAnsi="Arial" w:cs="Arial"/>
                <w:b/>
              </w:rPr>
            </w:pPr>
            <w:r w:rsidRPr="00A12039">
              <w:rPr>
                <w:rFonts w:ascii="Arial" w:hAnsi="Arial" w:cs="Arial"/>
                <w:color w:val="000000"/>
              </w:rPr>
              <w:t>2%</w:t>
            </w:r>
          </w:p>
        </w:tc>
      </w:tr>
      <w:tr w:rsidR="002C47CF" w:rsidRPr="00B64AE8" w14:paraId="60BE4EA9"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D28598B" w14:textId="77777777" w:rsidR="002C47CF" w:rsidRPr="00A12039" w:rsidRDefault="002C47CF" w:rsidP="002C47CF">
            <w:pPr>
              <w:pStyle w:val="TableParagraph"/>
              <w:numPr>
                <w:ilvl w:val="0"/>
                <w:numId w:val="21"/>
              </w:numPr>
              <w:spacing w:line="274" w:lineRule="exact"/>
              <w:ind w:left="288" w:right="280" w:hanging="288"/>
              <w:rPr>
                <w:rFonts w:ascii="Arial" w:hAnsi="Arial" w:cs="Arial"/>
              </w:rPr>
            </w:pPr>
            <w:r w:rsidRPr="00A12039">
              <w:rPr>
                <w:rFonts w:ascii="Arial" w:hAnsi="Arial" w:cs="Arial"/>
                <w:color w:val="000000"/>
              </w:rPr>
              <w:t>Compliance: Diverse Business Enterprise</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002B92" w14:textId="30CC59CC" w:rsidR="002C47CF" w:rsidRPr="00A12039" w:rsidRDefault="002C47CF">
            <w:pPr>
              <w:rPr>
                <w:rFonts w:ascii="Arial" w:hAnsi="Arial" w:cs="Arial"/>
              </w:rPr>
            </w:pPr>
            <w:r w:rsidRPr="00A12039">
              <w:rPr>
                <w:rFonts w:ascii="Arial" w:hAnsi="Arial" w:cs="Arial"/>
                <w:color w:val="000000"/>
              </w:rPr>
              <w:t xml:space="preserve">DBE spending does not include DR expenditures. </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946677" w14:textId="77777777" w:rsidR="002C47CF" w:rsidRPr="00A12039" w:rsidRDefault="002C47CF">
            <w:pPr>
              <w:jc w:val="center"/>
              <w:rPr>
                <w:rFonts w:ascii="Arial" w:hAnsi="Arial" w:cs="Arial"/>
              </w:rPr>
            </w:pPr>
            <w:r w:rsidRPr="00A12039">
              <w:rPr>
                <w:rFonts w:ascii="Arial" w:hAnsi="Arial" w:cs="Arial"/>
                <w:color w:val="000000"/>
              </w:rPr>
              <w:t>119,778</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2BC8B0" w14:textId="77777777" w:rsidR="002C47CF" w:rsidRPr="00A12039" w:rsidRDefault="002C47CF">
            <w:pPr>
              <w:jc w:val="center"/>
              <w:rPr>
                <w:rFonts w:ascii="Arial" w:hAnsi="Arial" w:cs="Arial"/>
              </w:rPr>
            </w:pPr>
            <w:r w:rsidRPr="00A12039">
              <w:rPr>
                <w:rFonts w:ascii="Arial" w:hAnsi="Arial" w:cs="Arial"/>
                <w:color w:val="000000"/>
              </w:rPr>
              <w:t>599,124</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BBEB92A" w14:textId="77777777" w:rsidR="002C47CF" w:rsidRPr="00A12039" w:rsidRDefault="002C47CF">
            <w:pPr>
              <w:jc w:val="center"/>
              <w:rPr>
                <w:rFonts w:ascii="Arial" w:hAnsi="Arial" w:cs="Arial"/>
              </w:rPr>
            </w:pPr>
            <w:r w:rsidRPr="00A12039">
              <w:rPr>
                <w:rFonts w:ascii="Arial" w:hAnsi="Arial" w:cs="Arial"/>
                <w:color w:val="000000"/>
              </w:rPr>
              <w:t>616,313</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ED2670F" w14:textId="77777777" w:rsidR="002C47CF" w:rsidRPr="00A12039" w:rsidRDefault="002C47CF">
            <w:pPr>
              <w:jc w:val="center"/>
              <w:rPr>
                <w:rFonts w:ascii="Arial" w:hAnsi="Arial" w:cs="Arial"/>
              </w:rPr>
            </w:pPr>
            <w:r w:rsidRPr="00A12039">
              <w:rPr>
                <w:rFonts w:ascii="Arial" w:hAnsi="Arial" w:cs="Arial"/>
                <w:color w:val="000000"/>
              </w:rPr>
              <w:t>359,385</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8C88C62" w14:textId="77777777" w:rsidR="002C47CF" w:rsidRPr="00A12039" w:rsidRDefault="002C47CF">
            <w:pPr>
              <w:jc w:val="center"/>
              <w:rPr>
                <w:rFonts w:ascii="Arial" w:hAnsi="Arial" w:cs="Arial"/>
                <w:b/>
              </w:rPr>
            </w:pPr>
            <w:r w:rsidRPr="00A12039">
              <w:rPr>
                <w:rFonts w:ascii="Arial" w:hAnsi="Arial" w:cs="Arial"/>
                <w:color w:val="000000"/>
              </w:rPr>
              <w:t>1,694,600</w:t>
            </w:r>
          </w:p>
        </w:tc>
      </w:tr>
      <w:tr w:rsidR="002C47CF" w:rsidRPr="00B64AE8" w14:paraId="38BE48EF"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C9909" w14:textId="77777777" w:rsidR="002C47CF" w:rsidRPr="00A12039" w:rsidRDefault="002C47CF" w:rsidP="002C47CF">
            <w:pPr>
              <w:pStyle w:val="TableParagraph"/>
              <w:numPr>
                <w:ilvl w:val="0"/>
                <w:numId w:val="21"/>
              </w:numPr>
              <w:tabs>
                <w:tab w:val="left" w:pos="360"/>
              </w:tabs>
              <w:spacing w:line="274" w:lineRule="exact"/>
              <w:ind w:left="288" w:right="274" w:hanging="288"/>
              <w:rPr>
                <w:rFonts w:ascii="Arial" w:hAnsi="Arial" w:cs="Arial"/>
              </w:rPr>
            </w:pPr>
            <w:r w:rsidRPr="00A12039">
              <w:rPr>
                <w:rFonts w:ascii="Arial" w:hAnsi="Arial" w:cs="Arial"/>
              </w:rPr>
              <w:t xml:space="preserve">Program Performance:  Sub-Objective #4: Innovation and Accessibility: </w:t>
            </w:r>
            <w:r w:rsidRPr="00A12039">
              <w:rPr>
                <w:rFonts w:ascii="Arial" w:hAnsi="Arial" w:cs="Arial"/>
              </w:rPr>
              <w:lastRenderedPageBreak/>
              <w:t>Customer Recognition of Value</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7E0D6" w14:textId="77777777" w:rsidR="002C47CF" w:rsidRPr="00A12039" w:rsidRDefault="002C47CF">
            <w:pPr>
              <w:rPr>
                <w:rFonts w:ascii="Arial" w:hAnsi="Arial" w:cs="Arial"/>
              </w:rPr>
            </w:pPr>
            <w:r w:rsidRPr="00A12039">
              <w:rPr>
                <w:rFonts w:ascii="Arial" w:hAnsi="Arial" w:cs="Arial"/>
              </w:rPr>
              <w:lastRenderedPageBreak/>
              <w:t xml:space="preserve">Average response on an annual survey of participating customers on a </w:t>
            </w:r>
            <w:proofErr w:type="spellStart"/>
            <w:r w:rsidRPr="00A12039">
              <w:rPr>
                <w:rFonts w:ascii="Arial" w:hAnsi="Arial" w:cs="Arial"/>
              </w:rPr>
              <w:t>likert</w:t>
            </w:r>
            <w:proofErr w:type="spellEnd"/>
            <w:r w:rsidRPr="00A12039">
              <w:rPr>
                <w:rFonts w:ascii="Arial" w:hAnsi="Arial" w:cs="Arial"/>
              </w:rPr>
              <w:t xml:space="preserve">-scale question (0=no value; 100=extreme value) about value received from HVAC services, MINUS baseline </w:t>
            </w:r>
            <w:r w:rsidRPr="00A12039">
              <w:rPr>
                <w:rFonts w:ascii="Arial" w:hAnsi="Arial" w:cs="Arial"/>
              </w:rPr>
              <w:lastRenderedPageBreak/>
              <w:t>response (average response of non-participant HVAC service customers in a survey conducted during program ramp up).</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A9413D" w14:textId="77777777" w:rsidR="002C47CF" w:rsidRPr="00A12039" w:rsidRDefault="002C47CF">
            <w:pPr>
              <w:jc w:val="center"/>
              <w:rPr>
                <w:rFonts w:ascii="Arial" w:hAnsi="Arial" w:cs="Arial"/>
              </w:rPr>
            </w:pPr>
            <w:r w:rsidRPr="00A12039">
              <w:rPr>
                <w:rFonts w:ascii="Arial" w:hAnsi="Arial" w:cs="Arial"/>
              </w:rPr>
              <w:lastRenderedPageBreak/>
              <w:t>N/A</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638B6A6" w14:textId="77777777" w:rsidR="002C47CF" w:rsidRPr="00A12039" w:rsidRDefault="002C47CF">
            <w:pPr>
              <w:jc w:val="center"/>
              <w:rPr>
                <w:rFonts w:ascii="Arial" w:hAnsi="Arial" w:cs="Arial"/>
              </w:rPr>
            </w:pPr>
            <w:r w:rsidRPr="00A12039">
              <w:rPr>
                <w:rFonts w:ascii="Arial" w:hAnsi="Arial" w:cs="Arial"/>
              </w:rPr>
              <w:t>10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C3D0F3" w14:textId="77777777" w:rsidR="002C47CF" w:rsidRPr="00A12039" w:rsidRDefault="002C47CF">
            <w:pPr>
              <w:jc w:val="center"/>
              <w:rPr>
                <w:rFonts w:ascii="Arial" w:hAnsi="Arial" w:cs="Arial"/>
              </w:rPr>
            </w:pPr>
            <w:r w:rsidRPr="00A12039">
              <w:rPr>
                <w:rFonts w:ascii="Arial" w:hAnsi="Arial" w:cs="Arial"/>
              </w:rPr>
              <w:t>10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B33E187" w14:textId="77777777" w:rsidR="002C47CF" w:rsidRPr="00A12039" w:rsidRDefault="002C47CF">
            <w:pPr>
              <w:jc w:val="center"/>
              <w:rPr>
                <w:rFonts w:ascii="Arial" w:hAnsi="Arial" w:cs="Arial"/>
              </w:rPr>
            </w:pPr>
            <w:r w:rsidRPr="00A12039">
              <w:rPr>
                <w:rFonts w:ascii="Arial" w:hAnsi="Arial" w:cs="Arial"/>
              </w:rPr>
              <w:t>10</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05FDD6C" w14:textId="77777777" w:rsidR="002C47CF" w:rsidRPr="00A12039" w:rsidRDefault="002C47CF">
            <w:pPr>
              <w:jc w:val="center"/>
              <w:rPr>
                <w:rFonts w:ascii="Arial" w:hAnsi="Arial" w:cs="Arial"/>
                <w:b/>
              </w:rPr>
            </w:pPr>
            <w:r w:rsidRPr="00A12039">
              <w:rPr>
                <w:rFonts w:ascii="Arial" w:hAnsi="Arial" w:cs="Arial"/>
              </w:rPr>
              <w:t>10</w:t>
            </w:r>
          </w:p>
        </w:tc>
      </w:tr>
      <w:tr w:rsidR="002C47CF" w:rsidRPr="00B64AE8" w14:paraId="17E5D519" w14:textId="77777777">
        <w:trPr>
          <w:trHeight w:val="12"/>
          <w:jc w:val="center"/>
        </w:trPr>
        <w:tc>
          <w:tcPr>
            <w:tcW w:w="2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0C459" w14:textId="77777777" w:rsidR="002C47CF" w:rsidRPr="00A12039" w:rsidRDefault="002C47CF" w:rsidP="002C47CF">
            <w:pPr>
              <w:pStyle w:val="TableParagraph"/>
              <w:numPr>
                <w:ilvl w:val="0"/>
                <w:numId w:val="21"/>
              </w:numPr>
              <w:tabs>
                <w:tab w:val="left" w:pos="360"/>
              </w:tabs>
              <w:spacing w:line="274" w:lineRule="exact"/>
              <w:ind w:left="288" w:right="274" w:hanging="288"/>
              <w:rPr>
                <w:rFonts w:ascii="Arial" w:hAnsi="Arial" w:cs="Arial"/>
              </w:rPr>
            </w:pPr>
            <w:r w:rsidRPr="00A12039">
              <w:rPr>
                <w:rFonts w:ascii="Arial" w:hAnsi="Arial" w:cs="Arial"/>
              </w:rPr>
              <w:t>Program Performance:  Sub-Objective #4: Innovation and Accessibility: Contractor Knowledge about Quality</w:t>
            </w:r>
          </w:p>
        </w:tc>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3798E21" w14:textId="77777777" w:rsidR="002C47CF" w:rsidRPr="00A12039" w:rsidRDefault="002C47CF">
            <w:pPr>
              <w:rPr>
                <w:rFonts w:ascii="Arial" w:hAnsi="Arial" w:cs="Arial"/>
              </w:rPr>
            </w:pPr>
            <w:r w:rsidRPr="00A12039">
              <w:rPr>
                <w:rFonts w:ascii="Arial" w:hAnsi="Arial" w:cs="Arial"/>
              </w:rPr>
              <w:t>Average score (0-100) on annual assessment of participating HVAC contractors' awareness, knowledge, attitudes, and behavior about Quality HVAC Services, MINUS baseline score (average score achieved by non-participating HVAC service contractors in a survey conducted during program ramp up.)</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E7550" w14:textId="77777777" w:rsidR="002C47CF" w:rsidRPr="00A12039" w:rsidRDefault="002C47CF">
            <w:pPr>
              <w:jc w:val="center"/>
              <w:rPr>
                <w:rFonts w:ascii="Arial" w:hAnsi="Arial" w:cs="Arial"/>
              </w:rPr>
            </w:pPr>
            <w:r w:rsidRPr="00A12039">
              <w:rPr>
                <w:rFonts w:ascii="Arial" w:hAnsi="Arial" w:cs="Arial"/>
              </w:rPr>
              <w:t>N/A</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73223" w14:textId="77777777" w:rsidR="002C47CF" w:rsidRPr="00A12039" w:rsidRDefault="002C47CF">
            <w:pPr>
              <w:jc w:val="center"/>
              <w:rPr>
                <w:rFonts w:ascii="Arial" w:hAnsi="Arial" w:cs="Arial"/>
              </w:rPr>
            </w:pPr>
            <w:r w:rsidRPr="00A12039">
              <w:rPr>
                <w:rFonts w:ascii="Arial" w:hAnsi="Arial" w:cs="Arial"/>
              </w:rPr>
              <w:t>10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34B4BC5" w14:textId="77777777" w:rsidR="002C47CF" w:rsidRPr="00A12039" w:rsidRDefault="002C47CF">
            <w:pPr>
              <w:jc w:val="center"/>
              <w:rPr>
                <w:rFonts w:ascii="Arial" w:hAnsi="Arial" w:cs="Arial"/>
              </w:rPr>
            </w:pPr>
            <w:r w:rsidRPr="00A12039">
              <w:rPr>
                <w:rFonts w:ascii="Arial" w:hAnsi="Arial" w:cs="Arial"/>
              </w:rPr>
              <w:t>10</w:t>
            </w:r>
          </w:p>
        </w:tc>
        <w:tc>
          <w:tcPr>
            <w:tcW w:w="9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A6A380" w14:textId="77777777" w:rsidR="002C47CF" w:rsidRPr="00A12039" w:rsidRDefault="002C47CF">
            <w:pPr>
              <w:jc w:val="center"/>
              <w:rPr>
                <w:rFonts w:ascii="Arial" w:hAnsi="Arial" w:cs="Arial"/>
              </w:rPr>
            </w:pPr>
            <w:r w:rsidRPr="00A12039">
              <w:rPr>
                <w:rFonts w:ascii="Arial" w:hAnsi="Arial" w:cs="Arial"/>
              </w:rPr>
              <w:t>10</w:t>
            </w:r>
          </w:p>
        </w:tc>
        <w:tc>
          <w:tcPr>
            <w:tcW w:w="100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DB44A9" w14:textId="77777777" w:rsidR="002C47CF" w:rsidRPr="00A12039" w:rsidRDefault="002C47CF">
            <w:pPr>
              <w:jc w:val="center"/>
              <w:rPr>
                <w:rFonts w:ascii="Arial" w:hAnsi="Arial" w:cs="Arial"/>
                <w:b/>
              </w:rPr>
            </w:pPr>
            <w:r w:rsidRPr="00A12039">
              <w:rPr>
                <w:rFonts w:ascii="Arial" w:hAnsi="Arial" w:cs="Arial"/>
              </w:rPr>
              <w:t>10</w:t>
            </w:r>
          </w:p>
        </w:tc>
      </w:tr>
    </w:tbl>
    <w:p w14:paraId="015D6FF4" w14:textId="77777777" w:rsidR="00D17FC7" w:rsidRPr="00AC2899" w:rsidRDefault="00D17FC7" w:rsidP="00134E63"/>
    <w:p w14:paraId="5C32F630" w14:textId="664C2440" w:rsidR="00D93185" w:rsidRDefault="001A744D" w:rsidP="00D93185">
      <w:pPr>
        <w:pStyle w:val="ListParagraph"/>
        <w:numPr>
          <w:ilvl w:val="0"/>
          <w:numId w:val="5"/>
        </w:numPr>
        <w:spacing w:before="120" w:after="120" w:line="240" w:lineRule="auto"/>
        <w:outlineLvl w:val="1"/>
        <w:rPr>
          <w:rFonts w:ascii="Arial" w:eastAsiaTheme="minorEastAsia" w:hAnsi="Arial"/>
          <w:bCs/>
          <w:iCs/>
          <w:color w:val="32476E"/>
          <w:spacing w:val="10"/>
          <w:sz w:val="24"/>
          <w:u w:val="single"/>
        </w:rPr>
      </w:pPr>
      <w:bookmarkStart w:id="42" w:name="_Toc129168582"/>
      <w:r w:rsidRPr="00FF7E05">
        <w:rPr>
          <w:rFonts w:ascii="Arial" w:eastAsiaTheme="minorEastAsia" w:hAnsi="Arial"/>
          <w:bCs/>
          <w:iCs/>
          <w:color w:val="32476E"/>
          <w:spacing w:val="10"/>
          <w:sz w:val="24"/>
          <w:u w:val="single"/>
        </w:rPr>
        <w:t>Diagram of Program</w:t>
      </w:r>
      <w:bookmarkEnd w:id="42"/>
    </w:p>
    <w:p w14:paraId="55A85283" w14:textId="77777777" w:rsidR="002143CC" w:rsidRPr="00D17FC7" w:rsidRDefault="002143CC" w:rsidP="00D17FC7">
      <w:pPr>
        <w:spacing w:before="120" w:after="120" w:line="240" w:lineRule="auto"/>
        <w:outlineLvl w:val="1"/>
        <w:rPr>
          <w:rFonts w:ascii="Arial" w:eastAsiaTheme="minorEastAsia" w:hAnsi="Arial"/>
          <w:bCs/>
          <w:iCs/>
          <w:color w:val="32476E"/>
          <w:spacing w:val="10"/>
          <w:sz w:val="24"/>
          <w:u w:val="single"/>
        </w:rPr>
      </w:pPr>
    </w:p>
    <w:p w14:paraId="7389520A" w14:textId="4C6C899D" w:rsidR="0027152E" w:rsidRPr="00094564" w:rsidRDefault="002143CC" w:rsidP="00832DC7">
      <w:pPr>
        <w:spacing w:before="120" w:after="120" w:line="240" w:lineRule="auto"/>
        <w:jc w:val="center"/>
        <w:outlineLvl w:val="1"/>
        <w:rPr>
          <w:rFonts w:ascii="Arial" w:eastAsiaTheme="minorEastAsia" w:hAnsi="Arial"/>
          <w:bCs/>
          <w:iCs/>
          <w:color w:val="32476E"/>
          <w:spacing w:val="10"/>
          <w:sz w:val="24"/>
          <w:u w:val="single"/>
        </w:rPr>
      </w:pPr>
      <w:r>
        <w:rPr>
          <w:noProof/>
        </w:rPr>
        <w:drawing>
          <wp:inline distT="0" distB="0" distL="0" distR="0" wp14:anchorId="5A32FC19" wp14:editId="45E07377">
            <wp:extent cx="5117436" cy="3698112"/>
            <wp:effectExtent l="0" t="0" r="762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47929" cy="3720148"/>
                    </a:xfrm>
                    <a:prstGeom prst="rect">
                      <a:avLst/>
                    </a:prstGeom>
                    <a:noFill/>
                    <a:ln>
                      <a:noFill/>
                    </a:ln>
                  </pic:spPr>
                </pic:pic>
              </a:graphicData>
            </a:graphic>
          </wp:inline>
        </w:drawing>
      </w:r>
    </w:p>
    <w:p w14:paraId="6C58069B" w14:textId="77777777" w:rsidR="00F43A07" w:rsidRPr="00F43A07" w:rsidRDefault="00F43A07" w:rsidP="00134E63"/>
    <w:p w14:paraId="6D966D80" w14:textId="77777777" w:rsidR="003204AF" w:rsidRDefault="003204AF" w:rsidP="00FF7E05">
      <w:pPr>
        <w:pStyle w:val="ListParagraph"/>
        <w:numPr>
          <w:ilvl w:val="0"/>
          <w:numId w:val="5"/>
        </w:numPr>
        <w:spacing w:before="120" w:after="120" w:line="240" w:lineRule="auto"/>
        <w:outlineLvl w:val="1"/>
        <w:rPr>
          <w:rFonts w:ascii="Arial" w:eastAsiaTheme="minorEastAsia" w:hAnsi="Arial"/>
          <w:bCs/>
          <w:iCs/>
          <w:color w:val="32476E"/>
          <w:spacing w:val="10"/>
          <w:sz w:val="24"/>
          <w:u w:val="single"/>
        </w:rPr>
      </w:pPr>
      <w:bookmarkStart w:id="43" w:name="_Toc129168583"/>
      <w:r w:rsidRPr="00FF7E05">
        <w:rPr>
          <w:rFonts w:ascii="Arial" w:eastAsiaTheme="minorEastAsia" w:hAnsi="Arial"/>
          <w:bCs/>
          <w:iCs/>
          <w:color w:val="32476E"/>
          <w:spacing w:val="10"/>
          <w:sz w:val="24"/>
          <w:u w:val="single"/>
        </w:rPr>
        <w:lastRenderedPageBreak/>
        <w:t>Evaluation, Measurement &amp; Verification (EM&amp;V)</w:t>
      </w:r>
      <w:bookmarkEnd w:id="43"/>
    </w:p>
    <w:p w14:paraId="58EA0A35" w14:textId="77777777" w:rsidR="00E6717A" w:rsidRDefault="00E6717A" w:rsidP="00134E63"/>
    <w:p w14:paraId="3F96B778" w14:textId="77777777" w:rsidR="00E6717A" w:rsidRPr="00A12039" w:rsidRDefault="00E6717A" w:rsidP="00E6717A">
      <w:pPr>
        <w:jc w:val="both"/>
        <w:rPr>
          <w:rFonts w:ascii="Arial" w:hAnsi="Arial" w:cs="Arial"/>
          <w:b/>
        </w:rPr>
      </w:pPr>
      <w:r w:rsidRPr="00A12039">
        <w:rPr>
          <w:rFonts w:ascii="Arial" w:hAnsi="Arial" w:cs="Arial"/>
          <w:b/>
        </w:rPr>
        <w:t>Introduction</w:t>
      </w:r>
    </w:p>
    <w:p w14:paraId="1409475F" w14:textId="77777777" w:rsidR="00E6717A" w:rsidRPr="00A12039" w:rsidRDefault="00E6717A" w:rsidP="00E6717A">
      <w:pPr>
        <w:jc w:val="both"/>
        <w:rPr>
          <w:rFonts w:ascii="Arial" w:hAnsi="Arial" w:cs="Arial"/>
        </w:rPr>
      </w:pPr>
      <w:r w:rsidRPr="00A12039">
        <w:rPr>
          <w:rFonts w:ascii="Arial" w:hAnsi="Arial" w:cs="Arial"/>
        </w:rPr>
        <w:t>This Measurement and Verification Plan describes the objectives and approaches used to verify the performance of the Quality Residential HVAC Services Program, implemented by Contractor. It describes the performance indicators and metrics that will be measured, and the processes used to measure them. It identifies the schedule for reporting the results of the assessments, and the individuals responsible for carrying them out.</w:t>
      </w:r>
    </w:p>
    <w:p w14:paraId="4303B3A5" w14:textId="77777777" w:rsidR="00E6717A" w:rsidRPr="00A12039" w:rsidRDefault="00E6717A" w:rsidP="00E6717A">
      <w:pPr>
        <w:rPr>
          <w:rFonts w:ascii="Arial" w:hAnsi="Arial" w:cs="Arial"/>
          <w:b/>
        </w:rPr>
      </w:pPr>
      <w:r w:rsidRPr="00A12039">
        <w:rPr>
          <w:rFonts w:ascii="Arial" w:hAnsi="Arial" w:cs="Arial"/>
          <w:b/>
        </w:rPr>
        <w:t>Baseline</w:t>
      </w:r>
    </w:p>
    <w:p w14:paraId="000F9A43" w14:textId="77777777" w:rsidR="00E6717A" w:rsidRPr="00A12039" w:rsidRDefault="00E6717A" w:rsidP="00E6717A">
      <w:pPr>
        <w:jc w:val="both"/>
        <w:rPr>
          <w:rFonts w:ascii="Arial" w:hAnsi="Arial" w:cs="Arial"/>
        </w:rPr>
      </w:pPr>
      <w:r w:rsidRPr="00A12039">
        <w:rPr>
          <w:rFonts w:ascii="Arial" w:hAnsi="Arial" w:cs="Arial"/>
        </w:rPr>
        <w:t>The baseline to which this program will be measured is the current state of the market for HVAC services, considering three distinct categories of contractors:</w:t>
      </w:r>
    </w:p>
    <w:tbl>
      <w:tblPr>
        <w:tblStyle w:val="TableGrid"/>
        <w:tblW w:w="9445" w:type="dxa"/>
        <w:tblLook w:val="04A0" w:firstRow="1" w:lastRow="0" w:firstColumn="1" w:lastColumn="0" w:noHBand="0" w:noVBand="1"/>
      </w:tblPr>
      <w:tblGrid>
        <w:gridCol w:w="1195"/>
        <w:gridCol w:w="2746"/>
        <w:gridCol w:w="2754"/>
        <w:gridCol w:w="2750"/>
      </w:tblGrid>
      <w:tr w:rsidR="00E6717A" w:rsidRPr="00B228BF" w14:paraId="253967B3" w14:textId="77777777">
        <w:tc>
          <w:tcPr>
            <w:tcW w:w="1072" w:type="dxa"/>
            <w:shd w:val="clear" w:color="auto" w:fill="8EAADB" w:themeFill="accent1" w:themeFillTint="99"/>
            <w:vAlign w:val="center"/>
          </w:tcPr>
          <w:p w14:paraId="719D9D3B" w14:textId="77777777" w:rsidR="00E6717A" w:rsidRPr="00A12039" w:rsidRDefault="00E6717A">
            <w:pPr>
              <w:rPr>
                <w:rFonts w:ascii="Arial" w:hAnsi="Arial" w:cs="Arial"/>
                <w:b/>
              </w:rPr>
            </w:pPr>
            <w:r w:rsidRPr="00A12039">
              <w:rPr>
                <w:rFonts w:ascii="Arial" w:hAnsi="Arial" w:cs="Arial"/>
                <w:b/>
              </w:rPr>
              <w:t>Tier</w:t>
            </w:r>
          </w:p>
        </w:tc>
        <w:tc>
          <w:tcPr>
            <w:tcW w:w="2791" w:type="dxa"/>
            <w:vAlign w:val="center"/>
          </w:tcPr>
          <w:p w14:paraId="46A5D6AC" w14:textId="410D0757" w:rsidR="00E6717A" w:rsidRPr="00A12039" w:rsidRDefault="00E6717A">
            <w:pPr>
              <w:rPr>
                <w:rFonts w:ascii="Arial" w:hAnsi="Arial" w:cs="Arial"/>
              </w:rPr>
            </w:pPr>
            <w:r w:rsidRPr="00A12039">
              <w:rPr>
                <w:rFonts w:ascii="Arial" w:hAnsi="Arial" w:cs="Arial"/>
              </w:rPr>
              <w:t>“</w:t>
            </w:r>
            <w:r w:rsidR="00A4039F">
              <w:rPr>
                <w:rFonts w:ascii="Arial" w:hAnsi="Arial" w:cs="Arial"/>
              </w:rPr>
              <w:t xml:space="preserve">Begin the </w:t>
            </w:r>
            <w:r w:rsidR="001F5271">
              <w:rPr>
                <w:rFonts w:ascii="Arial" w:hAnsi="Arial" w:cs="Arial"/>
              </w:rPr>
              <w:t>Journey</w:t>
            </w:r>
            <w:r w:rsidRPr="00A12039">
              <w:rPr>
                <w:rFonts w:ascii="Arial" w:hAnsi="Arial" w:cs="Arial"/>
              </w:rPr>
              <w:t>”</w:t>
            </w:r>
          </w:p>
        </w:tc>
        <w:tc>
          <w:tcPr>
            <w:tcW w:w="2791" w:type="dxa"/>
            <w:vAlign w:val="center"/>
          </w:tcPr>
          <w:p w14:paraId="63295DDF" w14:textId="2BDF5E90" w:rsidR="00E6717A" w:rsidRPr="00A12039" w:rsidRDefault="00E6717A">
            <w:pPr>
              <w:rPr>
                <w:rFonts w:ascii="Arial" w:hAnsi="Arial" w:cs="Arial"/>
              </w:rPr>
            </w:pPr>
            <w:r w:rsidRPr="00A12039">
              <w:rPr>
                <w:rFonts w:ascii="Arial" w:hAnsi="Arial" w:cs="Arial"/>
              </w:rPr>
              <w:t>“Advanc</w:t>
            </w:r>
            <w:r w:rsidR="001F5271">
              <w:rPr>
                <w:rFonts w:ascii="Arial" w:hAnsi="Arial" w:cs="Arial"/>
              </w:rPr>
              <w:t>e</w:t>
            </w:r>
            <w:r w:rsidRPr="00A12039">
              <w:rPr>
                <w:rFonts w:ascii="Arial" w:hAnsi="Arial" w:cs="Arial"/>
              </w:rPr>
              <w:t xml:space="preserve"> the Average”</w:t>
            </w:r>
          </w:p>
        </w:tc>
        <w:tc>
          <w:tcPr>
            <w:tcW w:w="2791" w:type="dxa"/>
            <w:vAlign w:val="center"/>
          </w:tcPr>
          <w:p w14:paraId="4503289A" w14:textId="333B7881" w:rsidR="00E6717A" w:rsidRPr="00A12039" w:rsidRDefault="00E6717A">
            <w:pPr>
              <w:rPr>
                <w:rFonts w:ascii="Arial" w:hAnsi="Arial" w:cs="Arial"/>
              </w:rPr>
            </w:pPr>
            <w:r w:rsidRPr="00A12039">
              <w:rPr>
                <w:rFonts w:ascii="Arial" w:hAnsi="Arial" w:cs="Arial"/>
              </w:rPr>
              <w:t>“</w:t>
            </w:r>
            <w:r w:rsidR="001F5271">
              <w:rPr>
                <w:rFonts w:ascii="Arial" w:hAnsi="Arial" w:cs="Arial"/>
              </w:rPr>
              <w:t>Elevate the Champions</w:t>
            </w:r>
            <w:r w:rsidRPr="00A12039">
              <w:rPr>
                <w:rFonts w:ascii="Arial" w:hAnsi="Arial" w:cs="Arial"/>
              </w:rPr>
              <w:t>”</w:t>
            </w:r>
          </w:p>
        </w:tc>
      </w:tr>
      <w:tr w:rsidR="00E6717A" w:rsidRPr="00B228BF" w14:paraId="729279AC" w14:textId="77777777">
        <w:tc>
          <w:tcPr>
            <w:tcW w:w="1072" w:type="dxa"/>
            <w:shd w:val="clear" w:color="auto" w:fill="8EAADB" w:themeFill="accent1" w:themeFillTint="99"/>
            <w:vAlign w:val="center"/>
          </w:tcPr>
          <w:p w14:paraId="264C0A02" w14:textId="77777777" w:rsidR="00E6717A" w:rsidRPr="00A12039" w:rsidRDefault="00E6717A">
            <w:pPr>
              <w:rPr>
                <w:rFonts w:ascii="Arial" w:hAnsi="Arial" w:cs="Arial"/>
                <w:b/>
              </w:rPr>
            </w:pPr>
            <w:r w:rsidRPr="00A12039">
              <w:rPr>
                <w:rFonts w:ascii="Arial" w:hAnsi="Arial" w:cs="Arial"/>
                <w:b/>
              </w:rPr>
              <w:t>Who</w:t>
            </w:r>
          </w:p>
        </w:tc>
        <w:tc>
          <w:tcPr>
            <w:tcW w:w="2791" w:type="dxa"/>
            <w:vAlign w:val="center"/>
          </w:tcPr>
          <w:p w14:paraId="4E28A93F" w14:textId="77777777" w:rsidR="00E6717A" w:rsidRPr="00A12039" w:rsidRDefault="00E6717A">
            <w:pPr>
              <w:rPr>
                <w:rFonts w:ascii="Arial" w:hAnsi="Arial" w:cs="Arial"/>
              </w:rPr>
            </w:pPr>
            <w:r w:rsidRPr="00A12039">
              <w:rPr>
                <w:rFonts w:ascii="Arial" w:hAnsi="Arial" w:cs="Arial"/>
              </w:rPr>
              <w:t>The vast majority of contractors</w:t>
            </w:r>
          </w:p>
        </w:tc>
        <w:tc>
          <w:tcPr>
            <w:tcW w:w="2791" w:type="dxa"/>
            <w:vAlign w:val="center"/>
          </w:tcPr>
          <w:p w14:paraId="08F1AA69" w14:textId="77777777" w:rsidR="00E6717A" w:rsidRPr="00A12039" w:rsidRDefault="00E6717A">
            <w:pPr>
              <w:rPr>
                <w:rFonts w:ascii="Arial" w:hAnsi="Arial" w:cs="Arial"/>
              </w:rPr>
            </w:pPr>
            <w:r w:rsidRPr="00A12039">
              <w:rPr>
                <w:rFonts w:ascii="Arial" w:hAnsi="Arial" w:cs="Arial"/>
              </w:rPr>
              <w:t>A minority of contractors</w:t>
            </w:r>
          </w:p>
        </w:tc>
        <w:tc>
          <w:tcPr>
            <w:tcW w:w="2791" w:type="dxa"/>
            <w:vAlign w:val="center"/>
          </w:tcPr>
          <w:p w14:paraId="3A232D6D" w14:textId="77777777" w:rsidR="00E6717A" w:rsidRPr="00A12039" w:rsidRDefault="00E6717A">
            <w:pPr>
              <w:rPr>
                <w:rFonts w:ascii="Arial" w:hAnsi="Arial" w:cs="Arial"/>
              </w:rPr>
            </w:pPr>
            <w:r w:rsidRPr="00A12039">
              <w:rPr>
                <w:rFonts w:ascii="Arial" w:hAnsi="Arial" w:cs="Arial"/>
              </w:rPr>
              <w:t>A very small fraction of contractors</w:t>
            </w:r>
          </w:p>
        </w:tc>
      </w:tr>
      <w:tr w:rsidR="00E6717A" w:rsidRPr="00B228BF" w14:paraId="7237C237" w14:textId="77777777">
        <w:tc>
          <w:tcPr>
            <w:tcW w:w="1072" w:type="dxa"/>
            <w:shd w:val="clear" w:color="auto" w:fill="8EAADB" w:themeFill="accent1" w:themeFillTint="99"/>
            <w:vAlign w:val="center"/>
          </w:tcPr>
          <w:p w14:paraId="7852BBD5" w14:textId="77777777" w:rsidR="00E6717A" w:rsidRPr="00A12039" w:rsidRDefault="00E6717A">
            <w:pPr>
              <w:rPr>
                <w:rFonts w:ascii="Arial" w:hAnsi="Arial" w:cs="Arial"/>
                <w:b/>
              </w:rPr>
            </w:pPr>
            <w:r w:rsidRPr="00A12039">
              <w:rPr>
                <w:rFonts w:ascii="Arial" w:hAnsi="Arial" w:cs="Arial"/>
                <w:b/>
              </w:rPr>
              <w:t>Quality Practices</w:t>
            </w:r>
          </w:p>
        </w:tc>
        <w:tc>
          <w:tcPr>
            <w:tcW w:w="2791" w:type="dxa"/>
            <w:vAlign w:val="center"/>
          </w:tcPr>
          <w:p w14:paraId="18FCE06E" w14:textId="77777777" w:rsidR="00E6717A" w:rsidRPr="00A12039" w:rsidRDefault="00E6717A">
            <w:pPr>
              <w:rPr>
                <w:rFonts w:ascii="Arial" w:hAnsi="Arial" w:cs="Arial"/>
              </w:rPr>
            </w:pPr>
            <w:r w:rsidRPr="00A12039">
              <w:rPr>
                <w:rFonts w:ascii="Arial" w:hAnsi="Arial" w:cs="Arial"/>
                <w:i/>
              </w:rPr>
              <w:t>Do not</w:t>
            </w:r>
            <w:r w:rsidRPr="00A12039">
              <w:rPr>
                <w:rFonts w:ascii="Arial" w:hAnsi="Arial" w:cs="Arial"/>
              </w:rPr>
              <w:t xml:space="preserve"> currently provide higher-quality services</w:t>
            </w:r>
          </w:p>
        </w:tc>
        <w:tc>
          <w:tcPr>
            <w:tcW w:w="2791" w:type="dxa"/>
            <w:vAlign w:val="center"/>
          </w:tcPr>
          <w:p w14:paraId="383A8DCA" w14:textId="77777777" w:rsidR="00E6717A" w:rsidRPr="00A12039" w:rsidRDefault="00E6717A">
            <w:pPr>
              <w:rPr>
                <w:rFonts w:ascii="Arial" w:hAnsi="Arial" w:cs="Arial"/>
              </w:rPr>
            </w:pPr>
            <w:r w:rsidRPr="00A12039">
              <w:rPr>
                <w:rFonts w:ascii="Arial" w:hAnsi="Arial" w:cs="Arial"/>
                <w:i/>
              </w:rPr>
              <w:t>Sometimes</w:t>
            </w:r>
            <w:r w:rsidRPr="00A12039">
              <w:rPr>
                <w:rFonts w:ascii="Arial" w:hAnsi="Arial" w:cs="Arial"/>
              </w:rPr>
              <w:t xml:space="preserve"> provide higher-quality services</w:t>
            </w:r>
          </w:p>
        </w:tc>
        <w:tc>
          <w:tcPr>
            <w:tcW w:w="2791" w:type="dxa"/>
            <w:vAlign w:val="center"/>
          </w:tcPr>
          <w:p w14:paraId="395E5035" w14:textId="77777777" w:rsidR="00E6717A" w:rsidRPr="00A12039" w:rsidRDefault="00E6717A">
            <w:pPr>
              <w:rPr>
                <w:rFonts w:ascii="Arial" w:hAnsi="Arial" w:cs="Arial"/>
              </w:rPr>
            </w:pPr>
            <w:r w:rsidRPr="00A12039">
              <w:rPr>
                <w:rFonts w:ascii="Arial" w:hAnsi="Arial" w:cs="Arial"/>
                <w:i/>
              </w:rPr>
              <w:t>Routinely</w:t>
            </w:r>
            <w:r w:rsidRPr="00A12039">
              <w:rPr>
                <w:rFonts w:ascii="Arial" w:hAnsi="Arial" w:cs="Arial"/>
              </w:rPr>
              <w:t xml:space="preserve"> provide higher-quality services</w:t>
            </w:r>
          </w:p>
        </w:tc>
      </w:tr>
      <w:tr w:rsidR="00E6717A" w:rsidRPr="00B228BF" w14:paraId="444145B1" w14:textId="77777777">
        <w:tc>
          <w:tcPr>
            <w:tcW w:w="1072" w:type="dxa"/>
            <w:shd w:val="clear" w:color="auto" w:fill="8EAADB" w:themeFill="accent1" w:themeFillTint="99"/>
            <w:vAlign w:val="center"/>
          </w:tcPr>
          <w:p w14:paraId="6022A453" w14:textId="77777777" w:rsidR="00E6717A" w:rsidRPr="00A12039" w:rsidRDefault="00E6717A">
            <w:pPr>
              <w:rPr>
                <w:rFonts w:ascii="Arial" w:hAnsi="Arial" w:cs="Arial"/>
                <w:b/>
              </w:rPr>
            </w:pPr>
            <w:r w:rsidRPr="00A12039">
              <w:rPr>
                <w:rFonts w:ascii="Arial" w:hAnsi="Arial" w:cs="Arial"/>
                <w:b/>
              </w:rPr>
              <w:t>Market</w:t>
            </w:r>
          </w:p>
        </w:tc>
        <w:tc>
          <w:tcPr>
            <w:tcW w:w="2791" w:type="dxa"/>
            <w:vAlign w:val="center"/>
          </w:tcPr>
          <w:p w14:paraId="2C06F72B" w14:textId="77777777" w:rsidR="00E6717A" w:rsidRPr="00A12039" w:rsidRDefault="00E6717A">
            <w:pPr>
              <w:rPr>
                <w:rFonts w:ascii="Arial" w:hAnsi="Arial" w:cs="Arial"/>
              </w:rPr>
            </w:pPr>
            <w:r w:rsidRPr="00A12039">
              <w:rPr>
                <w:rFonts w:ascii="Arial" w:hAnsi="Arial" w:cs="Arial"/>
              </w:rPr>
              <w:t>Do not even attempt to offer quality services</w:t>
            </w:r>
          </w:p>
        </w:tc>
        <w:tc>
          <w:tcPr>
            <w:tcW w:w="2791" w:type="dxa"/>
            <w:vAlign w:val="center"/>
          </w:tcPr>
          <w:p w14:paraId="2244FF7E" w14:textId="77777777" w:rsidR="00E6717A" w:rsidRPr="00A12039" w:rsidRDefault="00E6717A">
            <w:pPr>
              <w:rPr>
                <w:rFonts w:ascii="Arial" w:hAnsi="Arial" w:cs="Arial"/>
              </w:rPr>
            </w:pPr>
            <w:r w:rsidRPr="00A12039">
              <w:rPr>
                <w:rFonts w:ascii="Arial" w:hAnsi="Arial" w:cs="Arial"/>
              </w:rPr>
              <w:t>Offer quality services inconsistently because they cannot charge enough to make a profit</w:t>
            </w:r>
          </w:p>
        </w:tc>
        <w:tc>
          <w:tcPr>
            <w:tcW w:w="2791" w:type="dxa"/>
            <w:vAlign w:val="center"/>
          </w:tcPr>
          <w:p w14:paraId="4C0A5A91" w14:textId="77777777" w:rsidR="00E6717A" w:rsidRPr="00A12039" w:rsidRDefault="00E6717A">
            <w:pPr>
              <w:rPr>
                <w:rFonts w:ascii="Arial" w:hAnsi="Arial" w:cs="Arial"/>
              </w:rPr>
            </w:pPr>
            <w:r w:rsidRPr="00A12039">
              <w:rPr>
                <w:rFonts w:ascii="Arial" w:hAnsi="Arial" w:cs="Arial"/>
              </w:rPr>
              <w:t>Have trouble finding a market for quality services</w:t>
            </w:r>
          </w:p>
        </w:tc>
      </w:tr>
    </w:tbl>
    <w:p w14:paraId="171B690D" w14:textId="77777777" w:rsidR="00E6717A" w:rsidRPr="00A12039" w:rsidRDefault="00E6717A" w:rsidP="00E6717A">
      <w:pPr>
        <w:jc w:val="both"/>
        <w:rPr>
          <w:rFonts w:ascii="Arial" w:hAnsi="Arial" w:cs="Arial"/>
        </w:rPr>
      </w:pPr>
    </w:p>
    <w:p w14:paraId="1199D1B8" w14:textId="77777777" w:rsidR="00E6717A" w:rsidRPr="00A12039" w:rsidRDefault="00E6717A" w:rsidP="00E6717A">
      <w:pPr>
        <w:jc w:val="both"/>
        <w:rPr>
          <w:rFonts w:ascii="Arial" w:hAnsi="Arial" w:cs="Arial"/>
        </w:rPr>
      </w:pPr>
      <w:r w:rsidRPr="00A12039">
        <w:rPr>
          <w:rFonts w:ascii="Arial" w:hAnsi="Arial" w:cs="Arial"/>
        </w:rPr>
        <w:t>All three categories of contractors find that customers don’t recognize the value of higher quality services, which leads to a “race to the bottom”:  customers are only willing to pay an unrealistically low price for these services, customers do not hold contractors accountable for providing these services, contractors are not motivated to provide these services, and the outcome is a failed market for these services.</w:t>
      </w:r>
    </w:p>
    <w:p w14:paraId="550F49F2" w14:textId="77777777" w:rsidR="00E6717A" w:rsidRPr="00A12039" w:rsidRDefault="00E6717A" w:rsidP="00E6717A">
      <w:pPr>
        <w:rPr>
          <w:rFonts w:ascii="Arial" w:hAnsi="Arial" w:cs="Arial"/>
          <w:b/>
        </w:rPr>
      </w:pPr>
      <w:r w:rsidRPr="00A12039">
        <w:rPr>
          <w:rFonts w:ascii="Arial" w:hAnsi="Arial" w:cs="Arial"/>
          <w:b/>
        </w:rPr>
        <w:t>Program Objectives and Approaches</w:t>
      </w:r>
    </w:p>
    <w:p w14:paraId="4694BB68" w14:textId="4615257A" w:rsidR="00E6717A" w:rsidRPr="00A12039" w:rsidRDefault="00E6717A" w:rsidP="00E6717A">
      <w:pPr>
        <w:jc w:val="both"/>
        <w:rPr>
          <w:rFonts w:ascii="Arial" w:hAnsi="Arial" w:cs="Arial"/>
        </w:rPr>
      </w:pPr>
      <w:r w:rsidRPr="00A12039">
        <w:rPr>
          <w:rFonts w:ascii="Arial" w:hAnsi="Arial" w:cs="Arial"/>
        </w:rPr>
        <w:t xml:space="preserve">Per Decision 21-05-031, Market Support programs are “programs with a primary objective of supporting the long-term success of the energy efficiency market by educating customers, training contractors, building partnerships, or moving beneficial technologies toward greater cost-effectiveness.” More specifically, the objectives of this program are: </w:t>
      </w:r>
    </w:p>
    <w:p w14:paraId="52E64D3C" w14:textId="77777777" w:rsidR="00E6717A" w:rsidRPr="00A12039" w:rsidRDefault="00E6717A" w:rsidP="00E6717A">
      <w:pPr>
        <w:pStyle w:val="ListParagraph"/>
        <w:numPr>
          <w:ilvl w:val="0"/>
          <w:numId w:val="16"/>
        </w:numPr>
        <w:spacing w:after="120" w:line="240" w:lineRule="auto"/>
        <w:jc w:val="both"/>
        <w:rPr>
          <w:rFonts w:ascii="Arial" w:hAnsi="Arial" w:cs="Arial"/>
        </w:rPr>
      </w:pPr>
      <w:r w:rsidRPr="00A12039">
        <w:rPr>
          <w:rFonts w:ascii="Arial" w:hAnsi="Arial" w:cs="Arial"/>
        </w:rPr>
        <w:t>Educating customers and contractors on the value of higher-quality HVAC services.</w:t>
      </w:r>
    </w:p>
    <w:p w14:paraId="682DE96F" w14:textId="77777777" w:rsidR="00E6717A" w:rsidRPr="00A12039" w:rsidRDefault="00E6717A" w:rsidP="00E6717A">
      <w:pPr>
        <w:pStyle w:val="ListParagraph"/>
        <w:numPr>
          <w:ilvl w:val="0"/>
          <w:numId w:val="16"/>
        </w:numPr>
        <w:spacing w:after="120" w:line="240" w:lineRule="auto"/>
        <w:jc w:val="both"/>
        <w:rPr>
          <w:rFonts w:ascii="Arial" w:hAnsi="Arial" w:cs="Arial"/>
        </w:rPr>
      </w:pPr>
      <w:r w:rsidRPr="00A12039">
        <w:rPr>
          <w:rFonts w:ascii="Arial" w:hAnsi="Arial" w:cs="Arial"/>
        </w:rPr>
        <w:t>Educating contractors on how to deliver and convey the value of higher-quality HVAC services.</w:t>
      </w:r>
    </w:p>
    <w:p w14:paraId="44614414" w14:textId="77777777" w:rsidR="00E6717A" w:rsidRPr="00A12039" w:rsidRDefault="00E6717A" w:rsidP="00E6717A">
      <w:pPr>
        <w:pStyle w:val="ListParagraph"/>
        <w:numPr>
          <w:ilvl w:val="0"/>
          <w:numId w:val="16"/>
        </w:numPr>
        <w:spacing w:after="120" w:line="240" w:lineRule="auto"/>
        <w:jc w:val="both"/>
        <w:rPr>
          <w:rFonts w:ascii="Arial" w:hAnsi="Arial" w:cs="Arial"/>
        </w:rPr>
      </w:pPr>
      <w:r w:rsidRPr="00A12039">
        <w:rPr>
          <w:rFonts w:ascii="Arial" w:hAnsi="Arial" w:cs="Arial"/>
        </w:rPr>
        <w:t>Building partnerships within the HVAC contractor eco-system to support contractors who are attempting to improve the quality of their HVAC services.</w:t>
      </w:r>
    </w:p>
    <w:p w14:paraId="627D9DA9" w14:textId="77777777" w:rsidR="00E6717A" w:rsidRPr="00A12039" w:rsidRDefault="00E6717A" w:rsidP="00E6717A">
      <w:pPr>
        <w:pStyle w:val="ListParagraph"/>
        <w:numPr>
          <w:ilvl w:val="0"/>
          <w:numId w:val="16"/>
        </w:numPr>
        <w:spacing w:after="120" w:line="240" w:lineRule="auto"/>
        <w:jc w:val="both"/>
        <w:rPr>
          <w:rFonts w:ascii="Arial" w:hAnsi="Arial" w:cs="Arial"/>
        </w:rPr>
      </w:pPr>
      <w:r w:rsidRPr="00A12039">
        <w:rPr>
          <w:rFonts w:ascii="Arial" w:hAnsi="Arial" w:cs="Arial"/>
        </w:rPr>
        <w:t>Reducing the cost of providing higher-quality services.</w:t>
      </w:r>
    </w:p>
    <w:p w14:paraId="081659E7" w14:textId="77777777" w:rsidR="00E6717A" w:rsidRPr="00A12039" w:rsidRDefault="00E6717A" w:rsidP="00E6717A">
      <w:pPr>
        <w:jc w:val="both"/>
        <w:rPr>
          <w:rFonts w:ascii="Arial" w:hAnsi="Arial" w:cs="Arial"/>
        </w:rPr>
      </w:pPr>
      <w:r w:rsidRPr="00A12039">
        <w:rPr>
          <w:rFonts w:ascii="Arial" w:hAnsi="Arial" w:cs="Arial"/>
        </w:rPr>
        <w:t xml:space="preserve">These objectives are delivered by: </w:t>
      </w:r>
    </w:p>
    <w:p w14:paraId="5C83AFE8" w14:textId="77777777" w:rsidR="00E6717A" w:rsidRPr="00A12039" w:rsidRDefault="00E6717A" w:rsidP="00E6717A">
      <w:pPr>
        <w:pStyle w:val="ListParagraph"/>
        <w:numPr>
          <w:ilvl w:val="0"/>
          <w:numId w:val="17"/>
        </w:numPr>
        <w:spacing w:after="120" w:line="240" w:lineRule="auto"/>
        <w:jc w:val="both"/>
        <w:rPr>
          <w:rFonts w:ascii="Arial" w:hAnsi="Arial" w:cs="Arial"/>
        </w:rPr>
      </w:pPr>
      <w:r w:rsidRPr="00A12039">
        <w:rPr>
          <w:rFonts w:ascii="Arial" w:hAnsi="Arial" w:cs="Arial"/>
        </w:rPr>
        <w:t xml:space="preserve">Defining standards for quality services that are achievable by all contractors. </w:t>
      </w:r>
    </w:p>
    <w:p w14:paraId="430051F0" w14:textId="77777777" w:rsidR="00E6717A" w:rsidRPr="00A12039" w:rsidRDefault="00E6717A" w:rsidP="00E6717A">
      <w:pPr>
        <w:pStyle w:val="ListParagraph"/>
        <w:numPr>
          <w:ilvl w:val="0"/>
          <w:numId w:val="17"/>
        </w:numPr>
        <w:spacing w:after="120" w:line="240" w:lineRule="auto"/>
        <w:jc w:val="both"/>
        <w:rPr>
          <w:rFonts w:ascii="Arial" w:hAnsi="Arial" w:cs="Arial"/>
        </w:rPr>
      </w:pPr>
      <w:r w:rsidRPr="00A12039">
        <w:rPr>
          <w:rFonts w:ascii="Arial" w:hAnsi="Arial" w:cs="Arial"/>
        </w:rPr>
        <w:t xml:space="preserve">Offering incentives to encourage contractors to improve the quality of their services and to lower their costs to provide them. </w:t>
      </w:r>
    </w:p>
    <w:p w14:paraId="7E544B49" w14:textId="77777777" w:rsidR="00E6717A" w:rsidRPr="00A12039" w:rsidRDefault="00E6717A" w:rsidP="00E6717A">
      <w:pPr>
        <w:pStyle w:val="ListParagraph"/>
        <w:numPr>
          <w:ilvl w:val="0"/>
          <w:numId w:val="17"/>
        </w:numPr>
        <w:spacing w:after="120" w:line="240" w:lineRule="auto"/>
        <w:jc w:val="both"/>
        <w:rPr>
          <w:rFonts w:ascii="Arial" w:hAnsi="Arial" w:cs="Arial"/>
        </w:rPr>
      </w:pPr>
      <w:r w:rsidRPr="00A12039">
        <w:rPr>
          <w:rFonts w:ascii="Arial" w:hAnsi="Arial" w:cs="Arial"/>
        </w:rPr>
        <w:lastRenderedPageBreak/>
        <w:t xml:space="preserve">Conducting meaningful outreach to contractors via industry partnerships (with a special emphasis on hard-to-reach contractors and contractors serving hard-to-reach customers). </w:t>
      </w:r>
    </w:p>
    <w:p w14:paraId="02D92D54" w14:textId="77777777" w:rsidR="00E6717A" w:rsidRPr="00A12039" w:rsidRDefault="00E6717A" w:rsidP="00E6717A">
      <w:pPr>
        <w:pStyle w:val="ListParagraph"/>
        <w:numPr>
          <w:ilvl w:val="0"/>
          <w:numId w:val="17"/>
        </w:numPr>
        <w:spacing w:after="120" w:line="240" w:lineRule="auto"/>
        <w:jc w:val="both"/>
        <w:rPr>
          <w:rFonts w:ascii="Arial" w:hAnsi="Arial" w:cs="Arial"/>
        </w:rPr>
      </w:pPr>
      <w:r w:rsidRPr="00A12039">
        <w:rPr>
          <w:rFonts w:ascii="Arial" w:hAnsi="Arial" w:cs="Arial"/>
        </w:rPr>
        <w:t xml:space="preserve">Training contractors on how to carry out basic and advanced quality services. </w:t>
      </w:r>
    </w:p>
    <w:p w14:paraId="60ACA217" w14:textId="77777777" w:rsidR="00E6717A" w:rsidRPr="00A12039" w:rsidRDefault="00E6717A" w:rsidP="00E6717A">
      <w:pPr>
        <w:pStyle w:val="ListParagraph"/>
        <w:numPr>
          <w:ilvl w:val="0"/>
          <w:numId w:val="17"/>
        </w:numPr>
        <w:spacing w:after="120" w:line="240" w:lineRule="auto"/>
        <w:jc w:val="both"/>
        <w:rPr>
          <w:rFonts w:ascii="Arial" w:hAnsi="Arial" w:cs="Arial"/>
        </w:rPr>
      </w:pPr>
      <w:r w:rsidRPr="00A12039">
        <w:rPr>
          <w:rFonts w:ascii="Arial" w:hAnsi="Arial" w:cs="Arial"/>
        </w:rPr>
        <w:t xml:space="preserve">Providing materials designed to help contractors convey the value of quality to their customers and influence customers’ choices. </w:t>
      </w:r>
    </w:p>
    <w:p w14:paraId="59D33D80" w14:textId="77777777" w:rsidR="00E6717A" w:rsidRPr="00A12039" w:rsidRDefault="00E6717A" w:rsidP="00E6717A">
      <w:pPr>
        <w:pStyle w:val="ListParagraph"/>
        <w:numPr>
          <w:ilvl w:val="0"/>
          <w:numId w:val="17"/>
        </w:numPr>
        <w:spacing w:after="120" w:line="240" w:lineRule="auto"/>
        <w:jc w:val="both"/>
        <w:rPr>
          <w:rFonts w:ascii="Arial" w:hAnsi="Arial" w:cs="Arial"/>
        </w:rPr>
      </w:pPr>
      <w:r w:rsidRPr="00A12039">
        <w:rPr>
          <w:rFonts w:ascii="Arial" w:hAnsi="Arial" w:cs="Arial"/>
        </w:rPr>
        <w:t xml:space="preserve">Providing branding and other market support to help excellent contractors differentiate themselves in the market. </w:t>
      </w:r>
    </w:p>
    <w:p w14:paraId="17EB2C9F" w14:textId="77777777" w:rsidR="00E6717A" w:rsidRPr="00A12039" w:rsidRDefault="00E6717A" w:rsidP="00E6717A">
      <w:pPr>
        <w:pStyle w:val="ListParagraph"/>
        <w:numPr>
          <w:ilvl w:val="0"/>
          <w:numId w:val="17"/>
        </w:numPr>
        <w:spacing w:after="120" w:line="240" w:lineRule="auto"/>
        <w:jc w:val="both"/>
        <w:rPr>
          <w:rFonts w:ascii="Arial" w:hAnsi="Arial" w:cs="Arial"/>
        </w:rPr>
      </w:pPr>
      <w:r w:rsidRPr="00A12039">
        <w:rPr>
          <w:rFonts w:ascii="Arial" w:hAnsi="Arial" w:cs="Arial"/>
        </w:rPr>
        <w:t xml:space="preserve">Verifying that standards for quality are being met in incentivized projects. </w:t>
      </w:r>
    </w:p>
    <w:p w14:paraId="341B906D" w14:textId="77777777" w:rsidR="00E6717A" w:rsidRPr="00A12039" w:rsidRDefault="00E6717A" w:rsidP="00E6717A">
      <w:pPr>
        <w:jc w:val="both"/>
        <w:rPr>
          <w:rFonts w:ascii="Arial" w:hAnsi="Arial" w:cs="Arial"/>
          <w:b/>
        </w:rPr>
      </w:pPr>
      <w:r w:rsidRPr="00A12039">
        <w:rPr>
          <w:rFonts w:ascii="Arial" w:hAnsi="Arial" w:cs="Arial"/>
          <w:b/>
        </w:rPr>
        <w:t xml:space="preserve">Metrics and Performance Indicators </w:t>
      </w:r>
    </w:p>
    <w:p w14:paraId="20807613" w14:textId="24A54D6C" w:rsidR="00E6717A" w:rsidRPr="00A12039" w:rsidRDefault="00E6717A" w:rsidP="00E6717A">
      <w:pPr>
        <w:jc w:val="both"/>
        <w:rPr>
          <w:rFonts w:ascii="Arial" w:hAnsi="Arial" w:cs="Arial"/>
        </w:rPr>
      </w:pPr>
      <w:r w:rsidRPr="00A12039">
        <w:rPr>
          <w:rFonts w:ascii="Arial" w:hAnsi="Arial" w:cs="Arial"/>
        </w:rPr>
        <w:t xml:space="preserve">The Key Performance Indicators (KPIs) and metrics defined for this program are shown in </w:t>
      </w:r>
      <w:r w:rsidRPr="00A12039">
        <w:rPr>
          <w:rFonts w:ascii="Arial" w:hAnsi="Arial" w:cs="Arial"/>
        </w:rPr>
        <w:fldChar w:fldCharType="begin"/>
      </w:r>
      <w:r w:rsidRPr="00A12039">
        <w:rPr>
          <w:rFonts w:ascii="Arial" w:hAnsi="Arial" w:cs="Arial"/>
        </w:rPr>
        <w:instrText xml:space="preserve"> REF _Ref101016769 \h  \* MERGEFORMAT </w:instrText>
      </w:r>
      <w:r w:rsidRPr="00A12039">
        <w:rPr>
          <w:rFonts w:ascii="Arial" w:hAnsi="Arial" w:cs="Arial"/>
        </w:rPr>
      </w:r>
      <w:r w:rsidRPr="00A12039">
        <w:rPr>
          <w:rFonts w:ascii="Arial" w:hAnsi="Arial" w:cs="Arial"/>
        </w:rPr>
        <w:fldChar w:fldCharType="separate"/>
      </w:r>
      <w:r w:rsidRPr="00A12039">
        <w:rPr>
          <w:rFonts w:ascii="Arial" w:hAnsi="Arial" w:cs="Arial"/>
        </w:rPr>
        <w:t xml:space="preserve">Table </w:t>
      </w:r>
      <w:r w:rsidRPr="00A12039">
        <w:rPr>
          <w:rFonts w:ascii="Arial" w:hAnsi="Arial" w:cs="Arial"/>
          <w:noProof/>
        </w:rPr>
        <w:t>1</w:t>
      </w:r>
      <w:r w:rsidRPr="00A12039">
        <w:rPr>
          <w:rFonts w:ascii="Arial" w:hAnsi="Arial" w:cs="Arial"/>
        </w:rPr>
        <w:fldChar w:fldCharType="end"/>
      </w:r>
      <w:r w:rsidRPr="00A12039">
        <w:rPr>
          <w:rFonts w:ascii="Arial" w:hAnsi="Arial" w:cs="Arial"/>
        </w:rPr>
        <w:t>. This describes the indicators that will be measured through routine program reporting, as well as the indicators that will be measured through a set of market surveys. Taken together, these proposed program performance indicators and metrics will measure the success of the program in achieving its objectives.</w:t>
      </w:r>
      <w:r w:rsidRPr="00A12039">
        <w:rPr>
          <w:rFonts w:ascii="Arial" w:hAnsi="Arial" w:cs="Arial"/>
        </w:rPr>
        <w:tab/>
      </w:r>
    </w:p>
    <w:p w14:paraId="7B3E6D86" w14:textId="77777777" w:rsidR="00E6717A" w:rsidRPr="00A12039" w:rsidRDefault="00E6717A" w:rsidP="00E6717A">
      <w:pPr>
        <w:pStyle w:val="Captions"/>
        <w:rPr>
          <w:rFonts w:ascii="Arial" w:hAnsi="Arial" w:cs="Arial"/>
          <w:sz w:val="22"/>
          <w:szCs w:val="22"/>
        </w:rPr>
      </w:pPr>
      <w:bookmarkStart w:id="44" w:name="_Ref101016769"/>
      <w:r w:rsidRPr="00A12039">
        <w:rPr>
          <w:rFonts w:ascii="Arial" w:hAnsi="Arial" w:cs="Arial"/>
          <w:sz w:val="22"/>
          <w:szCs w:val="22"/>
        </w:rPr>
        <w:t xml:space="preserve">Table </w:t>
      </w:r>
      <w:r w:rsidRPr="00A12039">
        <w:rPr>
          <w:rFonts w:ascii="Arial" w:hAnsi="Arial" w:cs="Arial"/>
          <w:sz w:val="22"/>
          <w:szCs w:val="22"/>
        </w:rPr>
        <w:fldChar w:fldCharType="begin"/>
      </w:r>
      <w:r w:rsidRPr="00A12039">
        <w:rPr>
          <w:rFonts w:ascii="Arial" w:hAnsi="Arial" w:cs="Arial"/>
          <w:sz w:val="22"/>
          <w:szCs w:val="22"/>
        </w:rPr>
        <w:instrText>SEQ Table \* ARABIC</w:instrText>
      </w:r>
      <w:r w:rsidRPr="00A12039">
        <w:rPr>
          <w:rFonts w:ascii="Arial" w:hAnsi="Arial" w:cs="Arial"/>
          <w:sz w:val="22"/>
          <w:szCs w:val="22"/>
        </w:rPr>
        <w:fldChar w:fldCharType="separate"/>
      </w:r>
      <w:r w:rsidRPr="00A12039">
        <w:rPr>
          <w:rFonts w:ascii="Arial" w:hAnsi="Arial" w:cs="Arial"/>
          <w:noProof/>
          <w:sz w:val="22"/>
          <w:szCs w:val="22"/>
        </w:rPr>
        <w:t>1</w:t>
      </w:r>
      <w:r w:rsidRPr="00A12039">
        <w:rPr>
          <w:rFonts w:ascii="Arial" w:hAnsi="Arial" w:cs="Arial"/>
          <w:sz w:val="22"/>
          <w:szCs w:val="22"/>
        </w:rPr>
        <w:fldChar w:fldCharType="end"/>
      </w:r>
      <w:bookmarkEnd w:id="44"/>
      <w:r w:rsidRPr="00A12039">
        <w:rPr>
          <w:rFonts w:ascii="Arial" w:hAnsi="Arial" w:cs="Arial"/>
          <w:sz w:val="22"/>
          <w:szCs w:val="22"/>
        </w:rPr>
        <w:t>: Metrics and KPIs Assessed Through Program Reporting; Data Collected</w:t>
      </w:r>
    </w:p>
    <w:tbl>
      <w:tblPr>
        <w:tblStyle w:val="GridTable1Light-Accent2"/>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gridCol w:w="3060"/>
        <w:gridCol w:w="2155"/>
      </w:tblGrid>
      <w:tr w:rsidR="00E6717A" w:rsidRPr="0000181F" w14:paraId="1BF8A6E1" w14:textId="77777777" w:rsidTr="1484ED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shd w:val="clear" w:color="auto" w:fill="8EAADB" w:themeFill="accent1" w:themeFillTint="99"/>
          </w:tcPr>
          <w:p w14:paraId="24FC977B" w14:textId="77777777" w:rsidR="00E6717A" w:rsidRPr="00A12039" w:rsidRDefault="00E6717A">
            <w:pPr>
              <w:rPr>
                <w:rFonts w:ascii="Arial" w:hAnsi="Arial" w:cs="Arial"/>
              </w:rPr>
            </w:pPr>
            <w:r w:rsidRPr="00A12039">
              <w:rPr>
                <w:rFonts w:ascii="Arial" w:hAnsi="Arial" w:cs="Arial"/>
              </w:rPr>
              <w:t>KPI</w:t>
            </w:r>
          </w:p>
        </w:tc>
        <w:tc>
          <w:tcPr>
            <w:tcW w:w="2160" w:type="dxa"/>
            <w:shd w:val="clear" w:color="auto" w:fill="8EAADB" w:themeFill="accent1" w:themeFillTint="99"/>
          </w:tcPr>
          <w:p w14:paraId="094C0F72" w14:textId="77777777" w:rsidR="00E6717A" w:rsidRPr="00A12039" w:rsidRDefault="00E6717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KPI Definition</w:t>
            </w:r>
          </w:p>
        </w:tc>
        <w:tc>
          <w:tcPr>
            <w:tcW w:w="3060" w:type="dxa"/>
            <w:shd w:val="clear" w:color="auto" w:fill="8EAADB" w:themeFill="accent1" w:themeFillTint="99"/>
          </w:tcPr>
          <w:p w14:paraId="45F94003" w14:textId="77777777" w:rsidR="00E6717A" w:rsidRPr="00A12039" w:rsidRDefault="00E6717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12039">
              <w:rPr>
                <w:rFonts w:ascii="Arial" w:eastAsia="Times New Roman" w:hAnsi="Arial" w:cs="Arial"/>
              </w:rPr>
              <w:t>Scoring and Monitoring Mechanism</w:t>
            </w:r>
          </w:p>
        </w:tc>
        <w:tc>
          <w:tcPr>
            <w:tcW w:w="2155" w:type="dxa"/>
            <w:shd w:val="clear" w:color="auto" w:fill="8EAADB" w:themeFill="accent1" w:themeFillTint="99"/>
          </w:tcPr>
          <w:p w14:paraId="06198464" w14:textId="77777777" w:rsidR="00E6717A" w:rsidRPr="00A12039" w:rsidRDefault="00E6717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A12039">
              <w:rPr>
                <w:rFonts w:ascii="Arial" w:eastAsia="Times New Roman" w:hAnsi="Arial" w:cs="Arial"/>
              </w:rPr>
              <w:t>Data Collected</w:t>
            </w:r>
          </w:p>
        </w:tc>
      </w:tr>
      <w:tr w:rsidR="00E6717A" w:rsidRPr="0000181F" w14:paraId="4A64E127"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2D26C235" w14:textId="77777777" w:rsidR="00E6717A" w:rsidRPr="00A12039" w:rsidRDefault="00E6717A" w:rsidP="00E6717A">
            <w:pPr>
              <w:pStyle w:val="ListParagraph"/>
              <w:numPr>
                <w:ilvl w:val="0"/>
                <w:numId w:val="20"/>
              </w:numPr>
              <w:ind w:left="288" w:hanging="288"/>
              <w:rPr>
                <w:rFonts w:ascii="Arial" w:hAnsi="Arial" w:cs="Arial"/>
                <w:b w:val="0"/>
                <w:color w:val="000000" w:themeColor="text1"/>
              </w:rPr>
            </w:pPr>
            <w:r w:rsidRPr="00A12039">
              <w:rPr>
                <w:rFonts w:ascii="Arial" w:hAnsi="Arial" w:cs="Arial"/>
                <w:color w:val="000000" w:themeColor="text1"/>
              </w:rPr>
              <w:t>Program Performance: Sub-Objective #5: Access to capital</w:t>
            </w:r>
          </w:p>
        </w:tc>
        <w:tc>
          <w:tcPr>
            <w:tcW w:w="2160" w:type="dxa"/>
          </w:tcPr>
          <w:p w14:paraId="42F53522" w14:textId="50610252"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1484ED5D">
              <w:rPr>
                <w:rFonts w:ascii="Arial" w:hAnsi="Arial" w:cs="Arial"/>
              </w:rPr>
              <w:t xml:space="preserve">Number of incentivized services provided to customers. </w:t>
            </w:r>
            <w:r w:rsidRPr="1484ED5D">
              <w:rPr>
                <w:rFonts w:ascii="Arial" w:eastAsia="Calibri" w:hAnsi="Arial" w:cs="Arial"/>
                <w:color w:val="000000" w:themeColor="text1"/>
              </w:rPr>
              <w:t xml:space="preserve"> </w:t>
            </w:r>
          </w:p>
        </w:tc>
        <w:tc>
          <w:tcPr>
            <w:tcW w:w="3060" w:type="dxa"/>
          </w:tcPr>
          <w:p w14:paraId="540436F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the total number of services for which incentive payments are sent.</w:t>
            </w:r>
          </w:p>
          <w:p w14:paraId="40BC6A02"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Collected from program tracking data.</w:t>
            </w:r>
          </w:p>
        </w:tc>
        <w:tc>
          <w:tcPr>
            <w:tcW w:w="2155" w:type="dxa"/>
          </w:tcPr>
          <w:p w14:paraId="173B99E2"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reporting: </w:t>
            </w:r>
          </w:p>
          <w:p w14:paraId="648B2DB2"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Monthly and YTD number of services approved for payment of incentive.</w:t>
            </w:r>
          </w:p>
        </w:tc>
      </w:tr>
      <w:tr w:rsidR="00E6717A" w:rsidRPr="0000181F" w14:paraId="78A0CEB3"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B1E66B1" w14:textId="77777777" w:rsidR="00E6717A" w:rsidRPr="00A12039" w:rsidRDefault="00E6717A" w:rsidP="00E6717A">
            <w:pPr>
              <w:pStyle w:val="ListParagraph"/>
              <w:numPr>
                <w:ilvl w:val="0"/>
                <w:numId w:val="20"/>
              </w:numPr>
              <w:ind w:left="288" w:hanging="288"/>
              <w:rPr>
                <w:rFonts w:ascii="Arial" w:eastAsia="Calibri" w:hAnsi="Arial" w:cs="Arial"/>
                <w:b w:val="0"/>
                <w:color w:val="000000" w:themeColor="text1"/>
              </w:rPr>
            </w:pPr>
            <w:r w:rsidRPr="00A12039">
              <w:rPr>
                <w:rFonts w:ascii="Arial" w:hAnsi="Arial" w:cs="Arial"/>
                <w:color w:val="000000" w:themeColor="text1"/>
              </w:rPr>
              <w:t>Program Performance: Sub-Objective #2: Supply</w:t>
            </w:r>
          </w:p>
        </w:tc>
        <w:tc>
          <w:tcPr>
            <w:tcW w:w="2160" w:type="dxa"/>
          </w:tcPr>
          <w:p w14:paraId="78565FC0" w14:textId="7D08E9E9"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12039">
              <w:rPr>
                <w:rFonts w:ascii="Arial" w:hAnsi="Arial" w:cs="Arial"/>
              </w:rPr>
              <w:t xml:space="preserve">Number of licensed Contractors and/or Technicians trained on how to perform Quality Services. </w:t>
            </w:r>
          </w:p>
        </w:tc>
        <w:tc>
          <w:tcPr>
            <w:tcW w:w="3060" w:type="dxa"/>
          </w:tcPr>
          <w:p w14:paraId="24A44595"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the total enrollment and completion of program-provided HVAC quality services training.</w:t>
            </w:r>
          </w:p>
          <w:p w14:paraId="4D0E3048"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Collected from program tracking data.</w:t>
            </w:r>
          </w:p>
        </w:tc>
        <w:tc>
          <w:tcPr>
            <w:tcW w:w="2155" w:type="dxa"/>
          </w:tcPr>
          <w:p w14:paraId="345F1B1D"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reporting: </w:t>
            </w:r>
          </w:p>
          <w:p w14:paraId="3FA00306"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Monthly and YTD number of individuals receiving training.</w:t>
            </w:r>
          </w:p>
        </w:tc>
      </w:tr>
      <w:tr w:rsidR="00E6717A" w:rsidRPr="005D5BD2" w14:paraId="53A5EC5C"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4C269AD8" w14:textId="77777777" w:rsidR="00E6717A" w:rsidRPr="00A12039" w:rsidRDefault="00E6717A" w:rsidP="00E6717A">
            <w:pPr>
              <w:pStyle w:val="ListParagraph"/>
              <w:numPr>
                <w:ilvl w:val="0"/>
                <w:numId w:val="20"/>
              </w:numPr>
              <w:ind w:left="288" w:hanging="288"/>
              <w:rPr>
                <w:rFonts w:ascii="Arial" w:hAnsi="Arial" w:cs="Arial"/>
                <w:color w:val="000000" w:themeColor="text1"/>
              </w:rPr>
            </w:pPr>
            <w:r w:rsidRPr="00A12039">
              <w:rPr>
                <w:rFonts w:ascii="Arial" w:hAnsi="Arial" w:cs="Arial"/>
                <w:color w:val="000000" w:themeColor="text1"/>
              </w:rPr>
              <w:t xml:space="preserve">Marketing: </w:t>
            </w:r>
            <w:r w:rsidRPr="00A12039">
              <w:rPr>
                <w:rFonts w:ascii="Arial" w:hAnsi="Arial" w:cs="Arial"/>
                <w:color w:val="000000" w:themeColor="text1"/>
              </w:rPr>
              <w:br/>
              <w:t>Sub-Objective #3: Partnerships</w:t>
            </w:r>
          </w:p>
        </w:tc>
        <w:tc>
          <w:tcPr>
            <w:tcW w:w="2160" w:type="dxa"/>
          </w:tcPr>
          <w:p w14:paraId="000F2704" w14:textId="7DAF28B5"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Number of market actors reached through partner networks and partner communications channels. </w:t>
            </w:r>
          </w:p>
        </w:tc>
        <w:tc>
          <w:tcPr>
            <w:tcW w:w="3060" w:type="dxa"/>
          </w:tcPr>
          <w:p w14:paraId="6058700F"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the total number of HVAC market actors reached through identified partnerships.</w:t>
            </w:r>
          </w:p>
          <w:p w14:paraId="3BCFE4B7"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Collected from program tracking data</w:t>
            </w:r>
          </w:p>
        </w:tc>
        <w:tc>
          <w:tcPr>
            <w:tcW w:w="2155" w:type="dxa"/>
          </w:tcPr>
          <w:p w14:paraId="31860BDC"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Monthly reporting:</w:t>
            </w:r>
          </w:p>
          <w:p w14:paraId="7E81C66B"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Monthly and YTD number of HVAC market actors reached through partner networks</w:t>
            </w:r>
          </w:p>
        </w:tc>
      </w:tr>
      <w:tr w:rsidR="00E6717A" w:rsidRPr="004650D4" w14:paraId="58E382AA"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1F695812" w14:textId="77777777" w:rsidR="00E6717A" w:rsidRPr="00A12039" w:rsidRDefault="00E6717A" w:rsidP="00E6717A">
            <w:pPr>
              <w:pStyle w:val="ListParagraph"/>
              <w:numPr>
                <w:ilvl w:val="0"/>
                <w:numId w:val="20"/>
              </w:numPr>
              <w:ind w:left="288" w:hanging="288"/>
              <w:rPr>
                <w:rFonts w:ascii="Arial" w:hAnsi="Arial" w:cs="Arial"/>
                <w:b w:val="0"/>
                <w:color w:val="000000" w:themeColor="text1"/>
              </w:rPr>
            </w:pPr>
            <w:r w:rsidRPr="00A12039">
              <w:rPr>
                <w:rFonts w:ascii="Arial" w:hAnsi="Arial" w:cs="Arial"/>
                <w:color w:val="000000" w:themeColor="text1"/>
              </w:rPr>
              <w:t xml:space="preserve">Program Performance: </w:t>
            </w:r>
            <w:r w:rsidRPr="00A12039">
              <w:rPr>
                <w:rFonts w:ascii="Arial" w:hAnsi="Arial" w:cs="Arial"/>
                <w:color w:val="000000" w:themeColor="text1"/>
              </w:rPr>
              <w:br/>
              <w:t>Sub-Objective #4: Innovation and Accessibility – Contractor Progress</w:t>
            </w:r>
          </w:p>
        </w:tc>
        <w:tc>
          <w:tcPr>
            <w:tcW w:w="2160" w:type="dxa"/>
          </w:tcPr>
          <w:p w14:paraId="27646B6E" w14:textId="5E96CE6F"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Percent of the total number of licensed contractors who received an “Enhanced” or “Quality Contractor” tier incentive in the last year that previously received a lower tier incentive. </w:t>
            </w:r>
          </w:p>
        </w:tc>
        <w:tc>
          <w:tcPr>
            <w:tcW w:w="3060" w:type="dxa"/>
          </w:tcPr>
          <w:p w14:paraId="527A19FA"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HVAC Contractor receives a “Basic,” “Enhanced,” or “Quality Contractor” tier incentive for each service provided, based upon the rigor of the services provided (per program standards for each service type and tier, defined in collaboration with the Advisory Panel) and their </w:t>
            </w:r>
            <w:r w:rsidRPr="00A12039">
              <w:rPr>
                <w:rFonts w:ascii="Arial" w:hAnsi="Arial" w:cs="Arial"/>
              </w:rPr>
              <w:lastRenderedPageBreak/>
              <w:t>current status as a Quality Contractor (per program qualifications for a Quality Contractor, defined in collaboration with the Advisory Panel).</w:t>
            </w:r>
          </w:p>
          <w:p w14:paraId="31435C72"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the number of contractors who received an “Enhanced” or “Quality Contractor” tier incentive in the last year.</w:t>
            </w:r>
          </w:p>
          <w:p w14:paraId="003E45FA"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Identify how many of these contractors had ever received a lower tier incentive.</w:t>
            </w:r>
          </w:p>
          <w:p w14:paraId="700F4303"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Divide the latter by the former.</w:t>
            </w:r>
          </w:p>
          <w:p w14:paraId="148AB6F7"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Collected from program tracking data.</w:t>
            </w:r>
          </w:p>
        </w:tc>
        <w:tc>
          <w:tcPr>
            <w:tcW w:w="2155" w:type="dxa"/>
          </w:tcPr>
          <w:p w14:paraId="2899E0BF"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lastRenderedPageBreak/>
              <w:t xml:space="preserve">Monthly reporting: </w:t>
            </w:r>
          </w:p>
          <w:p w14:paraId="324FD003"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number of contractors receiving Enhanced Quality and Quality Contractor incentives in the last 12 months; </w:t>
            </w:r>
          </w:p>
          <w:p w14:paraId="3AEBC7A6" w14:textId="1B825341"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number of these contractors who </w:t>
            </w:r>
            <w:r w:rsidRPr="00A12039">
              <w:rPr>
                <w:rFonts w:ascii="Arial" w:hAnsi="Arial" w:cs="Arial"/>
              </w:rPr>
              <w:lastRenderedPageBreak/>
              <w:t xml:space="preserve">had received a </w:t>
            </w:r>
            <w:proofErr w:type="gramStart"/>
            <w:r w:rsidRPr="00A12039">
              <w:rPr>
                <w:rFonts w:ascii="Arial" w:hAnsi="Arial" w:cs="Arial"/>
              </w:rPr>
              <w:t>lower-tier</w:t>
            </w:r>
            <w:proofErr w:type="gramEnd"/>
            <w:r w:rsidRPr="00A12039">
              <w:rPr>
                <w:rFonts w:ascii="Arial" w:hAnsi="Arial" w:cs="Arial"/>
              </w:rPr>
              <w:t xml:space="preserve"> incentive; </w:t>
            </w:r>
          </w:p>
          <w:p w14:paraId="02570CDE"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u w:val="single"/>
              </w:rPr>
              <w:t>Numerator:</w:t>
            </w:r>
            <w:r w:rsidRPr="00A12039">
              <w:rPr>
                <w:rFonts w:ascii="Arial" w:hAnsi="Arial" w:cs="Arial"/>
              </w:rPr>
              <w:t xml:space="preserve"> count of contractors that received “Enhanced” or “Quality Contractor” tier incentive in the last year that previously received a lower tier incentive</w:t>
            </w:r>
          </w:p>
          <w:p w14:paraId="609540CB"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A12039">
              <w:rPr>
                <w:rFonts w:ascii="Arial" w:hAnsi="Arial" w:cs="Arial"/>
                <w:u w:val="single"/>
              </w:rPr>
              <w:t xml:space="preserve">Denominator: </w:t>
            </w:r>
            <w:r w:rsidRPr="00A12039">
              <w:rPr>
                <w:rFonts w:ascii="Arial" w:hAnsi="Arial" w:cs="Arial"/>
              </w:rPr>
              <w:t>count of contractors that received a basic “Quality Services” incentive in the last year.</w:t>
            </w:r>
          </w:p>
        </w:tc>
      </w:tr>
      <w:tr w:rsidR="00E6717A" w:rsidRPr="000532BA" w14:paraId="1D5405DE"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2B189936" w14:textId="77777777" w:rsidR="00E6717A" w:rsidRPr="00A12039" w:rsidRDefault="00E6717A" w:rsidP="00E6717A">
            <w:pPr>
              <w:pStyle w:val="ListParagraph"/>
              <w:numPr>
                <w:ilvl w:val="0"/>
                <w:numId w:val="20"/>
              </w:numPr>
              <w:ind w:left="288" w:hanging="288"/>
              <w:rPr>
                <w:rFonts w:ascii="Arial" w:hAnsi="Arial" w:cs="Arial"/>
                <w:b w:val="0"/>
                <w:color w:val="000000" w:themeColor="text1"/>
              </w:rPr>
            </w:pPr>
            <w:r w:rsidRPr="00A12039">
              <w:rPr>
                <w:rFonts w:ascii="Arial" w:hAnsi="Arial" w:cs="Arial"/>
                <w:color w:val="000000" w:themeColor="text1"/>
              </w:rPr>
              <w:lastRenderedPageBreak/>
              <w:t>Compliance: Disadvantaged Workers</w:t>
            </w:r>
            <w:r w:rsidRPr="00A12039">
              <w:rPr>
                <w:rFonts w:ascii="Arial" w:hAnsi="Arial" w:cs="Arial"/>
              </w:rPr>
              <w:t xml:space="preserve"> </w:t>
            </w:r>
          </w:p>
        </w:tc>
        <w:tc>
          <w:tcPr>
            <w:tcW w:w="2160" w:type="dxa"/>
          </w:tcPr>
          <w:p w14:paraId="69BA8435" w14:textId="20743DCC"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Percent of services performed by workers who meet the CPUC criteria for “Disadvantaged Worker.” </w:t>
            </w:r>
          </w:p>
        </w:tc>
        <w:tc>
          <w:tcPr>
            <w:tcW w:w="3060" w:type="dxa"/>
          </w:tcPr>
          <w:p w14:paraId="336ECC0E"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Via survey, enrolled contractors will provide zip codes of residence and completed anonymous surveys regarding other Disadvantaged Worker criteria for technicians and contractors employed by the company.</w:t>
            </w:r>
          </w:p>
          <w:p w14:paraId="3C971705" w14:textId="0BE080FD"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Using CalEnviroScreen 4.0 and results of survey, determine the percentage of technicians and contractors employed by each company that meet the CPUC criteria for “Disadvantaged Worker</w:t>
            </w:r>
            <w:r w:rsidR="003E79D4" w:rsidRPr="00A12039">
              <w:rPr>
                <w:rFonts w:ascii="Arial" w:hAnsi="Arial" w:cs="Arial"/>
              </w:rPr>
              <w:t>.”</w:t>
            </w:r>
          </w:p>
          <w:p w14:paraId="0B5ADDCE"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the total number of services performed for each Contractor (participating company).</w:t>
            </w:r>
          </w:p>
          <w:p w14:paraId="37FBEA26"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Multiply that total by the percentage of “Disadvantaged Workers” employed by company to get a proxy estimation of number of services performed by workers who </w:t>
            </w:r>
            <w:r w:rsidRPr="00A12039">
              <w:rPr>
                <w:rFonts w:ascii="Arial" w:hAnsi="Arial" w:cs="Arial"/>
              </w:rPr>
              <w:lastRenderedPageBreak/>
              <w:t>meet the CPUC criteria for “Disadvantaged Worker.”</w:t>
            </w:r>
          </w:p>
          <w:p w14:paraId="5652842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Divide by count of total projects completed in the month.</w:t>
            </w:r>
          </w:p>
          <w:p w14:paraId="36A3B50A"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True up survey conducted bi-annually.</w:t>
            </w:r>
          </w:p>
          <w:p w14:paraId="41650C5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Collected from program tracking data.</w:t>
            </w:r>
          </w:p>
        </w:tc>
        <w:tc>
          <w:tcPr>
            <w:tcW w:w="2155" w:type="dxa"/>
          </w:tcPr>
          <w:p w14:paraId="5C961E12"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lastRenderedPageBreak/>
              <w:t xml:space="preserve">Monthly reporting: </w:t>
            </w:r>
          </w:p>
          <w:p w14:paraId="060C7D8C"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Enrolled contractor worker zip codes and completed surveys.</w:t>
            </w:r>
          </w:p>
          <w:p w14:paraId="283911A4"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YTD number of incentive payments made for services workers who meet the CPUC criteria for “Disadvantaged Worker.”</w:t>
            </w:r>
          </w:p>
          <w:p w14:paraId="306699BE" w14:textId="2F5F890B"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YTD services performed</w:t>
            </w:r>
            <w:r w:rsidR="00F86B3A" w:rsidRPr="00A12039">
              <w:rPr>
                <w:rFonts w:ascii="Arial" w:hAnsi="Arial" w:cs="Arial"/>
              </w:rPr>
              <w:t>.</w:t>
            </w:r>
          </w:p>
          <w:p w14:paraId="6B24EDB4"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u w:val="single"/>
              </w:rPr>
              <w:t>Numerator</w:t>
            </w:r>
            <w:r w:rsidRPr="00A12039">
              <w:rPr>
                <w:rFonts w:ascii="Arial" w:hAnsi="Arial" w:cs="Arial"/>
              </w:rPr>
              <w:t>: proxy estimation of services provided by Disadvantaged Workers obtained via survey for the month.</w:t>
            </w:r>
          </w:p>
          <w:p w14:paraId="02C010E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u w:val="single"/>
              </w:rPr>
              <w:t xml:space="preserve">Denominator: </w:t>
            </w:r>
            <w:r w:rsidRPr="00A12039">
              <w:rPr>
                <w:rFonts w:ascii="Arial" w:hAnsi="Arial" w:cs="Arial"/>
              </w:rPr>
              <w:t>Total number of completed projects for the month.</w:t>
            </w:r>
          </w:p>
        </w:tc>
      </w:tr>
      <w:tr w:rsidR="00E6717A" w:rsidRPr="004650D4" w14:paraId="4680D692"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3B71DABC" w14:textId="77777777" w:rsidR="00E6717A" w:rsidRPr="00A12039" w:rsidRDefault="00E6717A" w:rsidP="00E6717A">
            <w:pPr>
              <w:pStyle w:val="ListParagraph"/>
              <w:numPr>
                <w:ilvl w:val="0"/>
                <w:numId w:val="20"/>
              </w:numPr>
              <w:ind w:left="288" w:hanging="288"/>
              <w:rPr>
                <w:rFonts w:ascii="Arial" w:hAnsi="Arial" w:cs="Arial"/>
                <w:b w:val="0"/>
                <w:color w:val="000000" w:themeColor="text1"/>
              </w:rPr>
            </w:pPr>
            <w:r w:rsidRPr="00A12039">
              <w:rPr>
                <w:rFonts w:ascii="Arial" w:hAnsi="Arial" w:cs="Arial"/>
                <w:color w:val="000000" w:themeColor="text1"/>
              </w:rPr>
              <w:t>Compliance:</w:t>
            </w:r>
            <w:r w:rsidRPr="00A12039">
              <w:rPr>
                <w:rFonts w:ascii="Arial" w:hAnsi="Arial" w:cs="Arial"/>
              </w:rPr>
              <w:t xml:space="preserve"> Reporting Accuracy</w:t>
            </w:r>
          </w:p>
        </w:tc>
        <w:tc>
          <w:tcPr>
            <w:tcW w:w="2160" w:type="dxa"/>
          </w:tcPr>
          <w:p w14:paraId="19E13AE9"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12039">
              <w:rPr>
                <w:rFonts w:ascii="Arial" w:hAnsi="Arial" w:cs="Arial"/>
              </w:rPr>
              <w:t>The variance between the monthly forecasted and actual expenditures.</w:t>
            </w:r>
          </w:p>
        </w:tc>
        <w:tc>
          <w:tcPr>
            <w:tcW w:w="3060" w:type="dxa"/>
          </w:tcPr>
          <w:p w14:paraId="709DC399"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Calculate the absolute value of the difference between actual and forecast monthly total expenditures.</w:t>
            </w:r>
          </w:p>
          <w:p w14:paraId="6F65C54E"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Divide by the monthly forecast expenditures provided to Company from the Implementer.</w:t>
            </w:r>
          </w:p>
          <w:p w14:paraId="2E4F43F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Collected from program financial data.</w:t>
            </w:r>
          </w:p>
        </w:tc>
        <w:tc>
          <w:tcPr>
            <w:tcW w:w="2155" w:type="dxa"/>
          </w:tcPr>
          <w:p w14:paraId="31EE18BE"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reporting: </w:t>
            </w:r>
          </w:p>
          <w:p w14:paraId="1638009A"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w:t>
            </w:r>
            <w:proofErr w:type="gramStart"/>
            <w:r w:rsidRPr="00A12039">
              <w:rPr>
                <w:rFonts w:ascii="Arial" w:hAnsi="Arial" w:cs="Arial"/>
              </w:rPr>
              <w:t>expenditures;</w:t>
            </w:r>
            <w:proofErr w:type="gramEnd"/>
            <w:r w:rsidRPr="00A12039">
              <w:rPr>
                <w:rFonts w:ascii="Arial" w:hAnsi="Arial" w:cs="Arial"/>
              </w:rPr>
              <w:t xml:space="preserve"> </w:t>
            </w:r>
          </w:p>
          <w:p w14:paraId="7D7BC3AC"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expenditure </w:t>
            </w:r>
            <w:proofErr w:type="gramStart"/>
            <w:r w:rsidRPr="00A12039">
              <w:rPr>
                <w:rFonts w:ascii="Arial" w:hAnsi="Arial" w:cs="Arial"/>
              </w:rPr>
              <w:t>forecast;</w:t>
            </w:r>
            <w:proofErr w:type="gramEnd"/>
          </w:p>
          <w:p w14:paraId="100E926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A12039">
              <w:rPr>
                <w:rFonts w:ascii="Arial" w:hAnsi="Arial" w:cs="Arial"/>
              </w:rPr>
              <w:t xml:space="preserve"> </w:t>
            </w:r>
            <w:r w:rsidRPr="00A12039">
              <w:rPr>
                <w:rFonts w:ascii="Arial" w:hAnsi="Arial" w:cs="Arial"/>
                <w:u w:val="single"/>
              </w:rPr>
              <w:t xml:space="preserve">Numerator: </w:t>
            </w:r>
            <w:r w:rsidRPr="00A12039">
              <w:rPr>
                <w:rFonts w:ascii="Arial" w:hAnsi="Arial" w:cs="Arial"/>
              </w:rPr>
              <w:t>absolute value of difference between actual and forecasted monthly total expenditures.</w:t>
            </w:r>
          </w:p>
          <w:p w14:paraId="1A122E24"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A12039">
              <w:rPr>
                <w:rFonts w:ascii="Arial" w:hAnsi="Arial" w:cs="Arial"/>
                <w:u w:val="single"/>
              </w:rPr>
              <w:t xml:space="preserve">Denominator: </w:t>
            </w:r>
            <w:r w:rsidRPr="00A12039">
              <w:rPr>
                <w:rFonts w:ascii="Arial" w:hAnsi="Arial" w:cs="Arial"/>
              </w:rPr>
              <w:t>forecasted expenditures for the month.</w:t>
            </w:r>
          </w:p>
        </w:tc>
      </w:tr>
      <w:tr w:rsidR="00E6717A" w:rsidRPr="004650D4" w14:paraId="4BA49112"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7B4816B" w14:textId="77777777" w:rsidR="00E6717A" w:rsidRPr="00A12039" w:rsidRDefault="00E6717A" w:rsidP="00E6717A">
            <w:pPr>
              <w:pStyle w:val="ListParagraph"/>
              <w:numPr>
                <w:ilvl w:val="0"/>
                <w:numId w:val="20"/>
              </w:numPr>
              <w:ind w:left="288" w:hanging="288"/>
              <w:rPr>
                <w:rFonts w:ascii="Arial" w:hAnsi="Arial" w:cs="Arial"/>
                <w:b w:val="0"/>
                <w:color w:val="000000" w:themeColor="text1"/>
              </w:rPr>
            </w:pPr>
            <w:r w:rsidRPr="00A12039">
              <w:rPr>
                <w:rFonts w:ascii="Arial" w:hAnsi="Arial" w:cs="Arial"/>
                <w:color w:val="000000" w:themeColor="text1"/>
              </w:rPr>
              <w:t>Customer Satisfaction:</w:t>
            </w:r>
            <w:r w:rsidRPr="00A12039">
              <w:rPr>
                <w:rFonts w:ascii="Arial" w:hAnsi="Arial" w:cs="Arial"/>
              </w:rPr>
              <w:t xml:space="preserve"> Complaints Received</w:t>
            </w:r>
          </w:p>
        </w:tc>
        <w:tc>
          <w:tcPr>
            <w:tcW w:w="2160" w:type="dxa"/>
          </w:tcPr>
          <w:p w14:paraId="42D5D2AB"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12039">
              <w:rPr>
                <w:rFonts w:ascii="Arial" w:hAnsi="Arial" w:cs="Arial"/>
              </w:rPr>
              <w:t xml:space="preserve">Number of currently enrolled contractors generating valid complaints on more than 5% of their associated projects divided by total number of enrolled </w:t>
            </w:r>
            <w:proofErr w:type="gramStart"/>
            <w:r w:rsidRPr="00A12039">
              <w:rPr>
                <w:rFonts w:ascii="Arial" w:hAnsi="Arial" w:cs="Arial"/>
              </w:rPr>
              <w:t>contractors</w:t>
            </w:r>
            <w:proofErr w:type="gramEnd"/>
            <w:r w:rsidRPr="00A12039">
              <w:rPr>
                <w:rFonts w:ascii="Arial" w:hAnsi="Arial" w:cs="Arial"/>
              </w:rPr>
              <w:t xml:space="preserve"> program to date.</w:t>
            </w:r>
          </w:p>
        </w:tc>
        <w:tc>
          <w:tcPr>
            <w:tcW w:w="3060" w:type="dxa"/>
          </w:tcPr>
          <w:p w14:paraId="1FFFBA12"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Review complaints to assess validity.</w:t>
            </w:r>
          </w:p>
          <w:p w14:paraId="3092171C" w14:textId="6893B664"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Tabulate the Program to Date (PTD) number of valid complaints received for work by each contractor. </w:t>
            </w:r>
          </w:p>
          <w:p w14:paraId="6F8D6D74"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For each currently enrolled contractor, tabulate the number of services—PTD—that received complaints.</w:t>
            </w:r>
          </w:p>
          <w:p w14:paraId="1FACE4A4" w14:textId="74FD2DB5"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Divide by their total services completed—PTD. </w:t>
            </w:r>
          </w:p>
          <w:p w14:paraId="46CC37D4"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the total number of contractors for which this ratio is &gt; 5%.</w:t>
            </w:r>
          </w:p>
          <w:p w14:paraId="23868819"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Divide this by the total number of currently enrolled contractors. </w:t>
            </w:r>
          </w:p>
          <w:p w14:paraId="7B1FF6E1"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Style w:val="cf01"/>
                <w:rFonts w:ascii="Arial" w:hAnsi="Arial" w:cs="Arial"/>
                <w:sz w:val="22"/>
                <w:szCs w:val="22"/>
              </w:rPr>
            </w:pPr>
            <w:r w:rsidRPr="00A12039">
              <w:rPr>
                <w:rFonts w:ascii="Arial" w:hAnsi="Arial" w:cs="Arial"/>
              </w:rPr>
              <w:t>Data based on complaint data and program tracking data.</w:t>
            </w:r>
          </w:p>
        </w:tc>
        <w:tc>
          <w:tcPr>
            <w:tcW w:w="2155" w:type="dxa"/>
          </w:tcPr>
          <w:p w14:paraId="144F00BD"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reporting:  </w:t>
            </w:r>
          </w:p>
          <w:p w14:paraId="35DC14D3"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and PTD number of complaints </w:t>
            </w:r>
            <w:proofErr w:type="gramStart"/>
            <w:r w:rsidRPr="00A12039">
              <w:rPr>
                <w:rFonts w:ascii="Arial" w:hAnsi="Arial" w:cs="Arial"/>
              </w:rPr>
              <w:t>received;</w:t>
            </w:r>
            <w:proofErr w:type="gramEnd"/>
            <w:r w:rsidRPr="00A12039">
              <w:rPr>
                <w:rFonts w:ascii="Arial" w:hAnsi="Arial" w:cs="Arial"/>
              </w:rPr>
              <w:t xml:space="preserve"> </w:t>
            </w:r>
          </w:p>
          <w:p w14:paraId="5717A50A"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and PTD number of contractors generating complaints on &gt; 5% of </w:t>
            </w:r>
            <w:proofErr w:type="gramStart"/>
            <w:r w:rsidRPr="00A12039">
              <w:rPr>
                <w:rFonts w:ascii="Arial" w:hAnsi="Arial" w:cs="Arial"/>
              </w:rPr>
              <w:t>projects;</w:t>
            </w:r>
            <w:proofErr w:type="gramEnd"/>
            <w:r w:rsidRPr="00A12039">
              <w:rPr>
                <w:rFonts w:ascii="Arial" w:hAnsi="Arial" w:cs="Arial"/>
              </w:rPr>
              <w:t xml:space="preserve">  </w:t>
            </w:r>
          </w:p>
          <w:p w14:paraId="412347ED"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PTD total number of enrolled </w:t>
            </w:r>
            <w:proofErr w:type="gramStart"/>
            <w:r w:rsidRPr="00A12039">
              <w:rPr>
                <w:rFonts w:ascii="Arial" w:hAnsi="Arial" w:cs="Arial"/>
              </w:rPr>
              <w:t>contractors;</w:t>
            </w:r>
            <w:proofErr w:type="gramEnd"/>
            <w:r w:rsidRPr="00A12039">
              <w:rPr>
                <w:rFonts w:ascii="Arial" w:hAnsi="Arial" w:cs="Arial"/>
              </w:rPr>
              <w:t xml:space="preserve"> </w:t>
            </w:r>
          </w:p>
          <w:p w14:paraId="018B1A08"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A12039">
              <w:rPr>
                <w:rFonts w:ascii="Arial" w:hAnsi="Arial" w:cs="Arial"/>
                <w:u w:val="single"/>
              </w:rPr>
              <w:t xml:space="preserve">Numerator: </w:t>
            </w:r>
            <w:r w:rsidRPr="00A12039">
              <w:rPr>
                <w:rFonts w:ascii="Arial" w:hAnsi="Arial" w:cs="Arial"/>
              </w:rPr>
              <w:t>count of</w:t>
            </w:r>
            <w:r w:rsidRPr="00A12039">
              <w:rPr>
                <w:rFonts w:ascii="Arial" w:hAnsi="Arial" w:cs="Arial"/>
                <w:u w:val="single"/>
              </w:rPr>
              <w:t xml:space="preserve"> </w:t>
            </w:r>
            <w:r w:rsidRPr="00A12039">
              <w:rPr>
                <w:rFonts w:ascii="Arial" w:hAnsi="Arial" w:cs="Arial"/>
              </w:rPr>
              <w:t>contractors that have valid complaints on &gt; 5% of their projects.</w:t>
            </w:r>
          </w:p>
          <w:p w14:paraId="50724A98"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A12039">
              <w:rPr>
                <w:rFonts w:ascii="Arial" w:hAnsi="Arial" w:cs="Arial"/>
                <w:u w:val="single"/>
              </w:rPr>
              <w:t>Denominator:</w:t>
            </w:r>
            <w:r w:rsidRPr="00A12039">
              <w:rPr>
                <w:rFonts w:ascii="Arial" w:hAnsi="Arial" w:cs="Arial"/>
              </w:rPr>
              <w:t xml:space="preserve"> count of total number of </w:t>
            </w:r>
            <w:r w:rsidRPr="00A12039">
              <w:rPr>
                <w:rFonts w:ascii="Arial" w:hAnsi="Arial" w:cs="Arial"/>
              </w:rPr>
              <w:lastRenderedPageBreak/>
              <w:t>currently enrolled contractors.</w:t>
            </w:r>
          </w:p>
        </w:tc>
      </w:tr>
      <w:tr w:rsidR="00E6717A" w:rsidRPr="00F10293" w14:paraId="253AB6F7"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35E3B68" w14:textId="77777777" w:rsidR="00E6717A" w:rsidRPr="00A12039" w:rsidRDefault="00E6717A" w:rsidP="00E6717A">
            <w:pPr>
              <w:pStyle w:val="ListParagraph"/>
              <w:numPr>
                <w:ilvl w:val="0"/>
                <w:numId w:val="20"/>
              </w:numPr>
              <w:ind w:left="288" w:hanging="288"/>
              <w:rPr>
                <w:rFonts w:ascii="Arial" w:hAnsi="Arial" w:cs="Arial"/>
                <w:b w:val="0"/>
                <w:color w:val="000000" w:themeColor="text1"/>
              </w:rPr>
            </w:pPr>
            <w:r w:rsidRPr="00A12039">
              <w:rPr>
                <w:rFonts w:ascii="Arial" w:hAnsi="Arial" w:cs="Arial"/>
              </w:rPr>
              <w:lastRenderedPageBreak/>
              <w:t xml:space="preserve">Compliance: </w:t>
            </w:r>
            <w:r w:rsidRPr="00A12039">
              <w:rPr>
                <w:rFonts w:ascii="Arial" w:hAnsi="Arial" w:cs="Arial"/>
              </w:rPr>
              <w:br/>
              <w:t>Diverse Business Enterprise</w:t>
            </w:r>
          </w:p>
        </w:tc>
        <w:tc>
          <w:tcPr>
            <w:tcW w:w="2160" w:type="dxa"/>
          </w:tcPr>
          <w:p w14:paraId="5119AC6B" w14:textId="7E9CDBD9"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themeColor="text1"/>
              </w:rPr>
            </w:pPr>
            <w:r w:rsidRPr="00A12039">
              <w:rPr>
                <w:rFonts w:ascii="Arial" w:hAnsi="Arial" w:cs="Arial"/>
              </w:rPr>
              <w:t xml:space="preserve">DBE spending not including DR expenditures. </w:t>
            </w:r>
          </w:p>
        </w:tc>
        <w:tc>
          <w:tcPr>
            <w:tcW w:w="3060" w:type="dxa"/>
          </w:tcPr>
          <w:p w14:paraId="60F86215"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monthly payments made to subcontractors that are DBEs.</w:t>
            </w:r>
          </w:p>
          <w:p w14:paraId="33D797F8"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Based on program financial data.</w:t>
            </w:r>
          </w:p>
        </w:tc>
        <w:tc>
          <w:tcPr>
            <w:tcW w:w="2155" w:type="dxa"/>
          </w:tcPr>
          <w:p w14:paraId="70EDE4D9"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Monthly reporting: </w:t>
            </w:r>
          </w:p>
          <w:p w14:paraId="71715E47"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Monthly payments made to DBEs.</w:t>
            </w:r>
          </w:p>
        </w:tc>
      </w:tr>
      <w:tr w:rsidR="00E6717A" w:rsidRPr="00F10293" w14:paraId="50849564"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5889EE3B" w14:textId="77777777" w:rsidR="00E6717A" w:rsidRPr="00A12039" w:rsidRDefault="00E6717A" w:rsidP="00E6717A">
            <w:pPr>
              <w:pStyle w:val="ListParagraph"/>
              <w:numPr>
                <w:ilvl w:val="0"/>
                <w:numId w:val="20"/>
              </w:numPr>
              <w:ind w:left="288" w:hanging="288"/>
              <w:rPr>
                <w:rFonts w:ascii="Arial" w:hAnsi="Arial" w:cs="Arial"/>
                <w:b w:val="0"/>
              </w:rPr>
            </w:pPr>
            <w:r w:rsidRPr="00A12039">
              <w:rPr>
                <w:rFonts w:ascii="Arial" w:hAnsi="Arial" w:cs="Arial"/>
              </w:rPr>
              <w:t>Program Performance:  Sub-Objective #4: Innovation and Accessibility: Customer Recognition of Value</w:t>
            </w:r>
          </w:p>
        </w:tc>
        <w:tc>
          <w:tcPr>
            <w:tcW w:w="2160" w:type="dxa"/>
          </w:tcPr>
          <w:p w14:paraId="3E8538BB"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Program Validates Effectiveness of Program Interventions: Average response on an annual survey of participating customers on a Likert scale</w:t>
            </w:r>
            <w:r w:rsidRPr="00A12039" w:rsidDel="0010235E">
              <w:rPr>
                <w:rFonts w:ascii="Arial" w:hAnsi="Arial" w:cs="Arial"/>
              </w:rPr>
              <w:t xml:space="preserve"> </w:t>
            </w:r>
            <w:r w:rsidRPr="00A12039">
              <w:rPr>
                <w:rFonts w:ascii="Arial" w:hAnsi="Arial" w:cs="Arial"/>
              </w:rPr>
              <w:t>question (0=no value; 100=extreme value) about value received from HVAC services, MINUS baseline response (average response of non-participant HVAC service customers in a survey conducted during program ramp up).</w:t>
            </w:r>
          </w:p>
        </w:tc>
        <w:tc>
          <w:tcPr>
            <w:tcW w:w="3060" w:type="dxa"/>
          </w:tcPr>
          <w:p w14:paraId="17DE3BF9"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Conduct baseline survey of customers prior to program launch to create non-participant sample frame.</w:t>
            </w:r>
          </w:p>
          <w:p w14:paraId="43AF715C"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Conduct annual survey of customers participating in the last year.</w:t>
            </w:r>
          </w:p>
          <w:p w14:paraId="3C9CAF36"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Analyze demographics of participants and re-sample from non-participant sample frame to match.</w:t>
            </w:r>
          </w:p>
          <w:p w14:paraId="61FA8DD2"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Tabulate participant and non-participant scores on question about value provided.</w:t>
            </w:r>
          </w:p>
          <w:p w14:paraId="641F9E02"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Calculate the difference in scores between participants and non-participants.</w:t>
            </w:r>
          </w:p>
        </w:tc>
        <w:tc>
          <w:tcPr>
            <w:tcW w:w="2155" w:type="dxa"/>
          </w:tcPr>
          <w:p w14:paraId="2BFDA212"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Annual reporting:  </w:t>
            </w:r>
          </w:p>
          <w:p w14:paraId="3C3F633B"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Participant score on annual </w:t>
            </w:r>
            <w:proofErr w:type="gramStart"/>
            <w:r w:rsidRPr="00A12039">
              <w:rPr>
                <w:rFonts w:ascii="Arial" w:hAnsi="Arial" w:cs="Arial"/>
              </w:rPr>
              <w:t>survey;</w:t>
            </w:r>
            <w:proofErr w:type="gramEnd"/>
            <w:r w:rsidRPr="00A12039">
              <w:rPr>
                <w:rFonts w:ascii="Arial" w:hAnsi="Arial" w:cs="Arial"/>
              </w:rPr>
              <w:t xml:space="preserve"> </w:t>
            </w:r>
          </w:p>
          <w:p w14:paraId="66CEAE57" w14:textId="77777777" w:rsidR="00E6717A" w:rsidRPr="00D17FC7"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sidRPr="00D17FC7">
              <w:rPr>
                <w:rFonts w:ascii="Arial" w:hAnsi="Arial" w:cs="Arial"/>
                <w:lang w:val="fr-FR"/>
              </w:rPr>
              <w:t xml:space="preserve">Non-participant score on initial </w:t>
            </w:r>
            <w:proofErr w:type="spellStart"/>
            <w:proofErr w:type="gramStart"/>
            <w:r w:rsidRPr="00D17FC7">
              <w:rPr>
                <w:rFonts w:ascii="Arial" w:hAnsi="Arial" w:cs="Arial"/>
                <w:lang w:val="fr-FR"/>
              </w:rPr>
              <w:t>survey</w:t>
            </w:r>
            <w:proofErr w:type="spellEnd"/>
            <w:r w:rsidRPr="00D17FC7">
              <w:rPr>
                <w:rFonts w:ascii="Arial" w:hAnsi="Arial" w:cs="Arial"/>
                <w:lang w:val="fr-FR"/>
              </w:rPr>
              <w:t>;</w:t>
            </w:r>
            <w:proofErr w:type="gramEnd"/>
            <w:r w:rsidRPr="00D17FC7">
              <w:rPr>
                <w:rFonts w:ascii="Arial" w:hAnsi="Arial" w:cs="Arial"/>
                <w:lang w:val="fr-FR"/>
              </w:rPr>
              <w:t xml:space="preserve"> </w:t>
            </w:r>
          </w:p>
          <w:p w14:paraId="22032CA1"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Difference in </w:t>
            </w:r>
            <w:proofErr w:type="gramStart"/>
            <w:r w:rsidRPr="00A12039">
              <w:rPr>
                <w:rFonts w:ascii="Arial" w:hAnsi="Arial" w:cs="Arial"/>
              </w:rPr>
              <w:t>scores;</w:t>
            </w:r>
            <w:proofErr w:type="gramEnd"/>
            <w:r w:rsidRPr="00A12039">
              <w:rPr>
                <w:rFonts w:ascii="Arial" w:hAnsi="Arial" w:cs="Arial"/>
              </w:rPr>
              <w:t xml:space="preserve"> </w:t>
            </w:r>
          </w:p>
          <w:p w14:paraId="6ED3DAFA"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Report analyzing results of survey.</w:t>
            </w:r>
          </w:p>
        </w:tc>
      </w:tr>
      <w:tr w:rsidR="00E6717A" w:rsidRPr="00F10293" w14:paraId="07A073DF" w14:textId="77777777" w:rsidTr="1484ED5D">
        <w:trPr>
          <w:jc w:val="center"/>
        </w:trPr>
        <w:tc>
          <w:tcPr>
            <w:cnfStyle w:val="001000000000" w:firstRow="0" w:lastRow="0" w:firstColumn="1" w:lastColumn="0" w:oddVBand="0" w:evenVBand="0" w:oddHBand="0" w:evenHBand="0" w:firstRowFirstColumn="0" w:firstRowLastColumn="0" w:lastRowFirstColumn="0" w:lastRowLastColumn="0"/>
            <w:tcW w:w="1975" w:type="dxa"/>
          </w:tcPr>
          <w:p w14:paraId="0963FED0" w14:textId="77777777" w:rsidR="00E6717A" w:rsidRPr="00A12039" w:rsidRDefault="00E6717A" w:rsidP="00E6717A">
            <w:pPr>
              <w:pStyle w:val="ListParagraph"/>
              <w:numPr>
                <w:ilvl w:val="0"/>
                <w:numId w:val="20"/>
              </w:numPr>
              <w:ind w:left="288" w:hanging="288"/>
              <w:rPr>
                <w:rFonts w:ascii="Arial" w:hAnsi="Arial" w:cs="Arial"/>
                <w:b w:val="0"/>
              </w:rPr>
            </w:pPr>
            <w:r w:rsidRPr="00A12039">
              <w:rPr>
                <w:rFonts w:ascii="Arial" w:hAnsi="Arial" w:cs="Arial"/>
              </w:rPr>
              <w:t>Program Performance:  Sub-Objective #4: Innovation and Accessibility: Contractor Knowledge about Quality</w:t>
            </w:r>
          </w:p>
        </w:tc>
        <w:tc>
          <w:tcPr>
            <w:tcW w:w="2160" w:type="dxa"/>
          </w:tcPr>
          <w:p w14:paraId="5C33311A"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Program Validates Effectiveness of Program Interventions: Average score (0-100) on annual assessment of participating contractors' awareness, knowledge, attitudes, and behavior about Quality HVAC Services, MINUS baseline score (average score achieved by non-participating HVAC </w:t>
            </w:r>
            <w:r w:rsidRPr="00A12039">
              <w:rPr>
                <w:rFonts w:ascii="Arial" w:hAnsi="Arial" w:cs="Arial"/>
              </w:rPr>
              <w:lastRenderedPageBreak/>
              <w:t>service contractors in a survey conducted during program ramp up.)</w:t>
            </w:r>
          </w:p>
        </w:tc>
        <w:tc>
          <w:tcPr>
            <w:tcW w:w="3060" w:type="dxa"/>
          </w:tcPr>
          <w:p w14:paraId="32EF8D7C"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lastRenderedPageBreak/>
              <w:t>Conduct baseline survey of contractors prior to program launch to create non-participant sample frame.</w:t>
            </w:r>
          </w:p>
          <w:p w14:paraId="2B139C2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Conduct baseline survey of participating contractors as they are enrolled. </w:t>
            </w:r>
          </w:p>
          <w:p w14:paraId="2A593571"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Conduct annual survey of contractors participating in the last year.</w:t>
            </w:r>
          </w:p>
          <w:p w14:paraId="3B640445"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Analyze demographics of participants and re-sample from non-participant sample frame to match.</w:t>
            </w:r>
          </w:p>
          <w:p w14:paraId="0704AB34"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Tabulate participant and non-participant scores on questions about </w:t>
            </w:r>
            <w:r w:rsidRPr="00A12039">
              <w:rPr>
                <w:rFonts w:ascii="Arial" w:hAnsi="Arial" w:cs="Arial"/>
              </w:rPr>
              <w:lastRenderedPageBreak/>
              <w:t>awareness, knowledge, attitudes, and behavior.</w:t>
            </w:r>
          </w:p>
          <w:p w14:paraId="59289F17"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Calculate the difference in scores between participants and non-participants.</w:t>
            </w:r>
          </w:p>
        </w:tc>
        <w:tc>
          <w:tcPr>
            <w:tcW w:w="2155" w:type="dxa"/>
          </w:tcPr>
          <w:p w14:paraId="066C0DDA" w14:textId="77777777" w:rsidR="00E6717A" w:rsidRPr="00A12039" w:rsidRDefault="00E6717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lastRenderedPageBreak/>
              <w:t xml:space="preserve">Annual reporting:  </w:t>
            </w:r>
          </w:p>
          <w:p w14:paraId="7A5C0529"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Participant score on annual </w:t>
            </w:r>
            <w:proofErr w:type="gramStart"/>
            <w:r w:rsidRPr="00A12039">
              <w:rPr>
                <w:rFonts w:ascii="Arial" w:hAnsi="Arial" w:cs="Arial"/>
              </w:rPr>
              <w:t>survey;</w:t>
            </w:r>
            <w:proofErr w:type="gramEnd"/>
            <w:r w:rsidRPr="00A12039">
              <w:rPr>
                <w:rFonts w:ascii="Arial" w:hAnsi="Arial" w:cs="Arial"/>
              </w:rPr>
              <w:t xml:space="preserve"> </w:t>
            </w:r>
          </w:p>
          <w:p w14:paraId="373EF31A" w14:textId="77777777" w:rsidR="00E6717A" w:rsidRPr="00D17FC7"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lang w:val="fr-FR"/>
              </w:rPr>
            </w:pPr>
            <w:r w:rsidRPr="00D17FC7">
              <w:rPr>
                <w:rFonts w:ascii="Arial" w:hAnsi="Arial" w:cs="Arial"/>
                <w:lang w:val="fr-FR"/>
              </w:rPr>
              <w:t xml:space="preserve">Non-participant score on initial </w:t>
            </w:r>
            <w:proofErr w:type="spellStart"/>
            <w:proofErr w:type="gramStart"/>
            <w:r w:rsidRPr="00D17FC7">
              <w:rPr>
                <w:rFonts w:ascii="Arial" w:hAnsi="Arial" w:cs="Arial"/>
                <w:lang w:val="fr-FR"/>
              </w:rPr>
              <w:t>survey</w:t>
            </w:r>
            <w:proofErr w:type="spellEnd"/>
            <w:r w:rsidRPr="00D17FC7">
              <w:rPr>
                <w:rFonts w:ascii="Arial" w:hAnsi="Arial" w:cs="Arial"/>
                <w:lang w:val="fr-FR"/>
              </w:rPr>
              <w:t>;</w:t>
            </w:r>
            <w:proofErr w:type="gramEnd"/>
            <w:r w:rsidRPr="00D17FC7">
              <w:rPr>
                <w:rFonts w:ascii="Arial" w:hAnsi="Arial" w:cs="Arial"/>
                <w:lang w:val="fr-FR"/>
              </w:rPr>
              <w:t xml:space="preserve"> </w:t>
            </w:r>
          </w:p>
          <w:p w14:paraId="0500F401"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 xml:space="preserve">Difference in </w:t>
            </w:r>
            <w:proofErr w:type="gramStart"/>
            <w:r w:rsidRPr="00A12039">
              <w:rPr>
                <w:rFonts w:ascii="Arial" w:hAnsi="Arial" w:cs="Arial"/>
              </w:rPr>
              <w:t>scores;</w:t>
            </w:r>
            <w:proofErr w:type="gramEnd"/>
            <w:r w:rsidRPr="00A12039">
              <w:rPr>
                <w:rFonts w:ascii="Arial" w:hAnsi="Arial" w:cs="Arial"/>
              </w:rPr>
              <w:t xml:space="preserve"> </w:t>
            </w:r>
          </w:p>
          <w:p w14:paraId="109D8FC0" w14:textId="77777777" w:rsidR="00E6717A" w:rsidRPr="00A12039" w:rsidRDefault="00E6717A" w:rsidP="00E6717A">
            <w:pPr>
              <w:pStyle w:val="ListParagraph"/>
              <w:numPr>
                <w:ilvl w:val="0"/>
                <w:numId w:val="19"/>
              </w:numPr>
              <w:ind w:left="144" w:hanging="144"/>
              <w:cnfStyle w:val="000000000000" w:firstRow="0" w:lastRow="0" w:firstColumn="0" w:lastColumn="0" w:oddVBand="0" w:evenVBand="0" w:oddHBand="0" w:evenHBand="0" w:firstRowFirstColumn="0" w:firstRowLastColumn="0" w:lastRowFirstColumn="0" w:lastRowLastColumn="0"/>
              <w:rPr>
                <w:rFonts w:ascii="Arial" w:hAnsi="Arial" w:cs="Arial"/>
              </w:rPr>
            </w:pPr>
            <w:r w:rsidRPr="00A12039">
              <w:rPr>
                <w:rFonts w:ascii="Arial" w:hAnsi="Arial" w:cs="Arial"/>
              </w:rPr>
              <w:t>Report analyzing results of survey.</w:t>
            </w:r>
          </w:p>
        </w:tc>
      </w:tr>
    </w:tbl>
    <w:p w14:paraId="3189F18D" w14:textId="77777777" w:rsidR="00E6717A" w:rsidRPr="00A12039" w:rsidRDefault="00E6717A" w:rsidP="00E6717A">
      <w:pPr>
        <w:rPr>
          <w:rFonts w:ascii="Arial" w:hAnsi="Arial" w:cs="Arial"/>
        </w:rPr>
      </w:pPr>
    </w:p>
    <w:p w14:paraId="14048943" w14:textId="77777777" w:rsidR="00E6717A" w:rsidRPr="00A12039" w:rsidRDefault="00E6717A" w:rsidP="00E6717A">
      <w:pPr>
        <w:rPr>
          <w:rFonts w:ascii="Arial" w:hAnsi="Arial" w:cs="Arial"/>
          <w:b/>
        </w:rPr>
      </w:pPr>
      <w:r w:rsidRPr="00A12039">
        <w:rPr>
          <w:rFonts w:ascii="Arial" w:hAnsi="Arial" w:cs="Arial"/>
          <w:b/>
        </w:rPr>
        <w:t>Measurement and Verification Using Quarterly Reporting</w:t>
      </w:r>
    </w:p>
    <w:p w14:paraId="0D129D6B" w14:textId="7F50DA81" w:rsidR="00E6717A" w:rsidRPr="00A12039" w:rsidRDefault="00E6717A" w:rsidP="00E6717A">
      <w:pPr>
        <w:jc w:val="both"/>
        <w:rPr>
          <w:rFonts w:ascii="Arial" w:hAnsi="Arial" w:cs="Arial"/>
        </w:rPr>
      </w:pPr>
      <w:r w:rsidRPr="00A12039">
        <w:rPr>
          <w:rFonts w:ascii="Arial" w:hAnsi="Arial" w:cs="Arial"/>
        </w:rPr>
        <w:t xml:space="preserve">The plan for the program includes a thorough process of evaluating and reporting on these KPIs and metrics. The program will collect a large amount of data on the contractors participating in the program, the work that is performed by those contractors, and the customers who are the recipients of that work. Table 1 above identifies data collected. A tracking system will be used that facilitates the efficient and accurate entry and validation of contractor, project, and customer information. It is a simple matter to define periodic reports that will be generated as needed and automatically to report on program operations. During the design phase of the program, specific reports will be defined to report on the values of KPIs 1-8. </w:t>
      </w:r>
    </w:p>
    <w:p w14:paraId="1E2DCFB0" w14:textId="3ED12066" w:rsidR="00E6717A" w:rsidRPr="00A12039" w:rsidRDefault="00E6717A" w:rsidP="00E6717A">
      <w:pPr>
        <w:jc w:val="both"/>
        <w:rPr>
          <w:rFonts w:ascii="Arial" w:hAnsi="Arial" w:cs="Arial"/>
        </w:rPr>
      </w:pPr>
      <w:r w:rsidRPr="00A12039">
        <w:rPr>
          <w:rFonts w:ascii="Arial" w:hAnsi="Arial" w:cs="Arial"/>
        </w:rPr>
        <w:t>During the implementation phase of the program</w:t>
      </w:r>
      <w:r w:rsidR="005F6D3E">
        <w:rPr>
          <w:rFonts w:ascii="Arial" w:hAnsi="Arial" w:cs="Arial"/>
        </w:rPr>
        <w:t>,</w:t>
      </w:r>
      <w:r w:rsidRPr="00A12039">
        <w:rPr>
          <w:rFonts w:ascii="Arial" w:hAnsi="Arial" w:cs="Arial"/>
        </w:rPr>
        <w:t xml:space="preserve"> monthly reports will be generated automatically, reviewed internally for consistency and accuracy, and uploaded as required to the CPUC program portal. After review by the CPUC, the program will respond promptly to questions submitted by the CPUC. Upon receipt of any Data Requests from the CPUC, the program will generate custom reports required to provide the information that the CPUC requires. </w:t>
      </w:r>
      <w:r w:rsidR="00CD1BD6" w:rsidRPr="00A12039">
        <w:rPr>
          <w:rFonts w:ascii="Arial" w:hAnsi="Arial" w:cs="Arial"/>
        </w:rPr>
        <w:t>The</w:t>
      </w:r>
      <w:r w:rsidRPr="00A12039">
        <w:rPr>
          <w:rFonts w:ascii="Arial" w:hAnsi="Arial" w:cs="Arial"/>
        </w:rPr>
        <w:t xml:space="preserve"> program implementation team</w:t>
      </w:r>
      <w:r w:rsidR="00CD1BD6" w:rsidRPr="00A12039">
        <w:rPr>
          <w:rFonts w:ascii="Arial" w:hAnsi="Arial" w:cs="Arial"/>
        </w:rPr>
        <w:t xml:space="preserve"> will conduct these tasks</w:t>
      </w:r>
      <w:r w:rsidRPr="00A12039">
        <w:rPr>
          <w:rFonts w:ascii="Arial" w:hAnsi="Arial" w:cs="Arial"/>
        </w:rPr>
        <w:t>, particularly the sub-team that is responsible for data tracking and reporting. The results will be reviewed and evaluated by the Program Manager and the Technical Lead.</w:t>
      </w:r>
    </w:p>
    <w:p w14:paraId="5E856728" w14:textId="77777777" w:rsidR="00E6717A" w:rsidRPr="00A12039" w:rsidRDefault="00E6717A" w:rsidP="00E6717A">
      <w:pPr>
        <w:rPr>
          <w:rFonts w:ascii="Arial" w:hAnsi="Arial" w:cs="Arial"/>
          <w:b/>
        </w:rPr>
      </w:pPr>
      <w:r w:rsidRPr="00A12039">
        <w:rPr>
          <w:rFonts w:ascii="Arial" w:hAnsi="Arial" w:cs="Arial"/>
          <w:b/>
        </w:rPr>
        <w:t>Measurement and Verification Using Customer and Contractor Surveys</w:t>
      </w:r>
    </w:p>
    <w:p w14:paraId="3ED349AA" w14:textId="51D27268" w:rsidR="00E6717A" w:rsidRPr="00A12039" w:rsidRDefault="00E6717A" w:rsidP="00E6717A">
      <w:pPr>
        <w:jc w:val="both"/>
        <w:rPr>
          <w:rFonts w:ascii="Arial" w:hAnsi="Arial" w:cs="Arial"/>
        </w:rPr>
      </w:pPr>
      <w:r w:rsidRPr="00A12039">
        <w:rPr>
          <w:rFonts w:ascii="Arial" w:hAnsi="Arial" w:cs="Arial"/>
        </w:rPr>
        <w:t xml:space="preserve">During program ramp up (in the first half of program year 1), the program implementers will conduct a baseline survey of non-participating contractors and IOU customers prior to launch of the program. Program implementers will also conduct a baseline survey of contractors as they are enrolled. Near the end of each program year, the program implementers will conduct surveys to report on the values of KPIs 9 and 10. These surveys will be administered using a combination of online, postcard, and telephone survey methods. </w:t>
      </w:r>
      <w:r w:rsidRPr="00A12039">
        <w:rPr>
          <w:rFonts w:ascii="Arial" w:eastAsia="Times New Roman" w:hAnsi="Arial" w:cs="Arial"/>
        </w:rPr>
        <w:t>The survey instruments, sample frames, targeted sample sizes, and selected samples are to be reviewed and approved by Company. This effort will share many characteristics with the California Market Effects Evaluation Protocol.</w:t>
      </w:r>
    </w:p>
    <w:p w14:paraId="4ABDDA52" w14:textId="4BB69CC1" w:rsidR="00E6717A" w:rsidRPr="00A12039" w:rsidRDefault="00E6717A" w:rsidP="00E6717A">
      <w:pPr>
        <w:pStyle w:val="ListParagraph"/>
        <w:numPr>
          <w:ilvl w:val="0"/>
          <w:numId w:val="18"/>
        </w:numPr>
        <w:spacing w:after="120" w:line="240" w:lineRule="auto"/>
        <w:rPr>
          <w:rFonts w:ascii="Arial" w:hAnsi="Arial" w:cs="Arial"/>
        </w:rPr>
      </w:pPr>
      <w:r w:rsidRPr="00A12039">
        <w:rPr>
          <w:rFonts w:ascii="Arial" w:hAnsi="Arial" w:cs="Arial"/>
        </w:rPr>
        <w:t xml:space="preserve">The Customer Survey will primarily </w:t>
      </w:r>
      <w:r w:rsidRPr="00A12039">
        <w:rPr>
          <w:rFonts w:ascii="Arial" w:eastAsia="Times New Roman" w:hAnsi="Arial" w:cs="Arial"/>
          <w:color w:val="000000"/>
        </w:rPr>
        <w:t xml:space="preserve">measure whether customers received value and understand the value of HVAC services they received. These are measured by an Awareness, Knowledge, Attitudes, and Behavior (AKAB) survey that asks what level of value customers received from any HVAC services they have been provided in recent months. </w:t>
      </w:r>
      <w:r w:rsidRPr="00A12039">
        <w:rPr>
          <w:rFonts w:ascii="Arial" w:hAnsi="Arial" w:cs="Arial"/>
        </w:rPr>
        <w:t xml:space="preserve">By asking these questions of participating customers, as well as other similar customers who received HVAC services throughout the program period, it will be possible to comment on changes in the market due to the program. </w:t>
      </w:r>
    </w:p>
    <w:p w14:paraId="706D5447" w14:textId="77777777" w:rsidR="00E6717A" w:rsidRPr="00A12039" w:rsidRDefault="00E6717A" w:rsidP="00E6717A">
      <w:pPr>
        <w:pStyle w:val="ListParagraph"/>
        <w:spacing w:after="120" w:line="240" w:lineRule="auto"/>
        <w:rPr>
          <w:rFonts w:ascii="Arial" w:hAnsi="Arial" w:cs="Arial"/>
        </w:rPr>
      </w:pPr>
    </w:p>
    <w:p w14:paraId="2D47157D" w14:textId="1BE055B2" w:rsidR="00E6717A" w:rsidRPr="00A12039" w:rsidRDefault="00E6717A" w:rsidP="00E6717A">
      <w:pPr>
        <w:pStyle w:val="ListParagraph"/>
        <w:spacing w:after="120" w:line="240" w:lineRule="auto"/>
        <w:rPr>
          <w:rFonts w:ascii="Arial" w:hAnsi="Arial" w:cs="Arial"/>
        </w:rPr>
      </w:pPr>
      <w:r w:rsidRPr="00A12039">
        <w:rPr>
          <w:rFonts w:ascii="Arial" w:hAnsi="Arial" w:cs="Arial"/>
        </w:rPr>
        <w:t xml:space="preserve">KPI #9 will be scored based upon answers to a question about the amount of value households received from HVAC services recently provided (on a scale from 0=no value to 100=extreme value). The baseline (non-participant) score will be based upon the average response from a random sample of households that are identified as having </w:t>
      </w:r>
      <w:r w:rsidRPr="00A12039">
        <w:rPr>
          <w:rFonts w:ascii="Arial" w:hAnsi="Arial" w:cs="Arial"/>
        </w:rPr>
        <w:lastRenderedPageBreak/>
        <w:t>received some sort of HVAC service in the previous year (identified either through an in-survey screener question, or through development of a sample frame of customers identified as having recently received a service). Note that we may need to go back further than one year in order to obtain an adequate sample size. Efforts will be made to minimize the potential for self-selection bias in identifying this sample. The participant score will be based upon the average response from as many as possible of the households that received services in the last year for which an incentive was paid in the QIQM program. The difference in scores will be calculated and will range from 0 to 100. The program goal is that the difference will be at least 10 points, where the participant score is higher than non-participant</w:t>
      </w:r>
      <w:r w:rsidRPr="00A12039" w:rsidDel="00092BE5">
        <w:rPr>
          <w:rFonts w:ascii="Arial" w:hAnsi="Arial" w:cs="Arial"/>
        </w:rPr>
        <w:t>.</w:t>
      </w:r>
      <w:r w:rsidRPr="00A12039">
        <w:rPr>
          <w:rFonts w:ascii="Arial" w:eastAsia="Times New Roman" w:hAnsi="Arial" w:cs="Arial"/>
          <w:color w:val="000000"/>
        </w:rPr>
        <w:t xml:space="preserve"> </w:t>
      </w:r>
    </w:p>
    <w:p w14:paraId="1B103341" w14:textId="77777777" w:rsidR="00E6717A" w:rsidRPr="00A12039" w:rsidRDefault="00E6717A" w:rsidP="00E6717A">
      <w:pPr>
        <w:spacing w:after="120" w:line="240" w:lineRule="auto"/>
        <w:ind w:left="720"/>
        <w:rPr>
          <w:rFonts w:ascii="Arial" w:hAnsi="Arial" w:cs="Arial"/>
        </w:rPr>
      </w:pPr>
      <w:r w:rsidRPr="00A12039">
        <w:rPr>
          <w:rFonts w:ascii="Arial" w:eastAsia="Times New Roman" w:hAnsi="Arial" w:cs="Arial"/>
          <w:color w:val="000000"/>
        </w:rPr>
        <w:t xml:space="preserve">This survey will </w:t>
      </w:r>
      <w:r w:rsidRPr="00A12039">
        <w:rPr>
          <w:rFonts w:ascii="Arial" w:hAnsi="Arial" w:cs="Arial"/>
        </w:rPr>
        <w:t>also ask questions such as: in what way did the service provide or fail to provide value; whether the customer ended up deciding on a "better" or "best" system due to the Customer Report; whether the customer regards the technician and contractor with respect due to his/her professionalism, and values his/her advice; whether the customer would be willing to pay more and tolerate longer service calls in order to receive such higher quality services; and whether the customer felt that the service provided a "solution."</w:t>
      </w:r>
    </w:p>
    <w:p w14:paraId="578B0C18" w14:textId="77777777" w:rsidR="00E6717A" w:rsidRPr="00A12039" w:rsidRDefault="00E6717A" w:rsidP="00E6717A">
      <w:pPr>
        <w:pStyle w:val="ListParagraph"/>
        <w:numPr>
          <w:ilvl w:val="0"/>
          <w:numId w:val="18"/>
        </w:numPr>
        <w:spacing w:after="120" w:line="240" w:lineRule="auto"/>
        <w:rPr>
          <w:rFonts w:ascii="Arial" w:hAnsi="Arial" w:cs="Arial"/>
        </w:rPr>
      </w:pPr>
      <w:r w:rsidRPr="00A12039">
        <w:rPr>
          <w:rFonts w:ascii="Arial" w:eastAsia="Times New Roman" w:hAnsi="Arial" w:cs="Arial"/>
          <w:color w:val="000000"/>
        </w:rPr>
        <w:t xml:space="preserve">The Contractor Survey will primarily measure whether contractors can describe requirements and value of quality services and are providing such services. These are measured by accuracy on survey that asks about their </w:t>
      </w:r>
      <w:r w:rsidRPr="00A12039">
        <w:rPr>
          <w:rFonts w:ascii="Arial" w:eastAsia="Times New Roman" w:hAnsi="Arial" w:cs="Arial"/>
          <w:color w:val="000000"/>
          <w:u w:val="single"/>
        </w:rPr>
        <w:t>awareness, knowledge, attitudes, and behavior</w:t>
      </w:r>
      <w:r w:rsidRPr="00A12039">
        <w:rPr>
          <w:rFonts w:ascii="Arial" w:eastAsia="Times New Roman" w:hAnsi="Arial" w:cs="Arial"/>
          <w:color w:val="000000"/>
        </w:rPr>
        <w:t xml:space="preserve"> about the requirements for Quality Maintenance, Quality Bid, and Quality Installation services, and what benefits offering this service could have for their business. </w:t>
      </w:r>
      <w:r w:rsidRPr="00A12039">
        <w:rPr>
          <w:rFonts w:ascii="Arial" w:hAnsi="Arial" w:cs="Arial"/>
        </w:rPr>
        <w:t>By asking these questions of participating contractors early in their program participation and annually, as well as other similar non-participating contractors who provided HVAC services throughout the program period, it will be possible to comment on changes in the market due to the program.</w:t>
      </w:r>
    </w:p>
    <w:p w14:paraId="0C5BD980" w14:textId="77777777" w:rsidR="00E6717A" w:rsidRPr="00A12039" w:rsidRDefault="00E6717A" w:rsidP="00E6717A">
      <w:pPr>
        <w:pStyle w:val="ListParagraph"/>
        <w:spacing w:after="120" w:line="240" w:lineRule="auto"/>
        <w:rPr>
          <w:rFonts w:ascii="Arial" w:eastAsia="Times New Roman" w:hAnsi="Arial" w:cs="Arial"/>
          <w:color w:val="000000"/>
        </w:rPr>
      </w:pPr>
    </w:p>
    <w:p w14:paraId="3AB3C2BD" w14:textId="0450044C" w:rsidR="00E6717A" w:rsidRPr="00A12039" w:rsidRDefault="00E6717A" w:rsidP="00E6717A">
      <w:pPr>
        <w:pStyle w:val="ListParagraph"/>
        <w:spacing w:after="120" w:line="240" w:lineRule="auto"/>
        <w:rPr>
          <w:rFonts w:ascii="Arial" w:hAnsi="Arial" w:cs="Arial"/>
        </w:rPr>
      </w:pPr>
      <w:r w:rsidRPr="00A12039">
        <w:rPr>
          <w:rFonts w:ascii="Arial" w:hAnsi="Arial" w:cs="Arial"/>
        </w:rPr>
        <w:t xml:space="preserve">KPI #10 will be scored based upon answers to a question about awareness, knowledge, attitudes, and behavior about Quality HVAC Services, and the answers will be scaled to provide a score ranging from 0=no awareness or knowledge and bad attitudes and behavior to 100=profound awareness and knowledge and supportive attitudes and behavior. The baseline (non-participant) score will be based upon the average response from a random sample </w:t>
      </w:r>
      <w:r w:rsidR="00F86B3A">
        <w:rPr>
          <w:rFonts w:ascii="Arial" w:hAnsi="Arial" w:cs="Arial"/>
        </w:rPr>
        <w:t>of</w:t>
      </w:r>
      <w:r w:rsidRPr="00A12039">
        <w:rPr>
          <w:rFonts w:ascii="Arial" w:hAnsi="Arial" w:cs="Arial"/>
        </w:rPr>
        <w:t xml:space="preserve"> contractors that are identified as having provided some sort of HVAC service in the previous year (identified either through an in-survey screener question, or through development of a sample frame of contractors identified as having recently provided a service). Note that we may need to go back further than one year in order to obtain an adequate sample size. Efforts will be made to minimize the potential for self-selection bias in identifying this sample. Responses from the baseline survey of contractors as they are enrolled will be used to analyze and describe the findings from the non-participant survey, although they will not be an accurate representation of the program’s baseline, since they are already being influenced by the program upon enrollment. The participant score will be based upon the average response from as many as possible of the contractors that received incentives in the Quality Residential HVAC Services program in the last year. The difference in scores between the non-participants surveyed prior to program launch and the annual participant surveys will be calculated and will range from 0 to 100. The program goal is that the difference will be at least 10 points, where the participant score is higher than non-participant</w:t>
      </w:r>
      <w:r w:rsidRPr="00A12039" w:rsidDel="0094783A">
        <w:rPr>
          <w:rFonts w:ascii="Arial" w:hAnsi="Arial" w:cs="Arial"/>
        </w:rPr>
        <w:t>.</w:t>
      </w:r>
      <w:r w:rsidRPr="00A12039">
        <w:rPr>
          <w:rFonts w:ascii="Arial" w:eastAsia="Times New Roman" w:hAnsi="Arial" w:cs="Arial"/>
          <w:color w:val="000000"/>
        </w:rPr>
        <w:t xml:space="preserve"> </w:t>
      </w:r>
    </w:p>
    <w:p w14:paraId="1D42B231" w14:textId="77777777" w:rsidR="00E6717A" w:rsidRPr="00A12039" w:rsidRDefault="00E6717A" w:rsidP="00E6717A">
      <w:pPr>
        <w:pStyle w:val="ListParagraph"/>
        <w:spacing w:after="120" w:line="240" w:lineRule="auto"/>
        <w:rPr>
          <w:rFonts w:ascii="Arial" w:eastAsia="Times New Roman" w:hAnsi="Arial" w:cs="Arial"/>
          <w:color w:val="000000"/>
        </w:rPr>
      </w:pPr>
    </w:p>
    <w:p w14:paraId="22BABA00" w14:textId="77777777" w:rsidR="00E6717A" w:rsidRPr="00A12039" w:rsidRDefault="00E6717A" w:rsidP="00E6717A">
      <w:pPr>
        <w:pStyle w:val="ListParagraph"/>
        <w:spacing w:after="120" w:line="240" w:lineRule="auto"/>
        <w:rPr>
          <w:rFonts w:ascii="Arial" w:hAnsi="Arial" w:cs="Arial"/>
        </w:rPr>
      </w:pPr>
      <w:r w:rsidRPr="00A12039">
        <w:rPr>
          <w:rFonts w:ascii="Arial" w:hAnsi="Arial" w:cs="Arial"/>
        </w:rPr>
        <w:t xml:space="preserve">The survey will also ask questions such as: whether the contractor does not consider a service complete until a solution is provided, whether the contractor routinely evaluates </w:t>
      </w:r>
      <w:r w:rsidRPr="00A12039">
        <w:rPr>
          <w:rFonts w:ascii="Arial" w:hAnsi="Arial" w:cs="Arial"/>
        </w:rPr>
        <w:lastRenderedPageBreak/>
        <w:t xml:space="preserve">customer satisfaction feedback, including perceived value of the service, whether customers have access to user-friendly materials and tools (calculators, charts, case studies, analysis, etc.) to help them decide whether or not to invest in improving the performance of their HVAC systems; and what standards of quality they intend to provide to their customers in the future, and how prepared they feel to do so. The survey will include questions designed to assess what impact the program had on the contractors’ decision or ability to provide quality services. </w:t>
      </w:r>
    </w:p>
    <w:p w14:paraId="707E4E51" w14:textId="6D65F52D" w:rsidR="00E6717A" w:rsidRPr="00A12039" w:rsidRDefault="00E6717A" w:rsidP="00E6717A">
      <w:pPr>
        <w:jc w:val="both"/>
        <w:rPr>
          <w:rFonts w:ascii="Arial" w:hAnsi="Arial" w:cs="Arial"/>
        </w:rPr>
      </w:pPr>
      <w:r w:rsidRPr="00A12039">
        <w:rPr>
          <w:rFonts w:ascii="Arial" w:hAnsi="Arial" w:cs="Arial"/>
        </w:rPr>
        <w:t>Because the impacts of this Market Support program are expected to be often indirect and long-term, it will be important to design these surveys very carefully. A nuanced understanding of the market for these services and the motivations and abilities of the contractors and customers is necessary to gain a clear understanding of the impact of the program. Several of the questions noted above resulted from a detailed analysis of the best indicators of Market Transformation for Quality Maintenance programs</w:t>
      </w:r>
      <w:r w:rsidRPr="00A12039">
        <w:rPr>
          <w:rStyle w:val="FootnoteReference"/>
          <w:rFonts w:ascii="Arial" w:hAnsi="Arial" w:cs="Arial"/>
        </w:rPr>
        <w:footnoteReference w:id="3"/>
      </w:r>
      <w:r w:rsidRPr="00A12039">
        <w:rPr>
          <w:rFonts w:ascii="Arial" w:hAnsi="Arial" w:cs="Arial"/>
        </w:rPr>
        <w:t xml:space="preserve">. </w:t>
      </w:r>
    </w:p>
    <w:p w14:paraId="388F5BBC" w14:textId="7FB276C8" w:rsidR="00E6717A" w:rsidRPr="00A12039" w:rsidRDefault="00E6717A" w:rsidP="00E6717A">
      <w:pPr>
        <w:jc w:val="both"/>
        <w:rPr>
          <w:rFonts w:ascii="Arial" w:hAnsi="Arial" w:cs="Arial"/>
        </w:rPr>
      </w:pPr>
      <w:r w:rsidRPr="00A12039">
        <w:rPr>
          <w:rFonts w:ascii="Arial" w:hAnsi="Arial" w:cs="Arial"/>
        </w:rPr>
        <w:t>The Contractor will develop draft and final survey questions. Within the California Energy Efficiency Evaluation protocols</w:t>
      </w:r>
      <w:r w:rsidRPr="00A12039">
        <w:rPr>
          <w:rStyle w:val="FootnoteReference"/>
          <w:rFonts w:ascii="Arial" w:hAnsi="Arial" w:cs="Arial"/>
        </w:rPr>
        <w:footnoteReference w:id="4"/>
      </w:r>
      <w:r w:rsidRPr="00A12039">
        <w:rPr>
          <w:rFonts w:ascii="Arial" w:hAnsi="Arial" w:cs="Arial"/>
        </w:rPr>
        <w:t>, and referring to the California Market Effects Protocol, a confidence level of 90% will be used to determine, during the survey design, the minimum sample sizes required for each sample. We will analyze the expected variation in the responses to select a sample size that will allow us to identify the difference in responses between participants and non-participants that we are 90% confident that we can reject as being the result of mere chance. The non-participant samples will be drawn randomly, but designed so that the samples match the intended program participant samples in terms of factors such as location, customer HTR/DAC status, system type, and type of service received for customers, and location, contractor Disadvantaged status, company size, and type of services offered. If necessary and appropriate, a sample of responses will be randomly redrawn from the non-participant sample frame each year, designed so that the non-participants and participants are as well matched as possible. The analysis may include a randomized block design, where sub-samples of participants are compared to sub-samples of non-participants that fit in the same demographic or project characteristic groups.</w:t>
      </w:r>
    </w:p>
    <w:p w14:paraId="6EBEFAC2" w14:textId="27A694E7" w:rsidR="00E6717A" w:rsidRPr="00A12039" w:rsidRDefault="00E6717A" w:rsidP="00E6717A">
      <w:pPr>
        <w:jc w:val="both"/>
        <w:rPr>
          <w:rFonts w:ascii="Arial" w:hAnsi="Arial" w:cs="Arial"/>
        </w:rPr>
      </w:pPr>
      <w:r w:rsidRPr="00A12039">
        <w:rPr>
          <w:rFonts w:ascii="Arial" w:hAnsi="Arial" w:cs="Arial"/>
        </w:rPr>
        <w:t>The surveys will be distributed using an appropriate combination of online, postcard, and telephone survey methods. Adequate follow-ups will be conducted to ensure that the minimum sample size is achieved, and that non-response bias is minimized. Table 1</w:t>
      </w:r>
      <w:r w:rsidRPr="00A12039" w:rsidDel="00947772">
        <w:rPr>
          <w:rFonts w:ascii="Arial" w:hAnsi="Arial" w:cs="Arial"/>
        </w:rPr>
        <w:t xml:space="preserve"> </w:t>
      </w:r>
      <w:r w:rsidRPr="00A12039">
        <w:rPr>
          <w:rFonts w:ascii="Arial" w:hAnsi="Arial" w:cs="Arial"/>
        </w:rPr>
        <w:t>identifies data collected. The results of the survey will be analyzed and documented in an M&amp;V report, after the end of each program year. These tasks will be conducted by the program implementation team, particularly the sub-team that is responsible for M&amp;V, under the direction of the Technical Lead. The results will be reviewed and evaluated by the Program Manager and the Technical Lead.</w:t>
      </w:r>
    </w:p>
    <w:p w14:paraId="3FF26F91" w14:textId="77777777" w:rsidR="007E0087" w:rsidRPr="00A12039" w:rsidRDefault="007E0087" w:rsidP="00E6717A">
      <w:pPr>
        <w:jc w:val="both"/>
        <w:rPr>
          <w:rFonts w:ascii="Arial" w:hAnsi="Arial" w:cs="Arial"/>
        </w:rPr>
      </w:pPr>
    </w:p>
    <w:p w14:paraId="2FA6DEE9" w14:textId="77777777" w:rsidR="00E6717A" w:rsidRPr="00A12039" w:rsidRDefault="00E6717A" w:rsidP="00E6717A">
      <w:pPr>
        <w:jc w:val="both"/>
        <w:rPr>
          <w:rFonts w:ascii="Arial" w:hAnsi="Arial" w:cs="Arial"/>
          <w:b/>
        </w:rPr>
      </w:pPr>
      <w:r w:rsidRPr="00A12039">
        <w:rPr>
          <w:rFonts w:ascii="Arial" w:hAnsi="Arial" w:cs="Arial"/>
          <w:b/>
        </w:rPr>
        <w:lastRenderedPageBreak/>
        <w:t>Process Improvement</w:t>
      </w:r>
    </w:p>
    <w:p w14:paraId="2C37A91B" w14:textId="7ECD4EDA" w:rsidR="00E6717A" w:rsidRPr="00A12039" w:rsidRDefault="00E6717A" w:rsidP="00D17FC7">
      <w:pPr>
        <w:jc w:val="both"/>
      </w:pPr>
      <w:r w:rsidRPr="00A12039">
        <w:rPr>
          <w:rFonts w:ascii="Arial" w:hAnsi="Arial" w:cs="Arial"/>
        </w:rPr>
        <w:t>Should the results of the</w:t>
      </w:r>
      <w:r w:rsidRPr="00A12039" w:rsidDel="001E5573">
        <w:rPr>
          <w:rFonts w:ascii="Arial" w:hAnsi="Arial" w:cs="Arial"/>
        </w:rPr>
        <w:t xml:space="preserve"> </w:t>
      </w:r>
      <w:r w:rsidRPr="00A12039">
        <w:rPr>
          <w:rFonts w:ascii="Arial" w:hAnsi="Arial" w:cs="Arial"/>
        </w:rPr>
        <w:t xml:space="preserve">monthly reports or surveys indicate that the program is not achieving its objectives, the program implementers will (in collaboration with SDG&amp;E or the CPUC, as appropriate) implement continuous process improvement modifications to the program design and provide adequate documentation of any changes. If necessary, the program will conduct additional M&amp;V activities to gather more detail on why the metrics are not being met. This may consist of surveys or interviews with participants, or Voice of the Contractor or Voice of the Contractor focus </w:t>
      </w:r>
      <w:r w:rsidRPr="00A12039" w:rsidDel="00065167">
        <w:rPr>
          <w:rFonts w:ascii="Arial" w:hAnsi="Arial" w:cs="Arial"/>
        </w:rPr>
        <w:t>grou</w:t>
      </w:r>
      <w:r w:rsidRPr="00A12039" w:rsidDel="00EF7960">
        <w:rPr>
          <w:rFonts w:ascii="Arial" w:hAnsi="Arial" w:cs="Arial"/>
        </w:rPr>
        <w:t xml:space="preserve">ps. </w:t>
      </w:r>
    </w:p>
    <w:p w14:paraId="1AC95F77" w14:textId="77777777" w:rsidR="00773CC2" w:rsidRPr="00FF7E05" w:rsidRDefault="00773CC2" w:rsidP="00FF7E05">
      <w:pPr>
        <w:pStyle w:val="ListParagraph"/>
        <w:numPr>
          <w:ilvl w:val="0"/>
          <w:numId w:val="5"/>
        </w:numPr>
        <w:spacing w:before="120" w:after="120" w:line="240" w:lineRule="auto"/>
        <w:outlineLvl w:val="1"/>
        <w:rPr>
          <w:rFonts w:ascii="Arial" w:eastAsiaTheme="minorEastAsia" w:hAnsi="Arial" w:cs="Arial"/>
          <w:color w:val="32476E"/>
          <w:spacing w:val="10"/>
          <w:u w:val="single"/>
        </w:rPr>
      </w:pPr>
      <w:bookmarkStart w:id="45" w:name="_Toc129168584"/>
      <w:r w:rsidRPr="00FF7E05">
        <w:rPr>
          <w:rFonts w:ascii="Arial" w:eastAsiaTheme="minorEastAsia" w:hAnsi="Arial" w:cs="Arial"/>
          <w:color w:val="32476E"/>
          <w:spacing w:val="10"/>
          <w:u w:val="single"/>
        </w:rPr>
        <w:t>Normalized Metered Energy Consumption (NMEC)</w:t>
      </w:r>
      <w:bookmarkEnd w:id="45"/>
    </w:p>
    <w:p w14:paraId="4AFEB8F8" w14:textId="67C4CD58" w:rsidR="004A22A5" w:rsidRPr="000D5F22" w:rsidRDefault="00A14637" w:rsidP="00D17FC7">
      <w:pPr>
        <w:spacing w:before="120" w:after="120" w:line="240" w:lineRule="auto"/>
        <w:outlineLvl w:val="1"/>
        <w:rPr>
          <w:rFonts w:ascii="Arial" w:eastAsiaTheme="minorEastAsia" w:hAnsi="Arial" w:cs="Arial"/>
          <w:color w:val="32476E"/>
          <w:spacing w:val="10"/>
          <w:u w:val="single"/>
        </w:rPr>
      </w:pPr>
      <w:r w:rsidRPr="00A12039">
        <w:rPr>
          <w:rFonts w:ascii="Arial" w:hAnsi="Arial" w:cs="Arial"/>
        </w:rPr>
        <w:t>Not applicable</w:t>
      </w:r>
    </w:p>
    <w:sectPr w:rsidR="004A22A5" w:rsidRPr="000D5F22" w:rsidSect="007F684E">
      <w:footerReference w:type="default" r:id="rId20"/>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445E" w14:textId="77777777" w:rsidR="00CE13FA" w:rsidRDefault="00CE13FA" w:rsidP="00EE55BC">
      <w:pPr>
        <w:spacing w:after="0" w:line="240" w:lineRule="auto"/>
      </w:pPr>
      <w:r>
        <w:separator/>
      </w:r>
    </w:p>
  </w:endnote>
  <w:endnote w:type="continuationSeparator" w:id="0">
    <w:p w14:paraId="71FF5604" w14:textId="77777777" w:rsidR="00CE13FA" w:rsidRDefault="00CE13FA" w:rsidP="00EE55BC">
      <w:pPr>
        <w:spacing w:after="0" w:line="240" w:lineRule="auto"/>
      </w:pPr>
      <w:r>
        <w:continuationSeparator/>
      </w:r>
    </w:p>
  </w:endnote>
  <w:endnote w:type="continuationNotice" w:id="1">
    <w:p w14:paraId="1E724010" w14:textId="77777777" w:rsidR="00CE13FA" w:rsidRDefault="00CE13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499F" w14:textId="3F3473F7" w:rsidR="00B938BA" w:rsidRDefault="00B938BA">
    <w:pPr>
      <w:pStyle w:val="Footer"/>
      <w:jc w:val="right"/>
    </w:pPr>
    <w:r>
      <w:fldChar w:fldCharType="begin"/>
    </w:r>
    <w:r>
      <w:instrText xml:space="preserve"> PAGE   \* MERGEFORMAT </w:instrText>
    </w:r>
    <w:r>
      <w:fldChar w:fldCharType="separate"/>
    </w:r>
    <w:r>
      <w:rPr>
        <w:noProof/>
      </w:rPr>
      <w:t>2</w:t>
    </w:r>
    <w:r>
      <w:rPr>
        <w:noProof/>
      </w:rPr>
      <w:fldChar w:fldCharType="end"/>
    </w:r>
  </w:p>
  <w:p w14:paraId="3289CA11" w14:textId="77777777" w:rsidR="00B938BA" w:rsidRDefault="00B93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8992582"/>
      <w:docPartObj>
        <w:docPartGallery w:val="Page Numbers (Bottom of Page)"/>
        <w:docPartUnique/>
      </w:docPartObj>
    </w:sdtPr>
    <w:sdtEndPr>
      <w:rPr>
        <w:noProof/>
      </w:rPr>
    </w:sdtEndPr>
    <w:sdtContent>
      <w:p w14:paraId="5E045BBE" w14:textId="48D8BBCD" w:rsidR="00CA001C" w:rsidRDefault="00CA00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828CA" w14:textId="77777777" w:rsidR="00D445F9" w:rsidRDefault="00D44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8385" w14:textId="77777777" w:rsidR="005E1836" w:rsidRDefault="005E18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650449"/>
      <w:docPartObj>
        <w:docPartGallery w:val="Page Numbers (Bottom of Page)"/>
        <w:docPartUnique/>
      </w:docPartObj>
    </w:sdtPr>
    <w:sdtEndPr>
      <w:rPr>
        <w:noProof/>
      </w:rPr>
    </w:sdtEndPr>
    <w:sdtContent>
      <w:p w14:paraId="6EEBE6CA" w14:textId="77777777" w:rsidR="00CA001C" w:rsidRDefault="00CA00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1CF63" w14:textId="77777777" w:rsidR="00CA001C" w:rsidRDefault="00CA0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B5BD" w14:textId="77777777" w:rsidR="00CE13FA" w:rsidRDefault="00CE13FA" w:rsidP="00EE55BC">
      <w:pPr>
        <w:spacing w:after="0" w:line="240" w:lineRule="auto"/>
      </w:pPr>
      <w:r>
        <w:separator/>
      </w:r>
    </w:p>
  </w:footnote>
  <w:footnote w:type="continuationSeparator" w:id="0">
    <w:p w14:paraId="76E97FA7" w14:textId="77777777" w:rsidR="00CE13FA" w:rsidRDefault="00CE13FA" w:rsidP="00EE55BC">
      <w:pPr>
        <w:spacing w:after="0" w:line="240" w:lineRule="auto"/>
      </w:pPr>
      <w:r>
        <w:continuationSeparator/>
      </w:r>
    </w:p>
  </w:footnote>
  <w:footnote w:type="continuationNotice" w:id="1">
    <w:p w14:paraId="1B4B2098" w14:textId="77777777" w:rsidR="00CE13FA" w:rsidRDefault="00CE13FA">
      <w:pPr>
        <w:spacing w:after="0" w:line="240" w:lineRule="auto"/>
      </w:pPr>
    </w:p>
  </w:footnote>
  <w:footnote w:id="2">
    <w:p w14:paraId="4DA1CF86" w14:textId="77777777" w:rsidR="00AB21C5" w:rsidRDefault="00AB21C5" w:rsidP="00EE55BC">
      <w:pPr>
        <w:pStyle w:val="FootnoteText"/>
      </w:pPr>
      <w:r w:rsidDel="00A13D11">
        <w:rPr>
          <w:rStyle w:val="FootnoteReference"/>
        </w:rPr>
        <w:footnoteRef/>
      </w:r>
      <w:r w:rsidDel="00A13D11">
        <w:t xml:space="preserve"> </w:t>
      </w:r>
      <w:r>
        <w:t>EE/</w:t>
      </w:r>
      <w:r w:rsidDel="00A13D11">
        <w:t xml:space="preserve">DR Budget is </w:t>
      </w:r>
      <w:r>
        <w:t>part of the EE+DR Funding set aside.</w:t>
      </w:r>
    </w:p>
  </w:footnote>
  <w:footnote w:id="3">
    <w:p w14:paraId="4F5C75A7" w14:textId="591DAE9D" w:rsidR="00E6717A" w:rsidRDefault="00E6717A" w:rsidP="00E6717A">
      <w:pPr>
        <w:pStyle w:val="FootnoteText"/>
      </w:pPr>
      <w:r>
        <w:rPr>
          <w:rStyle w:val="FootnoteReference"/>
        </w:rPr>
        <w:footnoteRef/>
      </w:r>
      <w:r>
        <w:t xml:space="preserve"> </w:t>
      </w:r>
      <w:r w:rsidRPr="008958AD">
        <w:t xml:space="preserve">Heinemeier, K. </w:t>
      </w:r>
      <w:r>
        <w:t xml:space="preserve">2018. </w:t>
      </w:r>
      <w:r w:rsidRPr="008958AD">
        <w:t xml:space="preserve">“Transforming the Way We Measure Transformation: Indicators of A Transforming Market for Quality Maintenance.”  </w:t>
      </w:r>
      <w:r w:rsidRPr="001E2C52">
        <w:rPr>
          <w:i/>
          <w:iCs/>
        </w:rPr>
        <w:t>Proceedings of the ACEEE Summer Study</w:t>
      </w:r>
      <w:r w:rsidRPr="008958AD">
        <w:t>.</w:t>
      </w:r>
      <w:r>
        <w:t xml:space="preserve"> </w:t>
      </w:r>
      <w:r w:rsidRPr="00170256">
        <w:t>This analysis included a detailed review of the Impact Evaluation of the 2013-14 Commercial HVAC Quality Maintenance programs, and identification of factors that “bear a reasonable likelihood of occurring within a few years if the market transformation initiative is on course but are relatively unlikely to occur in the absence of intervention.</w:t>
      </w:r>
      <w:r>
        <w:t>”—a definition taken from</w:t>
      </w:r>
      <w:r w:rsidRPr="00202B37">
        <w:t xml:space="preserve"> </w:t>
      </w:r>
      <w:r w:rsidRPr="00202B37">
        <w:t xml:space="preserve">Prahl, R., and K. Keating. 2014. </w:t>
      </w:r>
      <w:r w:rsidRPr="00202B37">
        <w:rPr>
          <w:i/>
          <w:iCs/>
        </w:rPr>
        <w:t>Building a Policy Framework to Support Energy Efficiency Market Transformation in California</w:t>
      </w:r>
      <w:r w:rsidRPr="00202B37">
        <w:t xml:space="preserve">. </w:t>
      </w:r>
      <w:r w:rsidRPr="00170256">
        <w:t>These factors were prioritized through a survey of 145 contractors.</w:t>
      </w:r>
    </w:p>
  </w:footnote>
  <w:footnote w:id="4">
    <w:p w14:paraId="291A572B" w14:textId="23645D4E" w:rsidR="00E6717A" w:rsidRDefault="00E6717A" w:rsidP="00E6717A">
      <w:pPr>
        <w:pStyle w:val="FootnoteText"/>
      </w:pPr>
      <w:r>
        <w:rPr>
          <w:rStyle w:val="FootnoteReference"/>
        </w:rPr>
        <w:footnoteRef/>
      </w:r>
      <w:r>
        <w:t xml:space="preserve"> </w:t>
      </w:r>
      <w:r w:rsidRPr="00BD3E03">
        <w:rPr>
          <w:i/>
          <w:iCs/>
        </w:rPr>
        <w:t>California Energy Efficiency Evaluation Protocols: Technical, Methodological, and Reporting Requirements for Evaluation Professionals</w:t>
      </w:r>
      <w:r>
        <w:t>,</w:t>
      </w:r>
      <w:r w:rsidRPr="00BF68D8">
        <w:t xml:space="preserve"> </w:t>
      </w:r>
      <w:r w:rsidRPr="00BF68D8">
        <w:t>TecMarket Works</w:t>
      </w:r>
      <w:r>
        <w:t>,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319B" w14:textId="77777777" w:rsidR="005E1836" w:rsidRDefault="005E1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484ED5D" w14:paraId="136905F9" w14:textId="77777777" w:rsidTr="00B66C6D">
      <w:trPr>
        <w:trHeight w:val="300"/>
      </w:trPr>
      <w:tc>
        <w:tcPr>
          <w:tcW w:w="3120" w:type="dxa"/>
        </w:tcPr>
        <w:p w14:paraId="69F3B9BC" w14:textId="1B9650C2" w:rsidR="1484ED5D" w:rsidRDefault="1484ED5D" w:rsidP="00B66C6D">
          <w:pPr>
            <w:pStyle w:val="Header"/>
            <w:ind w:left="-115"/>
          </w:pPr>
        </w:p>
      </w:tc>
      <w:tc>
        <w:tcPr>
          <w:tcW w:w="3120" w:type="dxa"/>
        </w:tcPr>
        <w:p w14:paraId="24C2AB5B" w14:textId="41C010EE" w:rsidR="1484ED5D" w:rsidRDefault="1484ED5D" w:rsidP="00B66C6D">
          <w:pPr>
            <w:pStyle w:val="Header"/>
            <w:jc w:val="center"/>
          </w:pPr>
        </w:p>
      </w:tc>
      <w:tc>
        <w:tcPr>
          <w:tcW w:w="3120" w:type="dxa"/>
        </w:tcPr>
        <w:p w14:paraId="4CBB2505" w14:textId="3885DCF8" w:rsidR="1484ED5D" w:rsidRDefault="1484ED5D" w:rsidP="00B66C6D">
          <w:pPr>
            <w:pStyle w:val="Header"/>
            <w:ind w:right="-115"/>
            <w:jc w:val="right"/>
          </w:pPr>
        </w:p>
      </w:tc>
    </w:tr>
  </w:tbl>
  <w:sdt>
    <w:sdtPr>
      <w:id w:val="514205508"/>
      <w:docPartObj>
        <w:docPartGallery w:val="Watermarks"/>
        <w:docPartUnique/>
      </w:docPartObj>
    </w:sdtPr>
    <w:sdtEndPr/>
    <w:sdtContent>
      <w:p w14:paraId="2D2499F9" w14:textId="3276B6E7" w:rsidR="1484ED5D" w:rsidRDefault="009B7888" w:rsidP="00B66C6D">
        <w:pPr>
          <w:pStyle w:val="Header"/>
        </w:pPr>
        <w:r>
          <w:rPr>
            <w:noProof/>
          </w:rPr>
          <w:pict w14:anchorId="58F44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09DB4" w14:textId="77777777" w:rsidR="005E1836" w:rsidRDefault="005E1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416DE"/>
    <w:multiLevelType w:val="hybridMultilevel"/>
    <w:tmpl w:val="D5F479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65AAB"/>
    <w:multiLevelType w:val="hybridMultilevel"/>
    <w:tmpl w:val="B56A1142"/>
    <w:lvl w:ilvl="0" w:tplc="1C78A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62639"/>
    <w:multiLevelType w:val="hybridMultilevel"/>
    <w:tmpl w:val="333A8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50082"/>
    <w:multiLevelType w:val="hybridMultilevel"/>
    <w:tmpl w:val="3E5C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13B38"/>
    <w:multiLevelType w:val="hybridMultilevel"/>
    <w:tmpl w:val="584A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F56E8"/>
    <w:multiLevelType w:val="hybridMultilevel"/>
    <w:tmpl w:val="69EE3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03D13"/>
    <w:multiLevelType w:val="hybridMultilevel"/>
    <w:tmpl w:val="8B42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DF4348"/>
    <w:multiLevelType w:val="hybridMultilevel"/>
    <w:tmpl w:val="EA62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9620C"/>
    <w:multiLevelType w:val="hybridMultilevel"/>
    <w:tmpl w:val="0120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C46F3"/>
    <w:multiLevelType w:val="hybridMultilevel"/>
    <w:tmpl w:val="9F1ECA7E"/>
    <w:lvl w:ilvl="0" w:tplc="30C2ED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B7FAE"/>
    <w:multiLevelType w:val="hybridMultilevel"/>
    <w:tmpl w:val="FD1A8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B67AD"/>
    <w:multiLevelType w:val="hybridMultilevel"/>
    <w:tmpl w:val="DDC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672E8"/>
    <w:multiLevelType w:val="hybridMultilevel"/>
    <w:tmpl w:val="DE2E1B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0979B0"/>
    <w:multiLevelType w:val="hybridMultilevel"/>
    <w:tmpl w:val="2C5E8298"/>
    <w:lvl w:ilvl="0" w:tplc="7B224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E00528"/>
    <w:multiLevelType w:val="hybridMultilevel"/>
    <w:tmpl w:val="01822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902140"/>
    <w:multiLevelType w:val="hybridMultilevel"/>
    <w:tmpl w:val="AB78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A2ABF"/>
    <w:multiLevelType w:val="hybridMultilevel"/>
    <w:tmpl w:val="33A6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D247AD"/>
    <w:multiLevelType w:val="hybridMultilevel"/>
    <w:tmpl w:val="F7DEB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7E224B"/>
    <w:multiLevelType w:val="hybridMultilevel"/>
    <w:tmpl w:val="8FB46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1B08E0"/>
    <w:multiLevelType w:val="hybridMultilevel"/>
    <w:tmpl w:val="5DD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D1C2A"/>
    <w:multiLevelType w:val="hybridMultilevel"/>
    <w:tmpl w:val="926CAB4E"/>
    <w:lvl w:ilvl="0" w:tplc="251AA586">
      <w:start w:val="1"/>
      <w:numFmt w:val="decimal"/>
      <w:lvlText w:val="%1."/>
      <w:lvlJc w:val="left"/>
      <w:pPr>
        <w:ind w:left="455" w:hanging="360"/>
      </w:pPr>
      <w:rPr>
        <w:rFonts w:asciiTheme="minorHAnsi" w:hAnsiTheme="minorHAnsi" w:cstheme="minorHAnsi" w:hint="default"/>
        <w:b/>
        <w:color w:val="000000" w:themeColor="text1"/>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1" w15:restartNumberingAfterBreak="0">
    <w:nsid w:val="7CFC2934"/>
    <w:multiLevelType w:val="hybridMultilevel"/>
    <w:tmpl w:val="E6CE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955617">
    <w:abstractNumId w:val="6"/>
  </w:num>
  <w:num w:numId="2" w16cid:durableId="1840346117">
    <w:abstractNumId w:val="4"/>
  </w:num>
  <w:num w:numId="3" w16cid:durableId="871917429">
    <w:abstractNumId w:val="5"/>
  </w:num>
  <w:num w:numId="4" w16cid:durableId="311449373">
    <w:abstractNumId w:val="13"/>
  </w:num>
  <w:num w:numId="5" w16cid:durableId="852649577">
    <w:abstractNumId w:val="9"/>
  </w:num>
  <w:num w:numId="6" w16cid:durableId="1615331646">
    <w:abstractNumId w:val="18"/>
  </w:num>
  <w:num w:numId="7" w16cid:durableId="292291859">
    <w:abstractNumId w:val="21"/>
  </w:num>
  <w:num w:numId="8" w16cid:durableId="1221554735">
    <w:abstractNumId w:val="2"/>
  </w:num>
  <w:num w:numId="9" w16cid:durableId="1623657775">
    <w:abstractNumId w:val="15"/>
  </w:num>
  <w:num w:numId="10" w16cid:durableId="1582720361">
    <w:abstractNumId w:val="3"/>
  </w:num>
  <w:num w:numId="11" w16cid:durableId="1488279906">
    <w:abstractNumId w:val="16"/>
  </w:num>
  <w:num w:numId="12" w16cid:durableId="1281835048">
    <w:abstractNumId w:val="11"/>
  </w:num>
  <w:num w:numId="13" w16cid:durableId="50347939">
    <w:abstractNumId w:val="14"/>
  </w:num>
  <w:num w:numId="14" w16cid:durableId="1460612457">
    <w:abstractNumId w:val="12"/>
  </w:num>
  <w:num w:numId="15" w16cid:durableId="947933228">
    <w:abstractNumId w:val="0"/>
  </w:num>
  <w:num w:numId="16" w16cid:durableId="315495364">
    <w:abstractNumId w:val="8"/>
  </w:num>
  <w:num w:numId="17" w16cid:durableId="121308783">
    <w:abstractNumId w:val="7"/>
  </w:num>
  <w:num w:numId="18" w16cid:durableId="1935743779">
    <w:abstractNumId w:val="10"/>
  </w:num>
  <w:num w:numId="19" w16cid:durableId="1179923787">
    <w:abstractNumId w:val="19"/>
  </w:num>
  <w:num w:numId="20" w16cid:durableId="940995446">
    <w:abstractNumId w:val="1"/>
  </w:num>
  <w:num w:numId="21" w16cid:durableId="2066099496">
    <w:abstractNumId w:val="20"/>
  </w:num>
  <w:num w:numId="22" w16cid:durableId="7061050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3BBE6D"/>
    <w:rsid w:val="000036A8"/>
    <w:rsid w:val="00015045"/>
    <w:rsid w:val="00016D71"/>
    <w:rsid w:val="00020F7F"/>
    <w:rsid w:val="00024843"/>
    <w:rsid w:val="00024BA5"/>
    <w:rsid w:val="00025262"/>
    <w:rsid w:val="00026CC8"/>
    <w:rsid w:val="00033BD6"/>
    <w:rsid w:val="000340A3"/>
    <w:rsid w:val="00040291"/>
    <w:rsid w:val="00043312"/>
    <w:rsid w:val="00045068"/>
    <w:rsid w:val="0005195F"/>
    <w:rsid w:val="00051AFA"/>
    <w:rsid w:val="0005324C"/>
    <w:rsid w:val="000640FF"/>
    <w:rsid w:val="00065C73"/>
    <w:rsid w:val="00066637"/>
    <w:rsid w:val="00066A3B"/>
    <w:rsid w:val="00073713"/>
    <w:rsid w:val="00073F32"/>
    <w:rsid w:val="00091136"/>
    <w:rsid w:val="00094564"/>
    <w:rsid w:val="000963FB"/>
    <w:rsid w:val="000A508C"/>
    <w:rsid w:val="000B1C25"/>
    <w:rsid w:val="000B2602"/>
    <w:rsid w:val="000C1564"/>
    <w:rsid w:val="000C26AA"/>
    <w:rsid w:val="000C29AA"/>
    <w:rsid w:val="000C614A"/>
    <w:rsid w:val="000C7986"/>
    <w:rsid w:val="000D2FC0"/>
    <w:rsid w:val="000D4530"/>
    <w:rsid w:val="000D5059"/>
    <w:rsid w:val="000D5F22"/>
    <w:rsid w:val="000D6DD9"/>
    <w:rsid w:val="000E0E08"/>
    <w:rsid w:val="000E2E59"/>
    <w:rsid w:val="000F1564"/>
    <w:rsid w:val="000F249C"/>
    <w:rsid w:val="000F3FC6"/>
    <w:rsid w:val="000F6811"/>
    <w:rsid w:val="00104F24"/>
    <w:rsid w:val="00105CB7"/>
    <w:rsid w:val="00113DBC"/>
    <w:rsid w:val="00113ECD"/>
    <w:rsid w:val="0011476E"/>
    <w:rsid w:val="00114965"/>
    <w:rsid w:val="00123332"/>
    <w:rsid w:val="00125A9B"/>
    <w:rsid w:val="00125BDE"/>
    <w:rsid w:val="0013164F"/>
    <w:rsid w:val="00134E63"/>
    <w:rsid w:val="00135F57"/>
    <w:rsid w:val="0014406F"/>
    <w:rsid w:val="00147362"/>
    <w:rsid w:val="00152C3B"/>
    <w:rsid w:val="00154FD8"/>
    <w:rsid w:val="00160FCA"/>
    <w:rsid w:val="001622A3"/>
    <w:rsid w:val="00163451"/>
    <w:rsid w:val="00167937"/>
    <w:rsid w:val="0018087F"/>
    <w:rsid w:val="00190F8E"/>
    <w:rsid w:val="0019361E"/>
    <w:rsid w:val="00193814"/>
    <w:rsid w:val="00197EF4"/>
    <w:rsid w:val="001A1866"/>
    <w:rsid w:val="001A3A1C"/>
    <w:rsid w:val="001A5D05"/>
    <w:rsid w:val="001A744D"/>
    <w:rsid w:val="001B13D0"/>
    <w:rsid w:val="001B2004"/>
    <w:rsid w:val="001B2AE5"/>
    <w:rsid w:val="001B2B79"/>
    <w:rsid w:val="001B2C66"/>
    <w:rsid w:val="001B495A"/>
    <w:rsid w:val="001C37A7"/>
    <w:rsid w:val="001C4A3B"/>
    <w:rsid w:val="001D0E8D"/>
    <w:rsid w:val="001E35BA"/>
    <w:rsid w:val="001E7742"/>
    <w:rsid w:val="001F5271"/>
    <w:rsid w:val="001F5A9B"/>
    <w:rsid w:val="001F6B76"/>
    <w:rsid w:val="00200260"/>
    <w:rsid w:val="002010DB"/>
    <w:rsid w:val="00205BDA"/>
    <w:rsid w:val="00207731"/>
    <w:rsid w:val="0020CD95"/>
    <w:rsid w:val="00211000"/>
    <w:rsid w:val="002143CC"/>
    <w:rsid w:val="002212E3"/>
    <w:rsid w:val="00226B66"/>
    <w:rsid w:val="00226EAD"/>
    <w:rsid w:val="002342AA"/>
    <w:rsid w:val="00236262"/>
    <w:rsid w:val="00246F1A"/>
    <w:rsid w:val="00254BFB"/>
    <w:rsid w:val="00257DAD"/>
    <w:rsid w:val="0026184E"/>
    <w:rsid w:val="0026684C"/>
    <w:rsid w:val="00270600"/>
    <w:rsid w:val="00270957"/>
    <w:rsid w:val="0027152E"/>
    <w:rsid w:val="00272050"/>
    <w:rsid w:val="00272EB6"/>
    <w:rsid w:val="00277FCD"/>
    <w:rsid w:val="00280F1C"/>
    <w:rsid w:val="002853A1"/>
    <w:rsid w:val="00286169"/>
    <w:rsid w:val="00287F45"/>
    <w:rsid w:val="00291F67"/>
    <w:rsid w:val="00293131"/>
    <w:rsid w:val="00296007"/>
    <w:rsid w:val="002B07F7"/>
    <w:rsid w:val="002B4173"/>
    <w:rsid w:val="002B42FD"/>
    <w:rsid w:val="002B51B7"/>
    <w:rsid w:val="002B5E23"/>
    <w:rsid w:val="002B656B"/>
    <w:rsid w:val="002C47CF"/>
    <w:rsid w:val="002C4DA0"/>
    <w:rsid w:val="002D05E7"/>
    <w:rsid w:val="002D32B9"/>
    <w:rsid w:val="002D66F1"/>
    <w:rsid w:val="002E10B8"/>
    <w:rsid w:val="002E1E00"/>
    <w:rsid w:val="002E7A89"/>
    <w:rsid w:val="002F6493"/>
    <w:rsid w:val="0030168B"/>
    <w:rsid w:val="00302D7C"/>
    <w:rsid w:val="00303C49"/>
    <w:rsid w:val="003040B5"/>
    <w:rsid w:val="00310982"/>
    <w:rsid w:val="00315454"/>
    <w:rsid w:val="003204AF"/>
    <w:rsid w:val="00322920"/>
    <w:rsid w:val="0032340A"/>
    <w:rsid w:val="0032558C"/>
    <w:rsid w:val="003255F7"/>
    <w:rsid w:val="00327AD3"/>
    <w:rsid w:val="00340D58"/>
    <w:rsid w:val="00340F17"/>
    <w:rsid w:val="00342175"/>
    <w:rsid w:val="00345797"/>
    <w:rsid w:val="00345C62"/>
    <w:rsid w:val="00354FA2"/>
    <w:rsid w:val="00363CA1"/>
    <w:rsid w:val="003674E9"/>
    <w:rsid w:val="00367959"/>
    <w:rsid w:val="00372B47"/>
    <w:rsid w:val="0037393F"/>
    <w:rsid w:val="003739D9"/>
    <w:rsid w:val="00374213"/>
    <w:rsid w:val="00375019"/>
    <w:rsid w:val="00377131"/>
    <w:rsid w:val="00386BC4"/>
    <w:rsid w:val="00387992"/>
    <w:rsid w:val="0039744C"/>
    <w:rsid w:val="003975A4"/>
    <w:rsid w:val="003A0150"/>
    <w:rsid w:val="003A0F1F"/>
    <w:rsid w:val="003A17E8"/>
    <w:rsid w:val="003B52CF"/>
    <w:rsid w:val="003B6949"/>
    <w:rsid w:val="003B6E65"/>
    <w:rsid w:val="003C39CA"/>
    <w:rsid w:val="003C52C4"/>
    <w:rsid w:val="003D1B89"/>
    <w:rsid w:val="003D3A2E"/>
    <w:rsid w:val="003D5FF9"/>
    <w:rsid w:val="003E0A61"/>
    <w:rsid w:val="003E1A27"/>
    <w:rsid w:val="003E79D4"/>
    <w:rsid w:val="003F49BF"/>
    <w:rsid w:val="0040188C"/>
    <w:rsid w:val="00401E36"/>
    <w:rsid w:val="004023CF"/>
    <w:rsid w:val="004113A9"/>
    <w:rsid w:val="00413567"/>
    <w:rsid w:val="00421073"/>
    <w:rsid w:val="00422085"/>
    <w:rsid w:val="00422B1B"/>
    <w:rsid w:val="0042368D"/>
    <w:rsid w:val="00425D2A"/>
    <w:rsid w:val="00426CEF"/>
    <w:rsid w:val="0042746B"/>
    <w:rsid w:val="00432111"/>
    <w:rsid w:val="004354BD"/>
    <w:rsid w:val="0043748F"/>
    <w:rsid w:val="00437AF4"/>
    <w:rsid w:val="00441092"/>
    <w:rsid w:val="00441E55"/>
    <w:rsid w:val="00443D78"/>
    <w:rsid w:val="0044449E"/>
    <w:rsid w:val="00446EEA"/>
    <w:rsid w:val="0046077E"/>
    <w:rsid w:val="00465303"/>
    <w:rsid w:val="00465B9A"/>
    <w:rsid w:val="00467ED0"/>
    <w:rsid w:val="00471781"/>
    <w:rsid w:val="00474562"/>
    <w:rsid w:val="00487D7F"/>
    <w:rsid w:val="00493624"/>
    <w:rsid w:val="004941A5"/>
    <w:rsid w:val="004A1195"/>
    <w:rsid w:val="004A22A5"/>
    <w:rsid w:val="004A5FDA"/>
    <w:rsid w:val="004A5FF2"/>
    <w:rsid w:val="004B7C3D"/>
    <w:rsid w:val="004E3CFA"/>
    <w:rsid w:val="004F09DE"/>
    <w:rsid w:val="004F39F7"/>
    <w:rsid w:val="004F6ED8"/>
    <w:rsid w:val="004F79E2"/>
    <w:rsid w:val="00500833"/>
    <w:rsid w:val="00514502"/>
    <w:rsid w:val="0053377F"/>
    <w:rsid w:val="00536DEF"/>
    <w:rsid w:val="00537E55"/>
    <w:rsid w:val="005462D4"/>
    <w:rsid w:val="00552D22"/>
    <w:rsid w:val="005535A1"/>
    <w:rsid w:val="00554F50"/>
    <w:rsid w:val="0055621D"/>
    <w:rsid w:val="005564CA"/>
    <w:rsid w:val="00564861"/>
    <w:rsid w:val="00565E8E"/>
    <w:rsid w:val="00566112"/>
    <w:rsid w:val="005716D8"/>
    <w:rsid w:val="00572391"/>
    <w:rsid w:val="00580EC0"/>
    <w:rsid w:val="005844F2"/>
    <w:rsid w:val="00586FFA"/>
    <w:rsid w:val="0059489F"/>
    <w:rsid w:val="005A6E45"/>
    <w:rsid w:val="005B1681"/>
    <w:rsid w:val="005B4154"/>
    <w:rsid w:val="005B6133"/>
    <w:rsid w:val="005B6CC8"/>
    <w:rsid w:val="005C1AA0"/>
    <w:rsid w:val="005C4984"/>
    <w:rsid w:val="005D0824"/>
    <w:rsid w:val="005D4504"/>
    <w:rsid w:val="005E1765"/>
    <w:rsid w:val="005E1836"/>
    <w:rsid w:val="005E34BE"/>
    <w:rsid w:val="005F6D3E"/>
    <w:rsid w:val="006001F0"/>
    <w:rsid w:val="00601527"/>
    <w:rsid w:val="00603029"/>
    <w:rsid w:val="00610E83"/>
    <w:rsid w:val="00614671"/>
    <w:rsid w:val="006172A4"/>
    <w:rsid w:val="006207D5"/>
    <w:rsid w:val="00622752"/>
    <w:rsid w:val="00631747"/>
    <w:rsid w:val="00634231"/>
    <w:rsid w:val="00634C0E"/>
    <w:rsid w:val="00634DE5"/>
    <w:rsid w:val="00636C72"/>
    <w:rsid w:val="0064061C"/>
    <w:rsid w:val="006419E7"/>
    <w:rsid w:val="0064289C"/>
    <w:rsid w:val="00644894"/>
    <w:rsid w:val="0064502F"/>
    <w:rsid w:val="006463CE"/>
    <w:rsid w:val="00651709"/>
    <w:rsid w:val="00654671"/>
    <w:rsid w:val="00657D4A"/>
    <w:rsid w:val="00662DED"/>
    <w:rsid w:val="00670812"/>
    <w:rsid w:val="00672AFD"/>
    <w:rsid w:val="006762D7"/>
    <w:rsid w:val="00680EBA"/>
    <w:rsid w:val="00683EEF"/>
    <w:rsid w:val="006863C8"/>
    <w:rsid w:val="00686D40"/>
    <w:rsid w:val="006A44FD"/>
    <w:rsid w:val="006A56E2"/>
    <w:rsid w:val="006B32D0"/>
    <w:rsid w:val="006C6B6B"/>
    <w:rsid w:val="006C6C94"/>
    <w:rsid w:val="006D2015"/>
    <w:rsid w:val="006E0897"/>
    <w:rsid w:val="006E4AAB"/>
    <w:rsid w:val="006E566D"/>
    <w:rsid w:val="006E6D65"/>
    <w:rsid w:val="006F1F66"/>
    <w:rsid w:val="006F405A"/>
    <w:rsid w:val="006F5501"/>
    <w:rsid w:val="007026B9"/>
    <w:rsid w:val="007037E2"/>
    <w:rsid w:val="0070552C"/>
    <w:rsid w:val="007072C1"/>
    <w:rsid w:val="007123FF"/>
    <w:rsid w:val="007218CE"/>
    <w:rsid w:val="00733BD7"/>
    <w:rsid w:val="00735A74"/>
    <w:rsid w:val="0073737B"/>
    <w:rsid w:val="0074018E"/>
    <w:rsid w:val="00742B9C"/>
    <w:rsid w:val="007520DA"/>
    <w:rsid w:val="00752806"/>
    <w:rsid w:val="0075573D"/>
    <w:rsid w:val="007606A7"/>
    <w:rsid w:val="0076716C"/>
    <w:rsid w:val="007673E7"/>
    <w:rsid w:val="00773CC2"/>
    <w:rsid w:val="00774716"/>
    <w:rsid w:val="00776FD2"/>
    <w:rsid w:val="0077732C"/>
    <w:rsid w:val="0078664A"/>
    <w:rsid w:val="007874C3"/>
    <w:rsid w:val="007935BD"/>
    <w:rsid w:val="007940D6"/>
    <w:rsid w:val="007961DA"/>
    <w:rsid w:val="007970C5"/>
    <w:rsid w:val="007A713C"/>
    <w:rsid w:val="007E0087"/>
    <w:rsid w:val="007E3EC0"/>
    <w:rsid w:val="007E6D1E"/>
    <w:rsid w:val="007E7C36"/>
    <w:rsid w:val="007F395C"/>
    <w:rsid w:val="007F3F9F"/>
    <w:rsid w:val="007F42F7"/>
    <w:rsid w:val="007F57CD"/>
    <w:rsid w:val="007F61DA"/>
    <w:rsid w:val="007F684E"/>
    <w:rsid w:val="007F70ED"/>
    <w:rsid w:val="00801202"/>
    <w:rsid w:val="00802AC7"/>
    <w:rsid w:val="0080354E"/>
    <w:rsid w:val="0081118C"/>
    <w:rsid w:val="00816C1C"/>
    <w:rsid w:val="0081773B"/>
    <w:rsid w:val="00821C0D"/>
    <w:rsid w:val="00822C75"/>
    <w:rsid w:val="008230A1"/>
    <w:rsid w:val="0083005A"/>
    <w:rsid w:val="00832810"/>
    <w:rsid w:val="00832DC7"/>
    <w:rsid w:val="008369B9"/>
    <w:rsid w:val="00837F52"/>
    <w:rsid w:val="008423E8"/>
    <w:rsid w:val="0084263B"/>
    <w:rsid w:val="00845249"/>
    <w:rsid w:val="00853526"/>
    <w:rsid w:val="00855722"/>
    <w:rsid w:val="00856C8A"/>
    <w:rsid w:val="00861BA7"/>
    <w:rsid w:val="00865262"/>
    <w:rsid w:val="008700AB"/>
    <w:rsid w:val="008706EA"/>
    <w:rsid w:val="008741EC"/>
    <w:rsid w:val="0087536B"/>
    <w:rsid w:val="00876331"/>
    <w:rsid w:val="00877B08"/>
    <w:rsid w:val="00880D7F"/>
    <w:rsid w:val="00884D63"/>
    <w:rsid w:val="00886A8F"/>
    <w:rsid w:val="00891DFB"/>
    <w:rsid w:val="00892D07"/>
    <w:rsid w:val="00893FA2"/>
    <w:rsid w:val="008942BE"/>
    <w:rsid w:val="008955C7"/>
    <w:rsid w:val="008974DC"/>
    <w:rsid w:val="008A2748"/>
    <w:rsid w:val="008A3B68"/>
    <w:rsid w:val="008A74F5"/>
    <w:rsid w:val="008B17C5"/>
    <w:rsid w:val="008B1E22"/>
    <w:rsid w:val="008B2F6C"/>
    <w:rsid w:val="008B3ADA"/>
    <w:rsid w:val="008C108B"/>
    <w:rsid w:val="008C2935"/>
    <w:rsid w:val="008C3D82"/>
    <w:rsid w:val="008C4340"/>
    <w:rsid w:val="008C72BE"/>
    <w:rsid w:val="008C758E"/>
    <w:rsid w:val="008D27F5"/>
    <w:rsid w:val="008E325D"/>
    <w:rsid w:val="008E5A98"/>
    <w:rsid w:val="008F2E3A"/>
    <w:rsid w:val="008F38A5"/>
    <w:rsid w:val="008F7CAC"/>
    <w:rsid w:val="00913BEA"/>
    <w:rsid w:val="00924328"/>
    <w:rsid w:val="009301C4"/>
    <w:rsid w:val="00931AFE"/>
    <w:rsid w:val="0093303D"/>
    <w:rsid w:val="00933C3F"/>
    <w:rsid w:val="00936261"/>
    <w:rsid w:val="0093709D"/>
    <w:rsid w:val="00940E05"/>
    <w:rsid w:val="00943203"/>
    <w:rsid w:val="00956F12"/>
    <w:rsid w:val="00981C17"/>
    <w:rsid w:val="0099189F"/>
    <w:rsid w:val="00992877"/>
    <w:rsid w:val="00992C3A"/>
    <w:rsid w:val="009962F0"/>
    <w:rsid w:val="00996CD0"/>
    <w:rsid w:val="009A2DDF"/>
    <w:rsid w:val="009A579B"/>
    <w:rsid w:val="009B2F13"/>
    <w:rsid w:val="009B3B45"/>
    <w:rsid w:val="009B5C99"/>
    <w:rsid w:val="009B5FFF"/>
    <w:rsid w:val="009B63C8"/>
    <w:rsid w:val="009B7888"/>
    <w:rsid w:val="009C229A"/>
    <w:rsid w:val="009C72AC"/>
    <w:rsid w:val="009D0EC4"/>
    <w:rsid w:val="009E1170"/>
    <w:rsid w:val="009E4C03"/>
    <w:rsid w:val="009E6435"/>
    <w:rsid w:val="009F177A"/>
    <w:rsid w:val="009F1C07"/>
    <w:rsid w:val="009F2B32"/>
    <w:rsid w:val="009F65F0"/>
    <w:rsid w:val="009F75E9"/>
    <w:rsid w:val="00A01D7F"/>
    <w:rsid w:val="00A062F3"/>
    <w:rsid w:val="00A07C18"/>
    <w:rsid w:val="00A12039"/>
    <w:rsid w:val="00A14637"/>
    <w:rsid w:val="00A15048"/>
    <w:rsid w:val="00A16045"/>
    <w:rsid w:val="00A22287"/>
    <w:rsid w:val="00A22945"/>
    <w:rsid w:val="00A244CD"/>
    <w:rsid w:val="00A3117C"/>
    <w:rsid w:val="00A3591F"/>
    <w:rsid w:val="00A36A34"/>
    <w:rsid w:val="00A4039F"/>
    <w:rsid w:val="00A420B1"/>
    <w:rsid w:val="00A45C7A"/>
    <w:rsid w:val="00A51EB2"/>
    <w:rsid w:val="00A56106"/>
    <w:rsid w:val="00A63285"/>
    <w:rsid w:val="00A65A75"/>
    <w:rsid w:val="00A66806"/>
    <w:rsid w:val="00A67D6B"/>
    <w:rsid w:val="00A71790"/>
    <w:rsid w:val="00A81A44"/>
    <w:rsid w:val="00A84166"/>
    <w:rsid w:val="00A878BE"/>
    <w:rsid w:val="00A87A91"/>
    <w:rsid w:val="00A94457"/>
    <w:rsid w:val="00AA6D04"/>
    <w:rsid w:val="00AB09F3"/>
    <w:rsid w:val="00AB1142"/>
    <w:rsid w:val="00AB16EB"/>
    <w:rsid w:val="00AB21C5"/>
    <w:rsid w:val="00AB2251"/>
    <w:rsid w:val="00AC0242"/>
    <w:rsid w:val="00AC2899"/>
    <w:rsid w:val="00AC2F66"/>
    <w:rsid w:val="00AC5AE6"/>
    <w:rsid w:val="00AD7DF3"/>
    <w:rsid w:val="00AE1462"/>
    <w:rsid w:val="00AE4264"/>
    <w:rsid w:val="00AE44CC"/>
    <w:rsid w:val="00AE7B59"/>
    <w:rsid w:val="00AF130C"/>
    <w:rsid w:val="00AF23A7"/>
    <w:rsid w:val="00AF3357"/>
    <w:rsid w:val="00AF679B"/>
    <w:rsid w:val="00B01CF6"/>
    <w:rsid w:val="00B028A9"/>
    <w:rsid w:val="00B05A18"/>
    <w:rsid w:val="00B067E1"/>
    <w:rsid w:val="00B06C09"/>
    <w:rsid w:val="00B1696C"/>
    <w:rsid w:val="00B211EC"/>
    <w:rsid w:val="00B21A74"/>
    <w:rsid w:val="00B2587D"/>
    <w:rsid w:val="00B31F4D"/>
    <w:rsid w:val="00B40BFC"/>
    <w:rsid w:val="00B43617"/>
    <w:rsid w:val="00B43E98"/>
    <w:rsid w:val="00B665EE"/>
    <w:rsid w:val="00B66C6D"/>
    <w:rsid w:val="00B7155E"/>
    <w:rsid w:val="00B7306A"/>
    <w:rsid w:val="00B743C7"/>
    <w:rsid w:val="00B74F93"/>
    <w:rsid w:val="00B76BA8"/>
    <w:rsid w:val="00B870C2"/>
    <w:rsid w:val="00B90E4B"/>
    <w:rsid w:val="00B91080"/>
    <w:rsid w:val="00B92E9F"/>
    <w:rsid w:val="00B9312A"/>
    <w:rsid w:val="00B938BA"/>
    <w:rsid w:val="00B94BC4"/>
    <w:rsid w:val="00B9631F"/>
    <w:rsid w:val="00BA0550"/>
    <w:rsid w:val="00BA2F61"/>
    <w:rsid w:val="00BA52FE"/>
    <w:rsid w:val="00BA5AC1"/>
    <w:rsid w:val="00BA68CB"/>
    <w:rsid w:val="00BB5B68"/>
    <w:rsid w:val="00BB5C7E"/>
    <w:rsid w:val="00BC22C6"/>
    <w:rsid w:val="00BC2FEC"/>
    <w:rsid w:val="00BC4401"/>
    <w:rsid w:val="00BC5BA5"/>
    <w:rsid w:val="00BD6C6E"/>
    <w:rsid w:val="00BE3A04"/>
    <w:rsid w:val="00BE79D5"/>
    <w:rsid w:val="00BF1EE4"/>
    <w:rsid w:val="00BF239F"/>
    <w:rsid w:val="00BF3F69"/>
    <w:rsid w:val="00BF4885"/>
    <w:rsid w:val="00BF7D76"/>
    <w:rsid w:val="00C11EE8"/>
    <w:rsid w:val="00C13583"/>
    <w:rsid w:val="00C14FA4"/>
    <w:rsid w:val="00C156DD"/>
    <w:rsid w:val="00C173A9"/>
    <w:rsid w:val="00C222D8"/>
    <w:rsid w:val="00C22CB6"/>
    <w:rsid w:val="00C23A35"/>
    <w:rsid w:val="00C25F76"/>
    <w:rsid w:val="00C26A01"/>
    <w:rsid w:val="00C34F56"/>
    <w:rsid w:val="00C36A07"/>
    <w:rsid w:val="00C36F3B"/>
    <w:rsid w:val="00C409F5"/>
    <w:rsid w:val="00C43EF5"/>
    <w:rsid w:val="00C456EF"/>
    <w:rsid w:val="00C4678F"/>
    <w:rsid w:val="00C46BC4"/>
    <w:rsid w:val="00C4784F"/>
    <w:rsid w:val="00C50FAD"/>
    <w:rsid w:val="00C534ED"/>
    <w:rsid w:val="00C539D0"/>
    <w:rsid w:val="00C64970"/>
    <w:rsid w:val="00C652FC"/>
    <w:rsid w:val="00C655D7"/>
    <w:rsid w:val="00C678EF"/>
    <w:rsid w:val="00C71870"/>
    <w:rsid w:val="00C729C7"/>
    <w:rsid w:val="00C74190"/>
    <w:rsid w:val="00C75D87"/>
    <w:rsid w:val="00C80C8A"/>
    <w:rsid w:val="00C85E4D"/>
    <w:rsid w:val="00C91269"/>
    <w:rsid w:val="00C94111"/>
    <w:rsid w:val="00CA001C"/>
    <w:rsid w:val="00CA08B1"/>
    <w:rsid w:val="00CA4209"/>
    <w:rsid w:val="00CA5D09"/>
    <w:rsid w:val="00CB5F88"/>
    <w:rsid w:val="00CC10E9"/>
    <w:rsid w:val="00CC7D4F"/>
    <w:rsid w:val="00CD1BD6"/>
    <w:rsid w:val="00CD36D6"/>
    <w:rsid w:val="00CD4531"/>
    <w:rsid w:val="00CD4A2A"/>
    <w:rsid w:val="00CE13FA"/>
    <w:rsid w:val="00CF347D"/>
    <w:rsid w:val="00CF41B9"/>
    <w:rsid w:val="00CF4946"/>
    <w:rsid w:val="00CF564C"/>
    <w:rsid w:val="00CF5701"/>
    <w:rsid w:val="00CF5AE7"/>
    <w:rsid w:val="00D01C7F"/>
    <w:rsid w:val="00D0203C"/>
    <w:rsid w:val="00D040FA"/>
    <w:rsid w:val="00D05BD0"/>
    <w:rsid w:val="00D06AA6"/>
    <w:rsid w:val="00D06D4B"/>
    <w:rsid w:val="00D07AF5"/>
    <w:rsid w:val="00D10832"/>
    <w:rsid w:val="00D17FC7"/>
    <w:rsid w:val="00D20B79"/>
    <w:rsid w:val="00D245F0"/>
    <w:rsid w:val="00D41887"/>
    <w:rsid w:val="00D421A8"/>
    <w:rsid w:val="00D441FF"/>
    <w:rsid w:val="00D445F9"/>
    <w:rsid w:val="00D4605B"/>
    <w:rsid w:val="00D466DD"/>
    <w:rsid w:val="00D47B29"/>
    <w:rsid w:val="00D47C14"/>
    <w:rsid w:val="00D52254"/>
    <w:rsid w:val="00D57C77"/>
    <w:rsid w:val="00D601B8"/>
    <w:rsid w:val="00D63523"/>
    <w:rsid w:val="00D648E0"/>
    <w:rsid w:val="00D66F83"/>
    <w:rsid w:val="00D71FD6"/>
    <w:rsid w:val="00D7277F"/>
    <w:rsid w:val="00D72DA2"/>
    <w:rsid w:val="00D75485"/>
    <w:rsid w:val="00D82F15"/>
    <w:rsid w:val="00D91970"/>
    <w:rsid w:val="00D93185"/>
    <w:rsid w:val="00D95FBA"/>
    <w:rsid w:val="00D96BCD"/>
    <w:rsid w:val="00DA02D8"/>
    <w:rsid w:val="00DA6248"/>
    <w:rsid w:val="00DA7126"/>
    <w:rsid w:val="00DB2630"/>
    <w:rsid w:val="00DB2C6B"/>
    <w:rsid w:val="00DB4164"/>
    <w:rsid w:val="00DB42B4"/>
    <w:rsid w:val="00DB4362"/>
    <w:rsid w:val="00DB5511"/>
    <w:rsid w:val="00DC5B92"/>
    <w:rsid w:val="00DD1141"/>
    <w:rsid w:val="00DE0C82"/>
    <w:rsid w:val="00DE5898"/>
    <w:rsid w:val="00DE5A29"/>
    <w:rsid w:val="00DE76DF"/>
    <w:rsid w:val="00DF0BB2"/>
    <w:rsid w:val="00DF5576"/>
    <w:rsid w:val="00DF61E9"/>
    <w:rsid w:val="00DF73F2"/>
    <w:rsid w:val="00E01351"/>
    <w:rsid w:val="00E13EA1"/>
    <w:rsid w:val="00E14831"/>
    <w:rsid w:val="00E159E5"/>
    <w:rsid w:val="00E1659F"/>
    <w:rsid w:val="00E17DC5"/>
    <w:rsid w:val="00E20B04"/>
    <w:rsid w:val="00E216A9"/>
    <w:rsid w:val="00E25C35"/>
    <w:rsid w:val="00E26D24"/>
    <w:rsid w:val="00E31428"/>
    <w:rsid w:val="00E331AE"/>
    <w:rsid w:val="00E33521"/>
    <w:rsid w:val="00E35821"/>
    <w:rsid w:val="00E35AE4"/>
    <w:rsid w:val="00E41AA3"/>
    <w:rsid w:val="00E41CE8"/>
    <w:rsid w:val="00E4616F"/>
    <w:rsid w:val="00E46964"/>
    <w:rsid w:val="00E502D9"/>
    <w:rsid w:val="00E507FA"/>
    <w:rsid w:val="00E53557"/>
    <w:rsid w:val="00E641E9"/>
    <w:rsid w:val="00E65EC5"/>
    <w:rsid w:val="00E6717A"/>
    <w:rsid w:val="00E73001"/>
    <w:rsid w:val="00E750B2"/>
    <w:rsid w:val="00E75EB4"/>
    <w:rsid w:val="00E80084"/>
    <w:rsid w:val="00E87308"/>
    <w:rsid w:val="00E9008F"/>
    <w:rsid w:val="00E905E7"/>
    <w:rsid w:val="00E95FDB"/>
    <w:rsid w:val="00EA3708"/>
    <w:rsid w:val="00EA3A4D"/>
    <w:rsid w:val="00EA7044"/>
    <w:rsid w:val="00EB3E8E"/>
    <w:rsid w:val="00EC1C46"/>
    <w:rsid w:val="00EC3048"/>
    <w:rsid w:val="00EC3FC4"/>
    <w:rsid w:val="00EC6B1D"/>
    <w:rsid w:val="00EC7C5F"/>
    <w:rsid w:val="00ED0644"/>
    <w:rsid w:val="00ED1FF1"/>
    <w:rsid w:val="00ED44C1"/>
    <w:rsid w:val="00ED4F82"/>
    <w:rsid w:val="00ED538A"/>
    <w:rsid w:val="00EE55BC"/>
    <w:rsid w:val="00EF44C7"/>
    <w:rsid w:val="00F02A22"/>
    <w:rsid w:val="00F05437"/>
    <w:rsid w:val="00F07022"/>
    <w:rsid w:val="00F136BE"/>
    <w:rsid w:val="00F21E20"/>
    <w:rsid w:val="00F22491"/>
    <w:rsid w:val="00F227DC"/>
    <w:rsid w:val="00F261FE"/>
    <w:rsid w:val="00F30D8B"/>
    <w:rsid w:val="00F317BE"/>
    <w:rsid w:val="00F3710B"/>
    <w:rsid w:val="00F375FC"/>
    <w:rsid w:val="00F4317C"/>
    <w:rsid w:val="00F43A07"/>
    <w:rsid w:val="00F4738F"/>
    <w:rsid w:val="00F53C0E"/>
    <w:rsid w:val="00F557CC"/>
    <w:rsid w:val="00F575A4"/>
    <w:rsid w:val="00F605DD"/>
    <w:rsid w:val="00F72E02"/>
    <w:rsid w:val="00F82777"/>
    <w:rsid w:val="00F836F6"/>
    <w:rsid w:val="00F84794"/>
    <w:rsid w:val="00F86B3A"/>
    <w:rsid w:val="00F86BAA"/>
    <w:rsid w:val="00F94867"/>
    <w:rsid w:val="00F95B28"/>
    <w:rsid w:val="00F9614B"/>
    <w:rsid w:val="00F96162"/>
    <w:rsid w:val="00F97807"/>
    <w:rsid w:val="00F97A74"/>
    <w:rsid w:val="00FA4957"/>
    <w:rsid w:val="00FA5389"/>
    <w:rsid w:val="00FA6F48"/>
    <w:rsid w:val="00FB10C5"/>
    <w:rsid w:val="00FB6DE6"/>
    <w:rsid w:val="00FC7874"/>
    <w:rsid w:val="00FD045D"/>
    <w:rsid w:val="00FD71C1"/>
    <w:rsid w:val="00FE204E"/>
    <w:rsid w:val="00FE397D"/>
    <w:rsid w:val="00FF0705"/>
    <w:rsid w:val="00FF7E05"/>
    <w:rsid w:val="027E2832"/>
    <w:rsid w:val="03D54F00"/>
    <w:rsid w:val="1484ED5D"/>
    <w:rsid w:val="15AEE41B"/>
    <w:rsid w:val="2202E1CD"/>
    <w:rsid w:val="469CC17E"/>
    <w:rsid w:val="46EF65C2"/>
    <w:rsid w:val="54247812"/>
    <w:rsid w:val="54C7D34A"/>
    <w:rsid w:val="5AE0BDE5"/>
    <w:rsid w:val="5BA0CF58"/>
    <w:rsid w:val="5F315EBB"/>
    <w:rsid w:val="610EEC86"/>
    <w:rsid w:val="69ABC980"/>
    <w:rsid w:val="6C3BBE6D"/>
    <w:rsid w:val="75227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BBE6D"/>
  <w15:chartTrackingRefBased/>
  <w15:docId w15:val="{DA36EA3B-BA41-40F6-9A62-A0D38844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696C"/>
    <w:pPr>
      <w:pBdr>
        <w:top w:val="single" w:sz="24" w:space="0" w:color="32476E"/>
        <w:left w:val="single" w:sz="24" w:space="0" w:color="32476E"/>
        <w:bottom w:val="single" w:sz="24" w:space="0" w:color="32476E"/>
        <w:right w:val="single" w:sz="24" w:space="0" w:color="32476E"/>
      </w:pBdr>
      <w:shd w:val="clear" w:color="auto" w:fill="32476E"/>
      <w:spacing w:after="120" w:line="240" w:lineRule="auto"/>
      <w:outlineLvl w:val="0"/>
    </w:pPr>
    <w:rPr>
      <w:rFonts w:ascii="Arial" w:eastAsiaTheme="minorEastAsia" w:hAnsi="Arial"/>
      <w:b/>
      <w:bCs/>
      <w:caps/>
      <w:color w:val="FFFFFF" w:themeColor="background1"/>
      <w:spacing w:val="15"/>
      <w:sz w:val="28"/>
      <w:szCs w:val="28"/>
    </w:rPr>
  </w:style>
  <w:style w:type="paragraph" w:styleId="Heading2">
    <w:name w:val="heading 2"/>
    <w:basedOn w:val="Normal"/>
    <w:next w:val="Normal"/>
    <w:link w:val="Heading2Char"/>
    <w:uiPriority w:val="9"/>
    <w:semiHidden/>
    <w:unhideWhenUsed/>
    <w:qFormat/>
    <w:rsid w:val="00104F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96C"/>
    <w:rPr>
      <w:rFonts w:ascii="Arial" w:eastAsiaTheme="minorEastAsia" w:hAnsi="Arial"/>
      <w:b/>
      <w:bCs/>
      <w:caps/>
      <w:color w:val="FFFFFF" w:themeColor="background1"/>
      <w:spacing w:val="15"/>
      <w:sz w:val="28"/>
      <w:szCs w:val="28"/>
      <w:shd w:val="clear" w:color="auto" w:fill="32476E"/>
    </w:rPr>
  </w:style>
  <w:style w:type="character" w:customStyle="1" w:styleId="Heading2Char">
    <w:name w:val="Heading 2 Char"/>
    <w:basedOn w:val="DefaultParagraphFont"/>
    <w:link w:val="Heading2"/>
    <w:uiPriority w:val="9"/>
    <w:semiHidden/>
    <w:rsid w:val="00104F24"/>
    <w:rPr>
      <w:rFonts w:asciiTheme="majorHAnsi" w:eastAsiaTheme="majorEastAsia" w:hAnsiTheme="majorHAnsi" w:cstheme="majorBidi"/>
      <w:color w:val="2F5496" w:themeColor="accent1" w:themeShade="BF"/>
      <w:sz w:val="26"/>
      <w:szCs w:val="26"/>
    </w:rPr>
  </w:style>
  <w:style w:type="paragraph" w:styleId="ListParagraph">
    <w:name w:val="List Paragraph"/>
    <w:aliases w:val="List Paragraph_AP,TT - Numbered List Paragraph,Nexant List Paragraph,Bullet Styles para,List Indent,Bullet 1"/>
    <w:basedOn w:val="Normal"/>
    <w:link w:val="ListParagraphChar"/>
    <w:uiPriority w:val="34"/>
    <w:qFormat/>
    <w:rsid w:val="00104F24"/>
    <w:pPr>
      <w:ind w:left="720"/>
      <w:contextualSpacing/>
    </w:pPr>
  </w:style>
  <w:style w:type="paragraph" w:styleId="TOCHeading">
    <w:name w:val="TOC Heading"/>
    <w:basedOn w:val="Heading1"/>
    <w:next w:val="Normal"/>
    <w:uiPriority w:val="39"/>
    <w:unhideWhenUsed/>
    <w:qFormat/>
    <w:rsid w:val="000D5F22"/>
    <w:pPr>
      <w:keepNext/>
      <w:keepLines/>
      <w:pBdr>
        <w:top w:val="none" w:sz="0" w:space="0" w:color="auto"/>
        <w:left w:val="none" w:sz="0" w:space="0" w:color="auto"/>
        <w:bottom w:val="none" w:sz="0" w:space="0" w:color="auto"/>
        <w:right w:val="none" w:sz="0" w:space="0" w:color="auto"/>
      </w:pBdr>
      <w:shd w:val="clear" w:color="auto" w:fill="auto"/>
      <w:spacing w:before="240" w:after="0" w:line="259" w:lineRule="auto"/>
      <w:outlineLvl w:val="9"/>
    </w:pPr>
    <w:rPr>
      <w:rFonts w:asciiTheme="majorHAnsi" w:eastAsiaTheme="majorEastAsia" w:hAnsiTheme="majorHAnsi" w:cstheme="majorBidi"/>
      <w:b w:val="0"/>
      <w:bCs w:val="0"/>
      <w:caps w:val="0"/>
      <w:color w:val="2F5496" w:themeColor="accent1" w:themeShade="BF"/>
      <w:spacing w:val="0"/>
      <w:sz w:val="32"/>
      <w:szCs w:val="32"/>
    </w:rPr>
  </w:style>
  <w:style w:type="paragraph" w:styleId="TOC1">
    <w:name w:val="toc 1"/>
    <w:basedOn w:val="Normal"/>
    <w:next w:val="Normal"/>
    <w:autoRedefine/>
    <w:uiPriority w:val="39"/>
    <w:unhideWhenUsed/>
    <w:rsid w:val="008C108B"/>
    <w:pPr>
      <w:tabs>
        <w:tab w:val="right" w:leader="dot" w:pos="9350"/>
      </w:tabs>
      <w:spacing w:after="100"/>
    </w:pPr>
    <w:rPr>
      <w:rFonts w:ascii="Arial" w:hAnsi="Arial" w:cs="Arial"/>
      <w:noProof/>
    </w:rPr>
  </w:style>
  <w:style w:type="paragraph" w:styleId="TOC2">
    <w:name w:val="toc 2"/>
    <w:basedOn w:val="Normal"/>
    <w:next w:val="Normal"/>
    <w:autoRedefine/>
    <w:uiPriority w:val="39"/>
    <w:unhideWhenUsed/>
    <w:rsid w:val="00CA001C"/>
    <w:pPr>
      <w:tabs>
        <w:tab w:val="left" w:pos="660"/>
        <w:tab w:val="right" w:leader="dot" w:pos="9350"/>
      </w:tabs>
      <w:spacing w:after="100"/>
      <w:ind w:left="220"/>
    </w:pPr>
  </w:style>
  <w:style w:type="character" w:styleId="Hyperlink">
    <w:name w:val="Hyperlink"/>
    <w:basedOn w:val="DefaultParagraphFont"/>
    <w:uiPriority w:val="99"/>
    <w:unhideWhenUsed/>
    <w:rsid w:val="000D5F22"/>
    <w:rPr>
      <w:color w:val="0563C1" w:themeColor="hyperlink"/>
      <w:u w:val="single"/>
    </w:rPr>
  </w:style>
  <w:style w:type="paragraph" w:styleId="NoSpacing">
    <w:name w:val="No Spacing"/>
    <w:uiPriority w:val="1"/>
    <w:qFormat/>
    <w:rsid w:val="00A87A91"/>
    <w:pPr>
      <w:spacing w:after="0" w:line="240" w:lineRule="auto"/>
    </w:pPr>
  </w:style>
  <w:style w:type="character" w:styleId="CommentReference">
    <w:name w:val="annotation reference"/>
    <w:basedOn w:val="DefaultParagraphFont"/>
    <w:uiPriority w:val="99"/>
    <w:semiHidden/>
    <w:unhideWhenUsed/>
    <w:rsid w:val="000B1C25"/>
    <w:rPr>
      <w:sz w:val="16"/>
      <w:szCs w:val="16"/>
    </w:rPr>
  </w:style>
  <w:style w:type="paragraph" w:styleId="CommentText">
    <w:name w:val="annotation text"/>
    <w:basedOn w:val="Normal"/>
    <w:link w:val="CommentTextChar"/>
    <w:uiPriority w:val="99"/>
    <w:unhideWhenUsed/>
    <w:rsid w:val="000B1C25"/>
    <w:pPr>
      <w:spacing w:line="240" w:lineRule="auto"/>
    </w:pPr>
    <w:rPr>
      <w:sz w:val="20"/>
      <w:szCs w:val="20"/>
    </w:rPr>
  </w:style>
  <w:style w:type="character" w:customStyle="1" w:styleId="CommentTextChar">
    <w:name w:val="Comment Text Char"/>
    <w:basedOn w:val="DefaultParagraphFont"/>
    <w:link w:val="CommentText"/>
    <w:uiPriority w:val="99"/>
    <w:rsid w:val="000B1C25"/>
    <w:rPr>
      <w:sz w:val="20"/>
      <w:szCs w:val="20"/>
    </w:rPr>
  </w:style>
  <w:style w:type="paragraph" w:styleId="CommentSubject">
    <w:name w:val="annotation subject"/>
    <w:basedOn w:val="CommentText"/>
    <w:next w:val="CommentText"/>
    <w:link w:val="CommentSubjectChar"/>
    <w:uiPriority w:val="99"/>
    <w:semiHidden/>
    <w:unhideWhenUsed/>
    <w:rsid w:val="000B1C25"/>
    <w:rPr>
      <w:b/>
      <w:bCs/>
    </w:rPr>
  </w:style>
  <w:style w:type="character" w:customStyle="1" w:styleId="CommentSubjectChar">
    <w:name w:val="Comment Subject Char"/>
    <w:basedOn w:val="CommentTextChar"/>
    <w:link w:val="CommentSubject"/>
    <w:uiPriority w:val="99"/>
    <w:semiHidden/>
    <w:rsid w:val="000B1C25"/>
    <w:rPr>
      <w:b/>
      <w:bCs/>
      <w:sz w:val="20"/>
      <w:szCs w:val="20"/>
    </w:rPr>
  </w:style>
  <w:style w:type="paragraph" w:styleId="FootnoteText">
    <w:name w:val="footnote text"/>
    <w:aliases w:val="Footnote Text Char Char,Footnote Text Char1 Char,Footnote Text Char Char Char,Footnote Text Char1 Char Char Char,Footnote Text Char Char1 Char Char Char,Footnote Text Char Char Char Char Char Char Char Char,Footnote Text1 Char"/>
    <w:basedOn w:val="Normal"/>
    <w:link w:val="FootnoteTextChar"/>
    <w:uiPriority w:val="99"/>
    <w:unhideWhenUsed/>
    <w:qFormat/>
    <w:rsid w:val="00EE55BC"/>
    <w:pPr>
      <w:widowControl w:val="0"/>
      <w:spacing w:after="0" w:line="240" w:lineRule="auto"/>
    </w:pPr>
    <w:rPr>
      <w:rFonts w:ascii="Calibri" w:hAnsi="Calibri"/>
      <w:sz w:val="20"/>
      <w:szCs w:val="20"/>
    </w:rPr>
  </w:style>
  <w:style w:type="character" w:customStyle="1" w:styleId="FootnoteTextChar">
    <w:name w:val="Footnote Text Char"/>
    <w:aliases w:val="Footnote Text Char Char Char1,Footnote Text Char1 Char Char,Footnote Text Char Char Char Char,Footnote Text Char1 Char Char Char Char,Footnote Text Char Char1 Char Char Char Char,Footnote Text1 Char Char"/>
    <w:basedOn w:val="DefaultParagraphFont"/>
    <w:link w:val="FootnoteText"/>
    <w:uiPriority w:val="99"/>
    <w:rsid w:val="00EE55BC"/>
    <w:rPr>
      <w:rFonts w:ascii="Calibri" w:hAnsi="Calibri"/>
      <w:sz w:val="20"/>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basedOn w:val="DefaultParagraphFont"/>
    <w:unhideWhenUsed/>
    <w:qFormat/>
    <w:rsid w:val="00EE55BC"/>
    <w:rPr>
      <w:vertAlign w:val="superscript"/>
    </w:rPr>
  </w:style>
  <w:style w:type="table" w:styleId="TableGrid">
    <w:name w:val="Table Grid"/>
    <w:basedOn w:val="TableNormal"/>
    <w:uiPriority w:val="39"/>
    <w:rsid w:val="00EE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D4605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Header">
    <w:name w:val="header"/>
    <w:basedOn w:val="Normal"/>
    <w:link w:val="HeaderChar"/>
    <w:uiPriority w:val="99"/>
    <w:unhideWhenUsed/>
    <w:rsid w:val="003B6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949"/>
  </w:style>
  <w:style w:type="paragraph" w:styleId="Footer">
    <w:name w:val="footer"/>
    <w:basedOn w:val="Normal"/>
    <w:link w:val="FooterChar"/>
    <w:uiPriority w:val="99"/>
    <w:unhideWhenUsed/>
    <w:rsid w:val="003B6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949"/>
  </w:style>
  <w:style w:type="character" w:customStyle="1" w:styleId="ListParagraphChar">
    <w:name w:val="List Paragraph Char"/>
    <w:aliases w:val="List Paragraph_AP Char,TT - Numbered List Paragraph Char,Nexant List Paragraph Char,Bullet Styles para Char,List Indent Char,Bullet 1 Char"/>
    <w:link w:val="ListParagraph"/>
    <w:uiPriority w:val="34"/>
    <w:locked/>
    <w:rsid w:val="006A56E2"/>
  </w:style>
  <w:style w:type="character" w:styleId="UnresolvedMention">
    <w:name w:val="Unresolved Mention"/>
    <w:basedOn w:val="DefaultParagraphFont"/>
    <w:uiPriority w:val="99"/>
    <w:semiHidden/>
    <w:unhideWhenUsed/>
    <w:rsid w:val="00015045"/>
    <w:rPr>
      <w:color w:val="605E5C"/>
      <w:shd w:val="clear" w:color="auto" w:fill="E1DFDD"/>
    </w:rPr>
  </w:style>
  <w:style w:type="paragraph" w:customStyle="1" w:styleId="Captions">
    <w:name w:val="Captions"/>
    <w:basedOn w:val="NoSpacing"/>
    <w:qFormat/>
    <w:rsid w:val="00E6717A"/>
    <w:pPr>
      <w:spacing w:after="120"/>
      <w:jc w:val="center"/>
    </w:pPr>
    <w:rPr>
      <w:rFonts w:ascii="Times New Roman" w:hAnsi="Times New Roman" w:cs="Times New Roman"/>
      <w:b/>
      <w:sz w:val="24"/>
      <w:szCs w:val="24"/>
    </w:rPr>
  </w:style>
  <w:style w:type="table" w:styleId="GridTable1Light-Accent2">
    <w:name w:val="Grid Table 1 Light Accent 2"/>
    <w:basedOn w:val="TableNormal"/>
    <w:uiPriority w:val="46"/>
    <w:rsid w:val="00E6717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cf01">
    <w:name w:val="cf01"/>
    <w:basedOn w:val="DefaultParagraphFont"/>
    <w:rsid w:val="00E6717A"/>
    <w:rPr>
      <w:rFonts w:ascii="Segoe UI" w:hAnsi="Segoe UI" w:cs="Segoe UI" w:hint="default"/>
      <w:sz w:val="18"/>
      <w:szCs w:val="18"/>
    </w:rPr>
  </w:style>
  <w:style w:type="paragraph" w:customStyle="1" w:styleId="TableParagraph">
    <w:name w:val="Table Paragraph"/>
    <w:basedOn w:val="Normal"/>
    <w:uiPriority w:val="1"/>
    <w:qFormat/>
    <w:rsid w:val="002C47CF"/>
    <w:pPr>
      <w:widowControl w:val="0"/>
      <w:spacing w:after="0" w:line="240" w:lineRule="auto"/>
    </w:pPr>
    <w:rPr>
      <w:rFonts w:ascii="Calibri" w:hAnsi="Calibri"/>
    </w:rPr>
  </w:style>
  <w:style w:type="paragraph" w:styleId="BodyText">
    <w:name w:val="Body Text"/>
    <w:basedOn w:val="Normal"/>
    <w:link w:val="BodyTextChar"/>
    <w:uiPriority w:val="1"/>
    <w:qFormat/>
    <w:rsid w:val="00E73001"/>
    <w:pPr>
      <w:widowControl w:val="0"/>
      <w:spacing w:after="0" w:line="240" w:lineRule="auto"/>
    </w:pPr>
    <w:rPr>
      <w:rFonts w:ascii="Calibri" w:eastAsia="Times New Roman" w:hAnsi="Calibri"/>
      <w:szCs w:val="24"/>
    </w:rPr>
  </w:style>
  <w:style w:type="character" w:customStyle="1" w:styleId="BodyTextChar">
    <w:name w:val="Body Text Char"/>
    <w:basedOn w:val="DefaultParagraphFont"/>
    <w:link w:val="BodyText"/>
    <w:uiPriority w:val="1"/>
    <w:rsid w:val="00E73001"/>
    <w:rPr>
      <w:rFonts w:ascii="Calibri" w:eastAsia="Times New Roman" w:hAnsi="Calibri"/>
      <w:szCs w:val="24"/>
    </w:rPr>
  </w:style>
  <w:style w:type="paragraph" w:styleId="Revision">
    <w:name w:val="Revision"/>
    <w:hidden/>
    <w:uiPriority w:val="99"/>
    <w:semiHidden/>
    <w:rsid w:val="00B43E98"/>
    <w:pPr>
      <w:spacing w:after="0" w:line="240" w:lineRule="auto"/>
    </w:pPr>
  </w:style>
  <w:style w:type="character" w:styleId="Mention">
    <w:name w:val="Mention"/>
    <w:basedOn w:val="DefaultParagraphFont"/>
    <w:uiPriority w:val="99"/>
    <w:unhideWhenUsed/>
    <w:rsid w:val="009E4C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76480">
      <w:bodyDiv w:val="1"/>
      <w:marLeft w:val="0"/>
      <w:marRight w:val="0"/>
      <w:marTop w:val="0"/>
      <w:marBottom w:val="0"/>
      <w:divBdr>
        <w:top w:val="none" w:sz="0" w:space="0" w:color="auto"/>
        <w:left w:val="none" w:sz="0" w:space="0" w:color="auto"/>
        <w:bottom w:val="none" w:sz="0" w:space="0" w:color="auto"/>
        <w:right w:val="none" w:sz="0" w:space="0" w:color="auto"/>
      </w:divBdr>
    </w:div>
    <w:div w:id="196977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39d0427-23a3-434a-87a3-106c18a58fcc" xsi:nil="true"/>
    <lcf76f155ced4ddcb4097134ff3c332f xmlns="e66e352d-2b92-4888-a5cf-03034ba3d8fd">
      <Terms xmlns="http://schemas.microsoft.com/office/infopath/2007/PartnerControls"/>
    </lcf76f155ced4ddcb4097134ff3c332f>
    <Retention xmlns="e66e352d-2b92-4888-a5cf-03034ba3d8fd">5</Retention>
    <_ip_UnifiedCompliancePolicyUIAction xmlns="http://schemas.microsoft.com/sharepoint/v3" xsi:nil="true"/>
    <_Flow_SignoffStatus xmlns="e66e352d-2b92-4888-a5cf-03034ba3d8fd" xsi:nil="true"/>
    <_ip_UnifiedCompliancePolicyProperties xmlns="http://schemas.microsoft.com/sharepoint/v3" xsi:nil="true"/>
    <Archive_x0020_Date xmlns="e66e352d-2b92-4888-a5cf-03034ba3d8fd" xsi:nil="true"/>
    <Archived xmlns="e66e352d-2b92-4888-a5cf-03034ba3d8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307EC439BB9C4881E1081A5B7EDB3E" ma:contentTypeVersion="23" ma:contentTypeDescription="Create a new document." ma:contentTypeScope="" ma:versionID="a0207e9d7070913a7329fd01a52acfa7">
  <xsd:schema xmlns:xsd="http://www.w3.org/2001/XMLSchema" xmlns:xs="http://www.w3.org/2001/XMLSchema" xmlns:p="http://schemas.microsoft.com/office/2006/metadata/properties" xmlns:ns1="http://schemas.microsoft.com/sharepoint/v3" xmlns:ns2="c39d0427-23a3-434a-87a3-106c18a58fcc" xmlns:ns3="e66e352d-2b92-4888-a5cf-03034ba3d8fd" targetNamespace="http://schemas.microsoft.com/office/2006/metadata/properties" ma:root="true" ma:fieldsID="f2f2dd48a5a019d65444ce58ee9090c0" ns1:_="" ns2:_="" ns3:_="">
    <xsd:import namespace="http://schemas.microsoft.com/sharepoint/v3"/>
    <xsd:import namespace="c39d0427-23a3-434a-87a3-106c18a58fcc"/>
    <xsd:import namespace="e66e352d-2b92-4888-a5cf-03034ba3d8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Archive_x0020_Date" minOccurs="0"/>
                <xsd:element ref="ns3:Retention" minOccurs="0"/>
                <xsd:element ref="ns1:_ip_UnifiedCompliancePolicyProperties" minOccurs="0"/>
                <xsd:element ref="ns1:_ip_UnifiedCompliancePolicyUIAction" minOccurs="0"/>
                <xsd:element ref="ns3:MediaLengthInSeconds" minOccurs="0"/>
                <xsd:element ref="ns3:_Flow_SignoffStatus" minOccurs="0"/>
                <xsd:element ref="ns3:Archived"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d0427-23a3-434a-87a3-106c18a58f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9" nillable="true" ma:displayName="Taxonomy Catch All Column" ma:hidden="true" ma:list="{b4162abd-5e3d-4439-8bed-af2ebd5c985e}" ma:internalName="TaxCatchAll" ma:showField="CatchAllData" ma:web="c39d0427-23a3-434a-87a3-106c18a58fc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6e352d-2b92-4888-a5cf-03034ba3d8f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rchive_x0020_Date" ma:index="20" nillable="true" ma:displayName="Archive" ma:description="Date at which file should be fully archived. This will lock the file until the destroy date." ma:format="DateOnly" ma:internalName="Archive_x0020_Date">
      <xsd:simpleType>
        <xsd:restriction base="dms:DateTime"/>
      </xsd:simpleType>
    </xsd:element>
    <xsd:element name="Retention" ma:index="21" nillable="true" ma:displayName="Retention" ma:default="5" ma:internalName="Retention">
      <xsd:simpleType>
        <xsd:restriction base="dms:Number"/>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Archived" ma:index="26" nillable="true" ma:displayName="Archived" ma:internalName="Archived">
      <xsd:simpleType>
        <xsd:restriction base="dms:Boolea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26392cd-2412-4e4b-807b-434ade0b29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13517-B6F7-4E76-88D6-9A6995FFE515}">
  <ds:schemaRefs>
    <ds:schemaRef ds:uri="http://schemas.openxmlformats.org/officeDocument/2006/bibliography"/>
  </ds:schemaRefs>
</ds:datastoreItem>
</file>

<file path=customXml/itemProps2.xml><?xml version="1.0" encoding="utf-8"?>
<ds:datastoreItem xmlns:ds="http://schemas.openxmlformats.org/officeDocument/2006/customXml" ds:itemID="{36CEE1F4-4582-47D7-ADAC-C1304991B8A1}">
  <ds:schemaRefs>
    <ds:schemaRef ds:uri="http://schemas.microsoft.com/office/2006/metadata/properties"/>
    <ds:schemaRef ds:uri="http://schemas.microsoft.com/office/infopath/2007/PartnerControls"/>
    <ds:schemaRef ds:uri="c39d0427-23a3-434a-87a3-106c18a58fcc"/>
    <ds:schemaRef ds:uri="e66e352d-2b92-4888-a5cf-03034ba3d8fd"/>
    <ds:schemaRef ds:uri="http://schemas.microsoft.com/sharepoint/v3"/>
  </ds:schemaRefs>
</ds:datastoreItem>
</file>

<file path=customXml/itemProps3.xml><?xml version="1.0" encoding="utf-8"?>
<ds:datastoreItem xmlns:ds="http://schemas.openxmlformats.org/officeDocument/2006/customXml" ds:itemID="{5C891C00-09E3-4A44-8298-9335FF458555}">
  <ds:schemaRefs>
    <ds:schemaRef ds:uri="http://schemas.microsoft.com/sharepoint/v3/contenttype/forms"/>
  </ds:schemaRefs>
</ds:datastoreItem>
</file>

<file path=customXml/itemProps4.xml><?xml version="1.0" encoding="utf-8"?>
<ds:datastoreItem xmlns:ds="http://schemas.openxmlformats.org/officeDocument/2006/customXml" ds:itemID="{A0E25F09-C29E-4A47-9679-B4E27A2AD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9d0427-23a3-434a-87a3-106c18a58fcc"/>
    <ds:schemaRef ds:uri="e66e352d-2b92-4888-a5cf-03034ba3d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7004</Words>
  <Characters>39925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46836</CharactersWithSpaces>
  <SharedDoc>false</SharedDoc>
  <HLinks>
    <vt:vector size="198" baseType="variant">
      <vt:variant>
        <vt:i4>1310779</vt:i4>
      </vt:variant>
      <vt:variant>
        <vt:i4>194</vt:i4>
      </vt:variant>
      <vt:variant>
        <vt:i4>0</vt:i4>
      </vt:variant>
      <vt:variant>
        <vt:i4>5</vt:i4>
      </vt:variant>
      <vt:variant>
        <vt:lpwstr/>
      </vt:variant>
      <vt:variant>
        <vt:lpwstr>_Toc129168584</vt:lpwstr>
      </vt:variant>
      <vt:variant>
        <vt:i4>1310779</vt:i4>
      </vt:variant>
      <vt:variant>
        <vt:i4>188</vt:i4>
      </vt:variant>
      <vt:variant>
        <vt:i4>0</vt:i4>
      </vt:variant>
      <vt:variant>
        <vt:i4>5</vt:i4>
      </vt:variant>
      <vt:variant>
        <vt:lpwstr/>
      </vt:variant>
      <vt:variant>
        <vt:lpwstr>_Toc129168583</vt:lpwstr>
      </vt:variant>
      <vt:variant>
        <vt:i4>1310779</vt:i4>
      </vt:variant>
      <vt:variant>
        <vt:i4>182</vt:i4>
      </vt:variant>
      <vt:variant>
        <vt:i4>0</vt:i4>
      </vt:variant>
      <vt:variant>
        <vt:i4>5</vt:i4>
      </vt:variant>
      <vt:variant>
        <vt:lpwstr/>
      </vt:variant>
      <vt:variant>
        <vt:lpwstr>_Toc129168582</vt:lpwstr>
      </vt:variant>
      <vt:variant>
        <vt:i4>1310779</vt:i4>
      </vt:variant>
      <vt:variant>
        <vt:i4>176</vt:i4>
      </vt:variant>
      <vt:variant>
        <vt:i4>0</vt:i4>
      </vt:variant>
      <vt:variant>
        <vt:i4>5</vt:i4>
      </vt:variant>
      <vt:variant>
        <vt:lpwstr/>
      </vt:variant>
      <vt:variant>
        <vt:lpwstr>_Toc129168581</vt:lpwstr>
      </vt:variant>
      <vt:variant>
        <vt:i4>1310779</vt:i4>
      </vt:variant>
      <vt:variant>
        <vt:i4>170</vt:i4>
      </vt:variant>
      <vt:variant>
        <vt:i4>0</vt:i4>
      </vt:variant>
      <vt:variant>
        <vt:i4>5</vt:i4>
      </vt:variant>
      <vt:variant>
        <vt:lpwstr/>
      </vt:variant>
      <vt:variant>
        <vt:lpwstr>_Toc129168580</vt:lpwstr>
      </vt:variant>
      <vt:variant>
        <vt:i4>1769531</vt:i4>
      </vt:variant>
      <vt:variant>
        <vt:i4>164</vt:i4>
      </vt:variant>
      <vt:variant>
        <vt:i4>0</vt:i4>
      </vt:variant>
      <vt:variant>
        <vt:i4>5</vt:i4>
      </vt:variant>
      <vt:variant>
        <vt:lpwstr/>
      </vt:variant>
      <vt:variant>
        <vt:lpwstr>_Toc129168579</vt:lpwstr>
      </vt:variant>
      <vt:variant>
        <vt:i4>1769531</vt:i4>
      </vt:variant>
      <vt:variant>
        <vt:i4>158</vt:i4>
      </vt:variant>
      <vt:variant>
        <vt:i4>0</vt:i4>
      </vt:variant>
      <vt:variant>
        <vt:i4>5</vt:i4>
      </vt:variant>
      <vt:variant>
        <vt:lpwstr/>
      </vt:variant>
      <vt:variant>
        <vt:lpwstr>_Toc129168578</vt:lpwstr>
      </vt:variant>
      <vt:variant>
        <vt:i4>1769531</vt:i4>
      </vt:variant>
      <vt:variant>
        <vt:i4>152</vt:i4>
      </vt:variant>
      <vt:variant>
        <vt:i4>0</vt:i4>
      </vt:variant>
      <vt:variant>
        <vt:i4>5</vt:i4>
      </vt:variant>
      <vt:variant>
        <vt:lpwstr/>
      </vt:variant>
      <vt:variant>
        <vt:lpwstr>_Toc129168577</vt:lpwstr>
      </vt:variant>
      <vt:variant>
        <vt:i4>1769531</vt:i4>
      </vt:variant>
      <vt:variant>
        <vt:i4>146</vt:i4>
      </vt:variant>
      <vt:variant>
        <vt:i4>0</vt:i4>
      </vt:variant>
      <vt:variant>
        <vt:i4>5</vt:i4>
      </vt:variant>
      <vt:variant>
        <vt:lpwstr/>
      </vt:variant>
      <vt:variant>
        <vt:lpwstr>_Toc129168576</vt:lpwstr>
      </vt:variant>
      <vt:variant>
        <vt:i4>1769531</vt:i4>
      </vt:variant>
      <vt:variant>
        <vt:i4>140</vt:i4>
      </vt:variant>
      <vt:variant>
        <vt:i4>0</vt:i4>
      </vt:variant>
      <vt:variant>
        <vt:i4>5</vt:i4>
      </vt:variant>
      <vt:variant>
        <vt:lpwstr/>
      </vt:variant>
      <vt:variant>
        <vt:lpwstr>_Toc129168575</vt:lpwstr>
      </vt:variant>
      <vt:variant>
        <vt:i4>1769531</vt:i4>
      </vt:variant>
      <vt:variant>
        <vt:i4>134</vt:i4>
      </vt:variant>
      <vt:variant>
        <vt:i4>0</vt:i4>
      </vt:variant>
      <vt:variant>
        <vt:i4>5</vt:i4>
      </vt:variant>
      <vt:variant>
        <vt:lpwstr/>
      </vt:variant>
      <vt:variant>
        <vt:lpwstr>_Toc129168574</vt:lpwstr>
      </vt:variant>
      <vt:variant>
        <vt:i4>1769531</vt:i4>
      </vt:variant>
      <vt:variant>
        <vt:i4>128</vt:i4>
      </vt:variant>
      <vt:variant>
        <vt:i4>0</vt:i4>
      </vt:variant>
      <vt:variant>
        <vt:i4>5</vt:i4>
      </vt:variant>
      <vt:variant>
        <vt:lpwstr/>
      </vt:variant>
      <vt:variant>
        <vt:lpwstr>_Toc129168573</vt:lpwstr>
      </vt:variant>
      <vt:variant>
        <vt:i4>1769531</vt:i4>
      </vt:variant>
      <vt:variant>
        <vt:i4>122</vt:i4>
      </vt:variant>
      <vt:variant>
        <vt:i4>0</vt:i4>
      </vt:variant>
      <vt:variant>
        <vt:i4>5</vt:i4>
      </vt:variant>
      <vt:variant>
        <vt:lpwstr/>
      </vt:variant>
      <vt:variant>
        <vt:lpwstr>_Toc129168572</vt:lpwstr>
      </vt:variant>
      <vt:variant>
        <vt:i4>1769531</vt:i4>
      </vt:variant>
      <vt:variant>
        <vt:i4>116</vt:i4>
      </vt:variant>
      <vt:variant>
        <vt:i4>0</vt:i4>
      </vt:variant>
      <vt:variant>
        <vt:i4>5</vt:i4>
      </vt:variant>
      <vt:variant>
        <vt:lpwstr/>
      </vt:variant>
      <vt:variant>
        <vt:lpwstr>_Toc129168571</vt:lpwstr>
      </vt:variant>
      <vt:variant>
        <vt:i4>1769531</vt:i4>
      </vt:variant>
      <vt:variant>
        <vt:i4>110</vt:i4>
      </vt:variant>
      <vt:variant>
        <vt:i4>0</vt:i4>
      </vt:variant>
      <vt:variant>
        <vt:i4>5</vt:i4>
      </vt:variant>
      <vt:variant>
        <vt:lpwstr/>
      </vt:variant>
      <vt:variant>
        <vt:lpwstr>_Toc129168570</vt:lpwstr>
      </vt:variant>
      <vt:variant>
        <vt:i4>1703995</vt:i4>
      </vt:variant>
      <vt:variant>
        <vt:i4>104</vt:i4>
      </vt:variant>
      <vt:variant>
        <vt:i4>0</vt:i4>
      </vt:variant>
      <vt:variant>
        <vt:i4>5</vt:i4>
      </vt:variant>
      <vt:variant>
        <vt:lpwstr/>
      </vt:variant>
      <vt:variant>
        <vt:lpwstr>_Toc129168569</vt:lpwstr>
      </vt:variant>
      <vt:variant>
        <vt:i4>1703995</vt:i4>
      </vt:variant>
      <vt:variant>
        <vt:i4>98</vt:i4>
      </vt:variant>
      <vt:variant>
        <vt:i4>0</vt:i4>
      </vt:variant>
      <vt:variant>
        <vt:i4>5</vt:i4>
      </vt:variant>
      <vt:variant>
        <vt:lpwstr/>
      </vt:variant>
      <vt:variant>
        <vt:lpwstr>_Toc129168568</vt:lpwstr>
      </vt:variant>
      <vt:variant>
        <vt:i4>1703995</vt:i4>
      </vt:variant>
      <vt:variant>
        <vt:i4>92</vt:i4>
      </vt:variant>
      <vt:variant>
        <vt:i4>0</vt:i4>
      </vt:variant>
      <vt:variant>
        <vt:i4>5</vt:i4>
      </vt:variant>
      <vt:variant>
        <vt:lpwstr/>
      </vt:variant>
      <vt:variant>
        <vt:lpwstr>_Toc129168567</vt:lpwstr>
      </vt:variant>
      <vt:variant>
        <vt:i4>1703995</vt:i4>
      </vt:variant>
      <vt:variant>
        <vt:i4>86</vt:i4>
      </vt:variant>
      <vt:variant>
        <vt:i4>0</vt:i4>
      </vt:variant>
      <vt:variant>
        <vt:i4>5</vt:i4>
      </vt:variant>
      <vt:variant>
        <vt:lpwstr/>
      </vt:variant>
      <vt:variant>
        <vt:lpwstr>_Toc129168566</vt:lpwstr>
      </vt:variant>
      <vt:variant>
        <vt:i4>1703995</vt:i4>
      </vt:variant>
      <vt:variant>
        <vt:i4>80</vt:i4>
      </vt:variant>
      <vt:variant>
        <vt:i4>0</vt:i4>
      </vt:variant>
      <vt:variant>
        <vt:i4>5</vt:i4>
      </vt:variant>
      <vt:variant>
        <vt:lpwstr/>
      </vt:variant>
      <vt:variant>
        <vt:lpwstr>_Toc129168565</vt:lpwstr>
      </vt:variant>
      <vt:variant>
        <vt:i4>1703995</vt:i4>
      </vt:variant>
      <vt:variant>
        <vt:i4>74</vt:i4>
      </vt:variant>
      <vt:variant>
        <vt:i4>0</vt:i4>
      </vt:variant>
      <vt:variant>
        <vt:i4>5</vt:i4>
      </vt:variant>
      <vt:variant>
        <vt:lpwstr/>
      </vt:variant>
      <vt:variant>
        <vt:lpwstr>_Toc129168564</vt:lpwstr>
      </vt:variant>
      <vt:variant>
        <vt:i4>1703995</vt:i4>
      </vt:variant>
      <vt:variant>
        <vt:i4>68</vt:i4>
      </vt:variant>
      <vt:variant>
        <vt:i4>0</vt:i4>
      </vt:variant>
      <vt:variant>
        <vt:i4>5</vt:i4>
      </vt:variant>
      <vt:variant>
        <vt:lpwstr/>
      </vt:variant>
      <vt:variant>
        <vt:lpwstr>_Toc129168563</vt:lpwstr>
      </vt:variant>
      <vt:variant>
        <vt:i4>1703995</vt:i4>
      </vt:variant>
      <vt:variant>
        <vt:i4>62</vt:i4>
      </vt:variant>
      <vt:variant>
        <vt:i4>0</vt:i4>
      </vt:variant>
      <vt:variant>
        <vt:i4>5</vt:i4>
      </vt:variant>
      <vt:variant>
        <vt:lpwstr/>
      </vt:variant>
      <vt:variant>
        <vt:lpwstr>_Toc129168562</vt:lpwstr>
      </vt:variant>
      <vt:variant>
        <vt:i4>1703995</vt:i4>
      </vt:variant>
      <vt:variant>
        <vt:i4>56</vt:i4>
      </vt:variant>
      <vt:variant>
        <vt:i4>0</vt:i4>
      </vt:variant>
      <vt:variant>
        <vt:i4>5</vt:i4>
      </vt:variant>
      <vt:variant>
        <vt:lpwstr/>
      </vt:variant>
      <vt:variant>
        <vt:lpwstr>_Toc129168561</vt:lpwstr>
      </vt:variant>
      <vt:variant>
        <vt:i4>1703995</vt:i4>
      </vt:variant>
      <vt:variant>
        <vt:i4>50</vt:i4>
      </vt:variant>
      <vt:variant>
        <vt:i4>0</vt:i4>
      </vt:variant>
      <vt:variant>
        <vt:i4>5</vt:i4>
      </vt:variant>
      <vt:variant>
        <vt:lpwstr/>
      </vt:variant>
      <vt:variant>
        <vt:lpwstr>_Toc129168560</vt:lpwstr>
      </vt:variant>
      <vt:variant>
        <vt:i4>1638459</vt:i4>
      </vt:variant>
      <vt:variant>
        <vt:i4>44</vt:i4>
      </vt:variant>
      <vt:variant>
        <vt:i4>0</vt:i4>
      </vt:variant>
      <vt:variant>
        <vt:i4>5</vt:i4>
      </vt:variant>
      <vt:variant>
        <vt:lpwstr/>
      </vt:variant>
      <vt:variant>
        <vt:lpwstr>_Toc129168559</vt:lpwstr>
      </vt:variant>
      <vt:variant>
        <vt:i4>1638459</vt:i4>
      </vt:variant>
      <vt:variant>
        <vt:i4>38</vt:i4>
      </vt:variant>
      <vt:variant>
        <vt:i4>0</vt:i4>
      </vt:variant>
      <vt:variant>
        <vt:i4>5</vt:i4>
      </vt:variant>
      <vt:variant>
        <vt:lpwstr/>
      </vt:variant>
      <vt:variant>
        <vt:lpwstr>_Toc129168558</vt:lpwstr>
      </vt:variant>
      <vt:variant>
        <vt:i4>1638459</vt:i4>
      </vt:variant>
      <vt:variant>
        <vt:i4>32</vt:i4>
      </vt:variant>
      <vt:variant>
        <vt:i4>0</vt:i4>
      </vt:variant>
      <vt:variant>
        <vt:i4>5</vt:i4>
      </vt:variant>
      <vt:variant>
        <vt:lpwstr/>
      </vt:variant>
      <vt:variant>
        <vt:lpwstr>_Toc129168557</vt:lpwstr>
      </vt:variant>
      <vt:variant>
        <vt:i4>1638459</vt:i4>
      </vt:variant>
      <vt:variant>
        <vt:i4>26</vt:i4>
      </vt:variant>
      <vt:variant>
        <vt:i4>0</vt:i4>
      </vt:variant>
      <vt:variant>
        <vt:i4>5</vt:i4>
      </vt:variant>
      <vt:variant>
        <vt:lpwstr/>
      </vt:variant>
      <vt:variant>
        <vt:lpwstr>_Toc129168556</vt:lpwstr>
      </vt:variant>
      <vt:variant>
        <vt:i4>1638459</vt:i4>
      </vt:variant>
      <vt:variant>
        <vt:i4>20</vt:i4>
      </vt:variant>
      <vt:variant>
        <vt:i4>0</vt:i4>
      </vt:variant>
      <vt:variant>
        <vt:i4>5</vt:i4>
      </vt:variant>
      <vt:variant>
        <vt:lpwstr/>
      </vt:variant>
      <vt:variant>
        <vt:lpwstr>_Toc129168555</vt:lpwstr>
      </vt:variant>
      <vt:variant>
        <vt:i4>1638459</vt:i4>
      </vt:variant>
      <vt:variant>
        <vt:i4>14</vt:i4>
      </vt:variant>
      <vt:variant>
        <vt:i4>0</vt:i4>
      </vt:variant>
      <vt:variant>
        <vt:i4>5</vt:i4>
      </vt:variant>
      <vt:variant>
        <vt:lpwstr/>
      </vt:variant>
      <vt:variant>
        <vt:lpwstr>_Toc129168554</vt:lpwstr>
      </vt:variant>
      <vt:variant>
        <vt:i4>1638459</vt:i4>
      </vt:variant>
      <vt:variant>
        <vt:i4>8</vt:i4>
      </vt:variant>
      <vt:variant>
        <vt:i4>0</vt:i4>
      </vt:variant>
      <vt:variant>
        <vt:i4>5</vt:i4>
      </vt:variant>
      <vt:variant>
        <vt:lpwstr/>
      </vt:variant>
      <vt:variant>
        <vt:lpwstr>_Toc129168553</vt:lpwstr>
      </vt:variant>
      <vt:variant>
        <vt:i4>1638459</vt:i4>
      </vt:variant>
      <vt:variant>
        <vt:i4>2</vt:i4>
      </vt:variant>
      <vt:variant>
        <vt:i4>0</vt:i4>
      </vt:variant>
      <vt:variant>
        <vt:i4>5</vt:i4>
      </vt:variant>
      <vt:variant>
        <vt:lpwstr/>
      </vt:variant>
      <vt:variant>
        <vt:lpwstr>_Toc129168552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Moar</dc:creator>
  <cp:keywords/>
  <dc:description/>
  <cp:lastModifiedBy>Gomez, Laurie</cp:lastModifiedBy>
  <cp:revision>2</cp:revision>
  <dcterms:created xsi:type="dcterms:W3CDTF">2023-04-04T17:52:00Z</dcterms:created>
  <dcterms:modified xsi:type="dcterms:W3CDTF">2023-04-04T17:52:00Z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0x01010016307EC439BB9C4881E1081A5B7EDB3E</vt:lpwstr>
  </property>
  <property fmtid="{D5CDD505-2E9C-101B-9397-08002B2CF9AE}" pid="3" name="MediaServiceImageTags">
    <vt:lpwstr/>
  </property>
</Properties>
</file>