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A0FA" w14:textId="77777777" w:rsidR="00D92493" w:rsidRPr="00D92493" w:rsidRDefault="00D92493" w:rsidP="00D92493">
      <w:pPr>
        <w:spacing w:after="0" w:line="240" w:lineRule="auto"/>
        <w:rPr>
          <w:rFonts w:ascii="Times New Roman" w:eastAsia="Times New Roman" w:hAnsi="Times New Roman" w:cs="Times New Roman"/>
          <w:sz w:val="24"/>
          <w:szCs w:val="24"/>
        </w:rPr>
      </w:pPr>
      <w:r w:rsidRPr="00D9249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6CA0F6D" wp14:editId="50BEB10C">
            <wp:simplePos x="0" y="0"/>
            <wp:positionH relativeFrom="column">
              <wp:posOffset>4591050</wp:posOffset>
            </wp:positionH>
            <wp:positionV relativeFrom="paragraph">
              <wp:posOffset>-266700</wp:posOffset>
            </wp:positionV>
            <wp:extent cx="1209675" cy="984250"/>
            <wp:effectExtent l="0" t="0" r="9525" b="6350"/>
            <wp:wrapTight wrapText="bothSides">
              <wp:wrapPolygon edited="0">
                <wp:start x="0" y="0"/>
                <wp:lineTo x="0" y="21321"/>
                <wp:lineTo x="21430" y="21321"/>
                <wp:lineTo x="21430" y="0"/>
                <wp:lineTo x="0" y="0"/>
              </wp:wrapPolygon>
            </wp:wrapTight>
            <wp:docPr id="1" name="Picture 1" descr="MCE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_logo-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84250"/>
                    </a:xfrm>
                    <a:prstGeom prst="rect">
                      <a:avLst/>
                    </a:prstGeom>
                    <a:noFill/>
                  </pic:spPr>
                </pic:pic>
              </a:graphicData>
            </a:graphic>
          </wp:anchor>
        </w:drawing>
      </w:r>
      <w:r w:rsidRPr="00D92493">
        <w:rPr>
          <w:rFonts w:ascii="Times New Roman" w:eastAsia="Times New Roman" w:hAnsi="Times New Roman" w:cs="Times New Roman"/>
          <w:sz w:val="24"/>
          <w:szCs w:val="24"/>
        </w:rPr>
        <w:t>September 1, 2020</w:t>
      </w:r>
    </w:p>
    <w:p w14:paraId="6C848B2E" w14:textId="77777777" w:rsidR="00D92493" w:rsidRPr="00D92493" w:rsidRDefault="00D92493" w:rsidP="00D92493">
      <w:pPr>
        <w:spacing w:after="0" w:line="240" w:lineRule="auto"/>
        <w:jc w:val="both"/>
        <w:rPr>
          <w:rFonts w:ascii="Times New Roman" w:eastAsia="Times New Roman" w:hAnsi="Times New Roman" w:cs="Times New Roman"/>
          <w:sz w:val="24"/>
          <w:szCs w:val="24"/>
        </w:rPr>
      </w:pPr>
    </w:p>
    <w:p w14:paraId="33DC6749" w14:textId="77777777" w:rsidR="00D92493" w:rsidRPr="00D92493" w:rsidRDefault="00D92493" w:rsidP="00D92493">
      <w:pPr>
        <w:spacing w:after="0" w:line="240" w:lineRule="auto"/>
        <w:jc w:val="both"/>
        <w:rPr>
          <w:rFonts w:ascii="Times New Roman" w:eastAsia="Times New Roman" w:hAnsi="Times New Roman" w:cs="Times New Roman"/>
          <w:sz w:val="24"/>
          <w:szCs w:val="24"/>
        </w:rPr>
      </w:pPr>
      <w:r w:rsidRPr="00D92493">
        <w:rPr>
          <w:rFonts w:ascii="Times New Roman" w:eastAsia="Times New Roman" w:hAnsi="Times New Roman" w:cs="Times New Roman"/>
          <w:sz w:val="24"/>
          <w:szCs w:val="24"/>
        </w:rPr>
        <w:t>CA Public Utilities Commission</w:t>
      </w:r>
    </w:p>
    <w:p w14:paraId="297333DD" w14:textId="77777777" w:rsidR="00D92493" w:rsidRPr="00D92493" w:rsidRDefault="00D92493" w:rsidP="00D92493">
      <w:pPr>
        <w:spacing w:after="0" w:line="240" w:lineRule="auto"/>
        <w:jc w:val="both"/>
        <w:rPr>
          <w:rFonts w:ascii="Times New Roman" w:eastAsia="Times New Roman" w:hAnsi="Times New Roman" w:cs="Times New Roman"/>
          <w:sz w:val="24"/>
          <w:szCs w:val="24"/>
        </w:rPr>
      </w:pPr>
      <w:r w:rsidRPr="00D92493">
        <w:rPr>
          <w:rFonts w:ascii="Times New Roman" w:eastAsia="Times New Roman" w:hAnsi="Times New Roman" w:cs="Times New Roman"/>
          <w:sz w:val="24"/>
          <w:szCs w:val="24"/>
        </w:rPr>
        <w:t>Energy Division</w:t>
      </w:r>
    </w:p>
    <w:p w14:paraId="43995EAE" w14:textId="77777777" w:rsidR="00D92493" w:rsidRPr="00D92493" w:rsidRDefault="00D92493" w:rsidP="00D92493">
      <w:pPr>
        <w:spacing w:after="0" w:line="240" w:lineRule="auto"/>
        <w:jc w:val="both"/>
        <w:rPr>
          <w:rFonts w:ascii="Times New Roman" w:eastAsia="Times New Roman" w:hAnsi="Times New Roman" w:cs="Times New Roman"/>
          <w:sz w:val="24"/>
          <w:szCs w:val="24"/>
        </w:rPr>
      </w:pPr>
      <w:r w:rsidRPr="00D92493">
        <w:rPr>
          <w:rFonts w:ascii="Times New Roman" w:eastAsia="Times New Roman" w:hAnsi="Times New Roman" w:cs="Times New Roman"/>
          <w:sz w:val="24"/>
          <w:szCs w:val="24"/>
        </w:rPr>
        <w:t>Attention: Tariff Unit</w:t>
      </w:r>
    </w:p>
    <w:p w14:paraId="6DD2184B" w14:textId="77777777" w:rsidR="00D92493" w:rsidRPr="00D92493" w:rsidRDefault="00D92493" w:rsidP="00D92493">
      <w:pPr>
        <w:spacing w:after="0" w:line="240" w:lineRule="auto"/>
        <w:jc w:val="both"/>
        <w:rPr>
          <w:rFonts w:ascii="Times New Roman" w:eastAsia="Times New Roman" w:hAnsi="Times New Roman" w:cs="Times New Roman"/>
          <w:sz w:val="24"/>
          <w:szCs w:val="24"/>
        </w:rPr>
      </w:pPr>
      <w:r w:rsidRPr="00D92493">
        <w:rPr>
          <w:rFonts w:ascii="Times New Roman" w:eastAsia="Times New Roman" w:hAnsi="Times New Roman" w:cs="Times New Roman"/>
          <w:sz w:val="24"/>
          <w:szCs w:val="24"/>
        </w:rPr>
        <w:t>505 Van Ness Avenue, 4</w:t>
      </w:r>
      <w:r w:rsidRPr="00D92493">
        <w:rPr>
          <w:rFonts w:ascii="Times New Roman" w:eastAsia="Times New Roman" w:hAnsi="Times New Roman" w:cs="Times New Roman"/>
          <w:sz w:val="24"/>
          <w:szCs w:val="24"/>
          <w:vertAlign w:val="superscript"/>
        </w:rPr>
        <w:t>th</w:t>
      </w:r>
      <w:r w:rsidRPr="00D92493">
        <w:rPr>
          <w:rFonts w:ascii="Times New Roman" w:eastAsia="Times New Roman" w:hAnsi="Times New Roman" w:cs="Times New Roman"/>
          <w:sz w:val="24"/>
          <w:szCs w:val="24"/>
        </w:rPr>
        <w:t xml:space="preserve"> Floor</w:t>
      </w:r>
    </w:p>
    <w:p w14:paraId="2FFAE258" w14:textId="27DD8BB1" w:rsidR="00D92493" w:rsidRDefault="00D92493" w:rsidP="00D92493">
      <w:pPr>
        <w:spacing w:after="0" w:line="240" w:lineRule="auto"/>
        <w:jc w:val="both"/>
        <w:rPr>
          <w:rFonts w:ascii="Times New Roman" w:eastAsia="Times New Roman" w:hAnsi="Times New Roman" w:cs="Times New Roman"/>
          <w:sz w:val="24"/>
          <w:szCs w:val="24"/>
        </w:rPr>
      </w:pPr>
      <w:r w:rsidRPr="00D92493">
        <w:rPr>
          <w:rFonts w:ascii="Times New Roman" w:eastAsia="Times New Roman" w:hAnsi="Times New Roman" w:cs="Times New Roman"/>
          <w:sz w:val="24"/>
          <w:szCs w:val="24"/>
        </w:rPr>
        <w:t>San Francisco, CA 94102-3298</w:t>
      </w:r>
    </w:p>
    <w:p w14:paraId="7944DD1D" w14:textId="77777777" w:rsidR="007E35E0" w:rsidRPr="00D92493" w:rsidRDefault="007E35E0" w:rsidP="00D92493">
      <w:pPr>
        <w:spacing w:after="0" w:line="240" w:lineRule="auto"/>
        <w:jc w:val="both"/>
        <w:rPr>
          <w:rFonts w:ascii="Times New Roman" w:eastAsia="Times New Roman" w:hAnsi="Times New Roman" w:cs="Times New Roman"/>
          <w:sz w:val="24"/>
          <w:szCs w:val="24"/>
        </w:rPr>
      </w:pPr>
    </w:p>
    <w:p w14:paraId="073540F7" w14:textId="77777777" w:rsidR="00D92493" w:rsidRPr="00D92493" w:rsidRDefault="00D92493" w:rsidP="00D92493">
      <w:pPr>
        <w:spacing w:after="0" w:line="240" w:lineRule="auto"/>
        <w:jc w:val="center"/>
        <w:rPr>
          <w:rFonts w:ascii="Times New Roman" w:eastAsia="Times New Roman" w:hAnsi="Times New Roman" w:cs="Times New Roman"/>
          <w:b/>
          <w:sz w:val="24"/>
          <w:szCs w:val="24"/>
        </w:rPr>
      </w:pPr>
      <w:r w:rsidRPr="00D92493">
        <w:rPr>
          <w:rFonts w:ascii="Times New Roman" w:eastAsia="Times New Roman" w:hAnsi="Times New Roman" w:cs="Times New Roman"/>
          <w:b/>
          <w:sz w:val="24"/>
          <w:szCs w:val="24"/>
          <w:u w:val="single"/>
        </w:rPr>
        <w:t>MCE Advice Letter XX-E</w:t>
      </w:r>
    </w:p>
    <w:p w14:paraId="2109FB2E" w14:textId="77777777" w:rsidR="00D92493" w:rsidRPr="00D92493" w:rsidRDefault="00D92493" w:rsidP="00D92493">
      <w:pPr>
        <w:spacing w:after="0" w:line="240" w:lineRule="auto"/>
        <w:rPr>
          <w:rFonts w:ascii="Times New Roman" w:eastAsia="Times New Roman" w:hAnsi="Times New Roman" w:cs="Times New Roman"/>
          <w:sz w:val="24"/>
          <w:szCs w:val="24"/>
        </w:rPr>
      </w:pPr>
    </w:p>
    <w:p w14:paraId="16F5D713" w14:textId="77777777" w:rsidR="00D92493" w:rsidRPr="00D92493" w:rsidRDefault="00D92493" w:rsidP="00D92493">
      <w:pPr>
        <w:spacing w:after="0" w:line="240" w:lineRule="auto"/>
        <w:ind w:left="720" w:hanging="720"/>
        <w:jc w:val="both"/>
        <w:rPr>
          <w:rFonts w:ascii="Times New Roman" w:eastAsia="Times New Roman" w:hAnsi="Times New Roman" w:cs="Times New Roman"/>
          <w:b/>
          <w:sz w:val="24"/>
          <w:szCs w:val="24"/>
        </w:rPr>
      </w:pPr>
      <w:r w:rsidRPr="00D92493">
        <w:rPr>
          <w:rFonts w:ascii="Times New Roman" w:eastAsia="Times New Roman" w:hAnsi="Times New Roman" w:cs="Times New Roman"/>
          <w:b/>
          <w:sz w:val="24"/>
          <w:szCs w:val="24"/>
        </w:rPr>
        <w:t xml:space="preserve">Re: </w:t>
      </w:r>
      <w:r w:rsidRPr="00D92493">
        <w:rPr>
          <w:rFonts w:ascii="Times New Roman" w:eastAsia="Times New Roman" w:hAnsi="Times New Roman" w:cs="Times New Roman"/>
          <w:b/>
          <w:sz w:val="24"/>
          <w:szCs w:val="24"/>
        </w:rPr>
        <w:tab/>
        <w:t>Marin Clean Energy’s 2021 Energy Efficiency Annual Budget Advice Letter</w:t>
      </w:r>
    </w:p>
    <w:p w14:paraId="5F66A04B" w14:textId="77777777" w:rsidR="00E7615B" w:rsidRDefault="00E7615B" w:rsidP="007E35E0"/>
    <w:p w14:paraId="1ECE5890" w14:textId="4EC10EEE" w:rsidR="007E35E0" w:rsidRDefault="007E35E0" w:rsidP="007E35E0">
      <w:pPr>
        <w:rPr>
          <w:rFonts w:ascii="Times New Roman" w:hAnsi="Times New Roman" w:cs="Times New Roman"/>
          <w:sz w:val="24"/>
          <w:szCs w:val="24"/>
        </w:rPr>
      </w:pPr>
      <w:r w:rsidRPr="007E35E0">
        <w:rPr>
          <w:rFonts w:ascii="Times New Roman" w:hAnsi="Times New Roman" w:cs="Times New Roman"/>
          <w:sz w:val="24"/>
          <w:szCs w:val="24"/>
        </w:rPr>
        <w:t xml:space="preserve">Pursuant to Decision (“D.”) 15-10-028, </w:t>
      </w:r>
      <w:r w:rsidRPr="007E35E0">
        <w:rPr>
          <w:rFonts w:ascii="Times New Roman" w:hAnsi="Times New Roman" w:cs="Times New Roman"/>
          <w:i/>
          <w:iCs/>
          <w:sz w:val="24"/>
          <w:szCs w:val="24"/>
        </w:rPr>
        <w:t>Decision Re Energy Efficiency Goals for 2016 and Beyond and Energy Efficiency Rolling Portfolio Mechanics</w:t>
      </w:r>
      <w:r w:rsidRPr="007E35E0">
        <w:rPr>
          <w:rFonts w:ascii="Times New Roman" w:hAnsi="Times New Roman" w:cs="Times New Roman"/>
          <w:sz w:val="24"/>
          <w:szCs w:val="24"/>
        </w:rPr>
        <w:t>,</w:t>
      </w:r>
      <w:r w:rsidR="00E7615B">
        <w:rPr>
          <w:rStyle w:val="FootnoteReference"/>
          <w:rFonts w:ascii="Times New Roman" w:hAnsi="Times New Roman" w:cs="Times New Roman"/>
          <w:sz w:val="24"/>
          <w:szCs w:val="24"/>
        </w:rPr>
        <w:footnoteReference w:id="1"/>
      </w:r>
      <w:r w:rsidRPr="007E35E0">
        <w:rPr>
          <w:rFonts w:ascii="Times New Roman" w:hAnsi="Times New Roman" w:cs="Times New Roman"/>
          <w:sz w:val="24"/>
          <w:szCs w:val="24"/>
        </w:rPr>
        <w:t xml:space="preserve"> and D.18-05-041, </w:t>
      </w:r>
      <w:r w:rsidRPr="007E35E0">
        <w:rPr>
          <w:rFonts w:ascii="Times New Roman" w:hAnsi="Times New Roman" w:cs="Times New Roman"/>
          <w:i/>
          <w:iCs/>
          <w:sz w:val="24"/>
          <w:szCs w:val="24"/>
        </w:rPr>
        <w:t>Decision Addressing Energy Efficiency Business Plans</w:t>
      </w:r>
      <w:r w:rsidRPr="007E35E0">
        <w:rPr>
          <w:rFonts w:ascii="Times New Roman" w:hAnsi="Times New Roman" w:cs="Times New Roman"/>
          <w:sz w:val="24"/>
          <w:szCs w:val="24"/>
        </w:rPr>
        <w:t>,</w:t>
      </w:r>
      <w:r w:rsidR="00E7615B">
        <w:rPr>
          <w:rStyle w:val="FootnoteReference"/>
          <w:rFonts w:ascii="Times New Roman" w:hAnsi="Times New Roman" w:cs="Times New Roman"/>
          <w:sz w:val="24"/>
          <w:szCs w:val="24"/>
        </w:rPr>
        <w:footnoteReference w:id="2"/>
      </w:r>
      <w:r w:rsidRPr="007E35E0">
        <w:rPr>
          <w:rFonts w:ascii="Times New Roman" w:hAnsi="Times New Roman" w:cs="Times New Roman"/>
          <w:sz w:val="24"/>
          <w:szCs w:val="24"/>
        </w:rPr>
        <w:t xml:space="preserve"> Marin Clean Energy (“MCE”) submits it Annual Budget Advice Letter (“ABAL”) for Program Year (“PY”) 2021 as MCE Advice Letter (“AL”) XX-E.</w:t>
      </w:r>
    </w:p>
    <w:p w14:paraId="05054DDB" w14:textId="7F20434B" w:rsidR="00E7615B" w:rsidRDefault="00E7615B" w:rsidP="007E35E0">
      <w:pPr>
        <w:rPr>
          <w:rFonts w:ascii="Times New Roman" w:hAnsi="Times New Roman" w:cs="Times New Roman"/>
          <w:sz w:val="24"/>
          <w:szCs w:val="24"/>
        </w:rPr>
      </w:pPr>
      <w:r w:rsidRPr="00E7615B">
        <w:rPr>
          <w:rFonts w:ascii="Times New Roman" w:hAnsi="Times New Roman" w:cs="Times New Roman"/>
          <w:b/>
          <w:bCs/>
          <w:sz w:val="24"/>
          <w:szCs w:val="24"/>
          <w:u w:val="single"/>
        </w:rPr>
        <w:t>Tier Designation:</w:t>
      </w:r>
      <w:r>
        <w:rPr>
          <w:rFonts w:ascii="Times New Roman" w:hAnsi="Times New Roman" w:cs="Times New Roman"/>
          <w:sz w:val="24"/>
          <w:szCs w:val="24"/>
        </w:rPr>
        <w:t xml:space="preserve"> This AL has a Tier 2 designation pursuant to Ordering Paragraph (“OP”) 4 of D.15-10-028.</w:t>
      </w:r>
    </w:p>
    <w:p w14:paraId="13C2A396" w14:textId="01157B8E" w:rsidR="00E7615B" w:rsidRPr="007E35E0" w:rsidRDefault="00E7615B" w:rsidP="007E35E0">
      <w:pPr>
        <w:rPr>
          <w:rFonts w:ascii="Times New Roman" w:hAnsi="Times New Roman" w:cs="Times New Roman"/>
          <w:sz w:val="24"/>
          <w:szCs w:val="24"/>
        </w:rPr>
      </w:pPr>
      <w:r w:rsidRPr="00E7615B">
        <w:rPr>
          <w:rFonts w:ascii="Times New Roman" w:hAnsi="Times New Roman" w:cs="Times New Roman"/>
          <w:b/>
          <w:bCs/>
          <w:sz w:val="24"/>
          <w:szCs w:val="24"/>
          <w:u w:val="single"/>
        </w:rPr>
        <w:t>Effective Date:</w:t>
      </w:r>
      <w:r>
        <w:rPr>
          <w:rFonts w:ascii="Times New Roman" w:hAnsi="Times New Roman" w:cs="Times New Roman"/>
          <w:sz w:val="24"/>
          <w:szCs w:val="24"/>
        </w:rPr>
        <w:t xml:space="preserve"> Pursuant to G.O. 96-B, MCE requests that this Tier 2 AL become effective on October 14, 2020, which is 30 calendar days from the date of this filing.</w:t>
      </w:r>
    </w:p>
    <w:p w14:paraId="03A8242B" w14:textId="29C6B04B" w:rsidR="00D55A67" w:rsidRPr="006272FC" w:rsidRDefault="00D55A67" w:rsidP="00D55A67">
      <w:pPr>
        <w:pStyle w:val="Heading1"/>
        <w:rPr>
          <w:rFonts w:ascii="Times New Roman" w:eastAsiaTheme="minorHAnsi" w:hAnsi="Times New Roman" w:cs="Times New Roman"/>
          <w:b/>
          <w:bCs/>
          <w:color w:val="auto"/>
          <w:sz w:val="24"/>
          <w:szCs w:val="24"/>
          <w:u w:val="single"/>
        </w:rPr>
      </w:pPr>
      <w:r w:rsidRPr="006272FC">
        <w:rPr>
          <w:rFonts w:ascii="Times New Roman" w:eastAsiaTheme="minorHAnsi" w:hAnsi="Times New Roman" w:cs="Times New Roman"/>
          <w:b/>
          <w:bCs/>
          <w:color w:val="auto"/>
          <w:sz w:val="24"/>
          <w:szCs w:val="24"/>
          <w:u w:val="single"/>
        </w:rPr>
        <w:t>Purpose</w:t>
      </w:r>
    </w:p>
    <w:p w14:paraId="71537A2A" w14:textId="0D99D3E5" w:rsidR="00D55A67" w:rsidRPr="00D92493" w:rsidRDefault="00D55A67" w:rsidP="00D55A67">
      <w:pPr>
        <w:jc w:val="both"/>
        <w:rPr>
          <w:rFonts w:ascii="Times New Roman" w:hAnsi="Times New Roman" w:cs="Times New Roman"/>
          <w:sz w:val="24"/>
          <w:szCs w:val="24"/>
        </w:rPr>
      </w:pPr>
      <w:r w:rsidRPr="00D92493">
        <w:rPr>
          <w:rFonts w:ascii="Times New Roman" w:hAnsi="Times New Roman" w:cs="Times New Roman"/>
          <w:sz w:val="24"/>
          <w:szCs w:val="24"/>
        </w:rPr>
        <w:t>The purpose of this advice filing is to request</w:t>
      </w:r>
      <w:r w:rsidR="00E7615B">
        <w:rPr>
          <w:rFonts w:ascii="Times New Roman" w:hAnsi="Times New Roman" w:cs="Times New Roman"/>
          <w:sz w:val="24"/>
          <w:szCs w:val="24"/>
        </w:rPr>
        <w:t xml:space="preserve"> approval of</w:t>
      </w:r>
      <w:r w:rsidRPr="00D92493">
        <w:rPr>
          <w:rFonts w:ascii="Times New Roman" w:hAnsi="Times New Roman" w:cs="Times New Roman"/>
          <w:sz w:val="24"/>
          <w:szCs w:val="24"/>
        </w:rPr>
        <w:t xml:space="preserve"> MCE’s</w:t>
      </w:r>
      <w:r w:rsidR="00E7615B">
        <w:rPr>
          <w:rFonts w:ascii="Times New Roman" w:hAnsi="Times New Roman" w:cs="Times New Roman"/>
          <w:sz w:val="24"/>
          <w:szCs w:val="24"/>
        </w:rPr>
        <w:t xml:space="preserve"> proposed</w:t>
      </w:r>
      <w:r w:rsidRPr="00D92493">
        <w:rPr>
          <w:rFonts w:ascii="Times New Roman" w:hAnsi="Times New Roman" w:cs="Times New Roman"/>
          <w:sz w:val="24"/>
          <w:szCs w:val="24"/>
        </w:rPr>
        <w:t xml:space="preserve"> energy efficiency</w:t>
      </w:r>
      <w:r w:rsidR="00E7615B">
        <w:rPr>
          <w:rFonts w:ascii="Times New Roman" w:hAnsi="Times New Roman" w:cs="Times New Roman"/>
          <w:sz w:val="24"/>
          <w:szCs w:val="24"/>
        </w:rPr>
        <w:t xml:space="preserve"> (“EE”)</w:t>
      </w:r>
      <w:r w:rsidRPr="00D92493">
        <w:rPr>
          <w:rFonts w:ascii="Times New Roman" w:hAnsi="Times New Roman" w:cs="Times New Roman"/>
          <w:sz w:val="24"/>
          <w:szCs w:val="24"/>
        </w:rPr>
        <w:t xml:space="preserve"> budget for Program Year 2021.  This AL complies with</w:t>
      </w:r>
      <w:r w:rsidR="00E7615B">
        <w:rPr>
          <w:rFonts w:ascii="Times New Roman" w:hAnsi="Times New Roman" w:cs="Times New Roman"/>
          <w:sz w:val="24"/>
          <w:szCs w:val="24"/>
        </w:rPr>
        <w:t xml:space="preserve"> D.15-10-028 and</w:t>
      </w:r>
      <w:r w:rsidRPr="00D92493">
        <w:rPr>
          <w:rFonts w:ascii="Times New Roman" w:hAnsi="Times New Roman" w:cs="Times New Roman"/>
          <w:sz w:val="24"/>
          <w:szCs w:val="24"/>
        </w:rPr>
        <w:t xml:space="preserve"> D.18-05-041, which requires MCE to file an ABAL by September 1, 2020. The ABAL provides information about MCE’s approved </w:t>
      </w:r>
      <w:r w:rsidR="00E7615B">
        <w:rPr>
          <w:rFonts w:ascii="Times New Roman" w:hAnsi="Times New Roman" w:cs="Times New Roman"/>
          <w:sz w:val="24"/>
          <w:szCs w:val="24"/>
        </w:rPr>
        <w:t>EE</w:t>
      </w:r>
      <w:r w:rsidRPr="00D92493">
        <w:rPr>
          <w:rFonts w:ascii="Times New Roman" w:hAnsi="Times New Roman" w:cs="Times New Roman"/>
          <w:sz w:val="24"/>
          <w:szCs w:val="24"/>
        </w:rPr>
        <w:t xml:space="preserve"> portfolio, including (1) cost effectiveness; (2) budgets; (3) energy savings; and (4) portfolio</w:t>
      </w:r>
      <w:r w:rsidR="00E7615B">
        <w:rPr>
          <w:rFonts w:ascii="Times New Roman" w:hAnsi="Times New Roman" w:cs="Times New Roman"/>
          <w:sz w:val="24"/>
          <w:szCs w:val="24"/>
        </w:rPr>
        <w:t xml:space="preserve"> and program</w:t>
      </w:r>
      <w:r w:rsidRPr="00D92493">
        <w:rPr>
          <w:rFonts w:ascii="Times New Roman" w:hAnsi="Times New Roman" w:cs="Times New Roman"/>
          <w:sz w:val="24"/>
          <w:szCs w:val="24"/>
        </w:rPr>
        <w:t xml:space="preserve"> changes.</w:t>
      </w:r>
    </w:p>
    <w:p w14:paraId="0ABB42B4" w14:textId="5D4050B6" w:rsidR="00D55A67" w:rsidRPr="006272FC" w:rsidRDefault="00D55A67" w:rsidP="00D55A67">
      <w:pPr>
        <w:pStyle w:val="Heading1"/>
        <w:rPr>
          <w:rFonts w:ascii="Times New Roman" w:eastAsiaTheme="minorHAnsi" w:hAnsi="Times New Roman" w:cs="Times New Roman"/>
          <w:b/>
          <w:bCs/>
          <w:color w:val="auto"/>
          <w:sz w:val="24"/>
          <w:szCs w:val="24"/>
          <w:u w:val="single"/>
        </w:rPr>
      </w:pPr>
      <w:r w:rsidRPr="006272FC">
        <w:rPr>
          <w:rFonts w:ascii="Times New Roman" w:eastAsiaTheme="minorHAnsi" w:hAnsi="Times New Roman" w:cs="Times New Roman"/>
          <w:b/>
          <w:bCs/>
          <w:color w:val="auto"/>
          <w:sz w:val="24"/>
          <w:szCs w:val="24"/>
          <w:u w:val="single"/>
        </w:rPr>
        <w:t>Background</w:t>
      </w:r>
    </w:p>
    <w:p w14:paraId="7A15DE9F" w14:textId="51E27784" w:rsidR="00D55A67" w:rsidRPr="00D92493" w:rsidRDefault="00D55A67" w:rsidP="00D55A67">
      <w:pPr>
        <w:jc w:val="both"/>
        <w:rPr>
          <w:rFonts w:ascii="Times New Roman" w:hAnsi="Times New Roman" w:cs="Times New Roman"/>
          <w:sz w:val="24"/>
          <w:szCs w:val="24"/>
        </w:rPr>
      </w:pPr>
      <w:r w:rsidRPr="00D92493">
        <w:rPr>
          <w:rFonts w:ascii="Times New Roman" w:hAnsi="Times New Roman" w:cs="Times New Roman"/>
          <w:sz w:val="24"/>
          <w:szCs w:val="24"/>
        </w:rPr>
        <w:t xml:space="preserve">MCE has </w:t>
      </w:r>
      <w:r w:rsidR="00E7615B">
        <w:rPr>
          <w:rFonts w:ascii="Times New Roman" w:hAnsi="Times New Roman" w:cs="Times New Roman"/>
          <w:sz w:val="24"/>
          <w:szCs w:val="24"/>
        </w:rPr>
        <w:t xml:space="preserve">been </w:t>
      </w:r>
      <w:r w:rsidRPr="00D92493">
        <w:rPr>
          <w:rFonts w:ascii="Times New Roman" w:hAnsi="Times New Roman" w:cs="Times New Roman"/>
          <w:sz w:val="24"/>
          <w:szCs w:val="24"/>
        </w:rPr>
        <w:t>administer</w:t>
      </w:r>
      <w:r w:rsidR="00E7615B">
        <w:rPr>
          <w:rFonts w:ascii="Times New Roman" w:hAnsi="Times New Roman" w:cs="Times New Roman"/>
          <w:sz w:val="24"/>
          <w:szCs w:val="24"/>
        </w:rPr>
        <w:t>ing</w:t>
      </w:r>
      <w:r w:rsidRPr="00D92493">
        <w:rPr>
          <w:rFonts w:ascii="Times New Roman" w:hAnsi="Times New Roman" w:cs="Times New Roman"/>
          <w:sz w:val="24"/>
          <w:szCs w:val="24"/>
        </w:rPr>
        <w:t xml:space="preserve"> </w:t>
      </w:r>
      <w:r w:rsidR="00E7615B">
        <w:rPr>
          <w:rFonts w:ascii="Times New Roman" w:hAnsi="Times New Roman" w:cs="Times New Roman"/>
          <w:sz w:val="24"/>
          <w:szCs w:val="24"/>
        </w:rPr>
        <w:t>EE</w:t>
      </w:r>
      <w:r w:rsidRPr="00D92493">
        <w:rPr>
          <w:rFonts w:ascii="Times New Roman" w:hAnsi="Times New Roman" w:cs="Times New Roman"/>
          <w:sz w:val="24"/>
          <w:szCs w:val="24"/>
        </w:rPr>
        <w:t xml:space="preserve"> funds under California Public Utilities Code (“Code”) Section 381.1(a)-(d) since 2013.</w:t>
      </w:r>
      <w:r w:rsidRPr="00D92493">
        <w:rPr>
          <w:rStyle w:val="FootnoteReference"/>
          <w:rFonts w:ascii="Times New Roman" w:hAnsi="Times New Roman" w:cs="Times New Roman"/>
          <w:sz w:val="24"/>
          <w:szCs w:val="24"/>
        </w:rPr>
        <w:footnoteReference w:id="3"/>
      </w:r>
      <w:r w:rsidRPr="00D92493">
        <w:rPr>
          <w:rFonts w:ascii="Times New Roman" w:hAnsi="Times New Roman" w:cs="Times New Roman"/>
          <w:sz w:val="24"/>
          <w:szCs w:val="24"/>
        </w:rPr>
        <w:t xml:space="preserve"> The California Public Utilities Commission (“Commission”) originally restricted MCE’s energy </w:t>
      </w:r>
      <w:r w:rsidR="00E7615B">
        <w:rPr>
          <w:rFonts w:ascii="Times New Roman" w:hAnsi="Times New Roman" w:cs="Times New Roman"/>
          <w:sz w:val="24"/>
          <w:szCs w:val="24"/>
        </w:rPr>
        <w:t>EE</w:t>
      </w:r>
      <w:r w:rsidRPr="00D92493">
        <w:rPr>
          <w:rFonts w:ascii="Times New Roman" w:hAnsi="Times New Roman" w:cs="Times New Roman"/>
          <w:sz w:val="24"/>
          <w:szCs w:val="24"/>
        </w:rPr>
        <w:t xml:space="preserve"> programs to serving gaps in Investor Owned Utility (“IOU”) programs and hard to reach markets.</w:t>
      </w:r>
      <w:r w:rsidRPr="00D92493">
        <w:rPr>
          <w:rStyle w:val="FootnoteReference"/>
          <w:rFonts w:ascii="Times New Roman" w:hAnsi="Times New Roman" w:cs="Times New Roman"/>
          <w:sz w:val="24"/>
          <w:szCs w:val="24"/>
        </w:rPr>
        <w:footnoteReference w:id="4"/>
      </w:r>
      <w:r w:rsidRPr="00D92493">
        <w:rPr>
          <w:rFonts w:ascii="Times New Roman" w:hAnsi="Times New Roman" w:cs="Times New Roman"/>
          <w:sz w:val="24"/>
          <w:szCs w:val="24"/>
        </w:rPr>
        <w:t xml:space="preserve"> At the time, the Commission acknowledged that these restrictions may cause MCE’s portfolio to fail the Total Resource Cost (“TRC”) test and thus did not initially </w:t>
      </w:r>
      <w:r w:rsidRPr="00D92493">
        <w:rPr>
          <w:rFonts w:ascii="Times New Roman" w:hAnsi="Times New Roman" w:cs="Times New Roman"/>
          <w:sz w:val="24"/>
          <w:szCs w:val="24"/>
        </w:rPr>
        <w:lastRenderedPageBreak/>
        <w:t>impose a minimum cost effectiveness requirement on MCE.</w:t>
      </w:r>
      <w:r w:rsidRPr="00D92493">
        <w:rPr>
          <w:rStyle w:val="FootnoteReference"/>
          <w:rFonts w:ascii="Times New Roman" w:hAnsi="Times New Roman" w:cs="Times New Roman"/>
          <w:sz w:val="24"/>
          <w:szCs w:val="24"/>
        </w:rPr>
        <w:footnoteReference w:id="5"/>
      </w:r>
      <w:r w:rsidRPr="00D92493">
        <w:rPr>
          <w:rFonts w:ascii="Times New Roman" w:hAnsi="Times New Roman" w:cs="Times New Roman"/>
          <w:sz w:val="24"/>
          <w:szCs w:val="24"/>
        </w:rPr>
        <w:t xml:space="preserve"> In 2014, however, the Commission lifted the restrictions and imposed the same cost effectiveness requirements on CCAs as IOUs.</w:t>
      </w:r>
      <w:r w:rsidRPr="00D92493">
        <w:rPr>
          <w:rStyle w:val="FootnoteReference"/>
          <w:rFonts w:ascii="Times New Roman" w:hAnsi="Times New Roman" w:cs="Times New Roman"/>
          <w:sz w:val="24"/>
          <w:szCs w:val="24"/>
        </w:rPr>
        <w:footnoteReference w:id="6"/>
      </w:r>
      <w:r w:rsidRPr="00D92493">
        <w:rPr>
          <w:rFonts w:ascii="Times New Roman" w:hAnsi="Times New Roman" w:cs="Times New Roman"/>
          <w:sz w:val="24"/>
          <w:szCs w:val="24"/>
        </w:rPr>
        <w:t xml:space="preserve"> </w:t>
      </w:r>
    </w:p>
    <w:p w14:paraId="109CAE6A" w14:textId="17CD9DE4" w:rsidR="00D55A67" w:rsidRPr="00D92493" w:rsidRDefault="00D55A67" w:rsidP="00D55A67">
      <w:pPr>
        <w:jc w:val="both"/>
        <w:rPr>
          <w:rFonts w:ascii="Times New Roman" w:hAnsi="Times New Roman" w:cs="Times New Roman"/>
          <w:sz w:val="24"/>
          <w:szCs w:val="24"/>
        </w:rPr>
      </w:pPr>
      <w:r w:rsidRPr="00D92493">
        <w:rPr>
          <w:rFonts w:ascii="Times New Roman" w:hAnsi="Times New Roman" w:cs="Times New Roman"/>
          <w:sz w:val="24"/>
          <w:szCs w:val="24"/>
        </w:rPr>
        <w:t xml:space="preserve">Program Administrators (“PA”) were invited to submit business plans in 2017. On January 17, 2017, MCE filed a Business Plan with the Commission that requested authorization to expand MCE’s </w:t>
      </w:r>
      <w:r w:rsidR="00E7615B">
        <w:rPr>
          <w:rFonts w:ascii="Times New Roman" w:hAnsi="Times New Roman" w:cs="Times New Roman"/>
          <w:sz w:val="24"/>
          <w:szCs w:val="24"/>
        </w:rPr>
        <w:t>EE</w:t>
      </w:r>
      <w:r w:rsidRPr="00D92493">
        <w:rPr>
          <w:rFonts w:ascii="Times New Roman" w:hAnsi="Times New Roman" w:cs="Times New Roman"/>
          <w:sz w:val="24"/>
          <w:szCs w:val="24"/>
        </w:rPr>
        <w:t xml:space="preserve"> portfolio to include additional sectors and programmatic offerings.</w:t>
      </w:r>
      <w:r w:rsidRPr="00D92493">
        <w:rPr>
          <w:rStyle w:val="FootnoteReference"/>
          <w:rFonts w:ascii="Times New Roman" w:hAnsi="Times New Roman" w:cs="Times New Roman"/>
          <w:sz w:val="24"/>
          <w:szCs w:val="24"/>
        </w:rPr>
        <w:footnoteReference w:id="7"/>
      </w:r>
      <w:r w:rsidRPr="00D92493">
        <w:rPr>
          <w:rFonts w:ascii="Times New Roman" w:hAnsi="Times New Roman" w:cs="Times New Roman"/>
          <w:sz w:val="24"/>
          <w:szCs w:val="24"/>
        </w:rPr>
        <w:t xml:space="preserve"> MCE proposed to offer programs in the following sectors: (1) Residential; (2) Commercial; (3) Industrial; (4) Agricultural; and (5) Workforce Education and Training. On June 5, 2018, the Commission approved MCE’s Business Plan</w:t>
      </w:r>
      <w:r w:rsidR="00E7615B">
        <w:rPr>
          <w:rFonts w:ascii="Times New Roman" w:hAnsi="Times New Roman" w:cs="Times New Roman"/>
          <w:sz w:val="24"/>
          <w:szCs w:val="24"/>
        </w:rPr>
        <w:t xml:space="preserve"> in D.18-05-041</w:t>
      </w:r>
      <w:r w:rsidRPr="00D92493">
        <w:rPr>
          <w:rFonts w:ascii="Times New Roman" w:hAnsi="Times New Roman" w:cs="Times New Roman"/>
          <w:sz w:val="24"/>
          <w:szCs w:val="24"/>
        </w:rPr>
        <w:t>.</w:t>
      </w:r>
      <w:r w:rsidRPr="00D92493">
        <w:rPr>
          <w:rStyle w:val="FootnoteReference"/>
          <w:rFonts w:ascii="Times New Roman" w:hAnsi="Times New Roman" w:cs="Times New Roman"/>
          <w:sz w:val="24"/>
          <w:szCs w:val="24"/>
        </w:rPr>
        <w:footnoteReference w:id="8"/>
      </w:r>
    </w:p>
    <w:p w14:paraId="664A207F" w14:textId="11F521AA" w:rsidR="00D55A67" w:rsidRPr="00D92493" w:rsidRDefault="00D55A67" w:rsidP="00D55A67">
      <w:pPr>
        <w:pStyle w:val="Heading1"/>
        <w:rPr>
          <w:rFonts w:ascii="Times New Roman" w:hAnsi="Times New Roman" w:cs="Times New Roman"/>
        </w:rPr>
      </w:pPr>
      <w:r w:rsidRPr="00D92493">
        <w:rPr>
          <w:rFonts w:ascii="Times New Roman" w:hAnsi="Times New Roman" w:cs="Times New Roman"/>
        </w:rPr>
        <w:t>Discussion</w:t>
      </w:r>
    </w:p>
    <w:p w14:paraId="04192511" w14:textId="6F12FD14" w:rsidR="00D55A67" w:rsidRPr="00D92493" w:rsidRDefault="00D55A67" w:rsidP="00D55A67">
      <w:pPr>
        <w:pStyle w:val="Heading2"/>
        <w:rPr>
          <w:rFonts w:ascii="Times New Roman" w:hAnsi="Times New Roman" w:cs="Times New Roman"/>
        </w:rPr>
      </w:pPr>
      <w:r w:rsidRPr="00D92493">
        <w:rPr>
          <w:rFonts w:ascii="Times New Roman" w:hAnsi="Times New Roman" w:cs="Times New Roman"/>
        </w:rPr>
        <w:t>Budget</w:t>
      </w:r>
      <w:r w:rsidR="006272FC">
        <w:rPr>
          <w:rFonts w:ascii="Times New Roman" w:hAnsi="Times New Roman" w:cs="Times New Roman"/>
        </w:rPr>
        <w:t xml:space="preserve"> and Energy Savings</w:t>
      </w:r>
    </w:p>
    <w:p w14:paraId="52A47D51" w14:textId="602BEE7C" w:rsidR="00D55A67" w:rsidRPr="00D92493" w:rsidRDefault="006272FC" w:rsidP="00D55A67">
      <w:pPr>
        <w:jc w:val="both"/>
        <w:rPr>
          <w:rFonts w:ascii="Times New Roman" w:hAnsi="Times New Roman" w:cs="Times New Roman"/>
          <w:sz w:val="24"/>
          <w:szCs w:val="24"/>
        </w:rPr>
      </w:pPr>
      <w:r>
        <w:rPr>
          <w:rFonts w:ascii="Times New Roman" w:hAnsi="Times New Roman" w:cs="Times New Roman"/>
          <w:sz w:val="24"/>
          <w:szCs w:val="24"/>
        </w:rPr>
        <w:t>In approving PAs’ business plans in D.18-05-041, the Commission required ABALs to address both energy savings and budget forecasts. In the Decision, t</w:t>
      </w:r>
      <w:r w:rsidR="00D55A67" w:rsidRPr="00D92493">
        <w:rPr>
          <w:rFonts w:ascii="Times New Roman" w:hAnsi="Times New Roman" w:cs="Times New Roman"/>
          <w:sz w:val="24"/>
          <w:szCs w:val="24"/>
        </w:rPr>
        <w:t xml:space="preserve">he Commission approved </w:t>
      </w:r>
      <w:r>
        <w:rPr>
          <w:rFonts w:ascii="Times New Roman" w:hAnsi="Times New Roman" w:cs="Times New Roman"/>
          <w:sz w:val="24"/>
          <w:szCs w:val="24"/>
        </w:rPr>
        <w:t xml:space="preserve">annual and total </w:t>
      </w:r>
      <w:r w:rsidR="00D55A67" w:rsidRPr="00D92493">
        <w:rPr>
          <w:rFonts w:ascii="Times New Roman" w:hAnsi="Times New Roman" w:cs="Times New Roman"/>
          <w:sz w:val="24"/>
          <w:szCs w:val="24"/>
        </w:rPr>
        <w:t>funding levels for MCE</w:t>
      </w:r>
      <w:r>
        <w:rPr>
          <w:rFonts w:ascii="Times New Roman" w:hAnsi="Times New Roman" w:cs="Times New Roman"/>
          <w:sz w:val="24"/>
          <w:szCs w:val="24"/>
        </w:rPr>
        <w:t>’s EE portfolio</w:t>
      </w:r>
      <w:r w:rsidR="00D55A67" w:rsidRPr="00D92493">
        <w:rPr>
          <w:rFonts w:ascii="Times New Roman" w:hAnsi="Times New Roman" w:cs="Times New Roman"/>
          <w:sz w:val="24"/>
          <w:szCs w:val="24"/>
        </w:rPr>
        <w:t xml:space="preserve"> for P</w:t>
      </w:r>
      <w:r>
        <w:rPr>
          <w:rFonts w:ascii="Times New Roman" w:hAnsi="Times New Roman" w:cs="Times New Roman"/>
          <w:sz w:val="24"/>
          <w:szCs w:val="24"/>
        </w:rPr>
        <w:t>Ys</w:t>
      </w:r>
      <w:r w:rsidR="00D55A67" w:rsidRPr="00D92493">
        <w:rPr>
          <w:rFonts w:ascii="Times New Roman" w:hAnsi="Times New Roman" w:cs="Times New Roman"/>
          <w:sz w:val="24"/>
          <w:szCs w:val="24"/>
        </w:rPr>
        <w:t xml:space="preserve"> 2018-2025 for each of MCE’s proposed sectors.</w:t>
      </w:r>
      <w:r w:rsidR="00D55A67" w:rsidRPr="00D92493">
        <w:rPr>
          <w:rStyle w:val="FootnoteReference"/>
          <w:rFonts w:ascii="Times New Roman" w:hAnsi="Times New Roman" w:cs="Times New Roman"/>
          <w:sz w:val="24"/>
          <w:szCs w:val="24"/>
        </w:rPr>
        <w:footnoteReference w:id="9"/>
      </w:r>
      <w:r w:rsidR="00D55A67" w:rsidRPr="00D92493">
        <w:rPr>
          <w:rFonts w:ascii="Times New Roman" w:hAnsi="Times New Roman" w:cs="Times New Roman"/>
          <w:sz w:val="24"/>
          <w:szCs w:val="24"/>
        </w:rPr>
        <w:t xml:space="preserve"> </w:t>
      </w:r>
      <w:r>
        <w:rPr>
          <w:rFonts w:ascii="Times New Roman" w:hAnsi="Times New Roman" w:cs="Times New Roman"/>
          <w:sz w:val="24"/>
          <w:szCs w:val="24"/>
        </w:rPr>
        <w:t>Even t</w:t>
      </w:r>
      <w:r w:rsidR="00D55A67" w:rsidRPr="00D92493">
        <w:rPr>
          <w:rFonts w:ascii="Times New Roman" w:hAnsi="Times New Roman" w:cs="Times New Roman"/>
          <w:sz w:val="24"/>
          <w:szCs w:val="24"/>
        </w:rPr>
        <w:t xml:space="preserve">hough, the Commission approved annual and </w:t>
      </w:r>
      <w:r>
        <w:rPr>
          <w:rFonts w:ascii="Times New Roman" w:hAnsi="Times New Roman" w:cs="Times New Roman"/>
          <w:sz w:val="24"/>
          <w:szCs w:val="24"/>
        </w:rPr>
        <w:t>total</w:t>
      </w:r>
      <w:r w:rsidR="00D55A67" w:rsidRPr="00D92493">
        <w:rPr>
          <w:rFonts w:ascii="Times New Roman" w:hAnsi="Times New Roman" w:cs="Times New Roman"/>
          <w:sz w:val="24"/>
          <w:szCs w:val="24"/>
        </w:rPr>
        <w:t xml:space="preserve"> budgets</w:t>
      </w:r>
      <w:r>
        <w:rPr>
          <w:rFonts w:ascii="Times New Roman" w:hAnsi="Times New Roman" w:cs="Times New Roman"/>
          <w:sz w:val="24"/>
          <w:szCs w:val="24"/>
        </w:rPr>
        <w:t xml:space="preserve"> in the Business Plan Decision</w:t>
      </w:r>
      <w:r w:rsidR="00D55A67" w:rsidRPr="00D92493">
        <w:rPr>
          <w:rFonts w:ascii="Times New Roman" w:hAnsi="Times New Roman" w:cs="Times New Roman"/>
          <w:sz w:val="24"/>
          <w:szCs w:val="24"/>
        </w:rPr>
        <w:t>, the Commission directed PAs to use the ABAL as an opportunity to adjust their annual budgets “to reflect the 2018-2030 goals adopted in Decision 17-08-025 and the interim greenhouse gas adder adopted in Decision 17-08-022 and other relevant factors to provide a more accurate forecast of expected annual funding levels.”</w:t>
      </w:r>
      <w:r w:rsidR="00D55A67" w:rsidRPr="00D92493">
        <w:rPr>
          <w:rStyle w:val="FootnoteReference"/>
          <w:rFonts w:ascii="Times New Roman" w:hAnsi="Times New Roman" w:cs="Times New Roman"/>
          <w:sz w:val="24"/>
          <w:szCs w:val="24"/>
        </w:rPr>
        <w:footnoteReference w:id="10"/>
      </w:r>
      <w:r w:rsidR="00D55A67" w:rsidRPr="00D92493">
        <w:rPr>
          <w:rFonts w:ascii="Times New Roman" w:hAnsi="Times New Roman" w:cs="Times New Roman"/>
          <w:sz w:val="24"/>
          <w:szCs w:val="24"/>
        </w:rPr>
        <w:t xml:space="preserve"> The revisions, however, “must not exceed the overall funding amount” authorized in D.18-05-041, which caps PAs’ total spending for the period 2018-2025.</w:t>
      </w:r>
      <w:r w:rsidR="00D55A67" w:rsidRPr="00D92493">
        <w:rPr>
          <w:rStyle w:val="FootnoteReference"/>
          <w:rFonts w:ascii="Times New Roman" w:hAnsi="Times New Roman" w:cs="Times New Roman"/>
          <w:sz w:val="24"/>
          <w:szCs w:val="24"/>
        </w:rPr>
        <w:footnoteReference w:id="11"/>
      </w:r>
    </w:p>
    <w:p w14:paraId="32EAF601" w14:textId="1DDD3C78" w:rsidR="00D55A67" w:rsidRPr="00D92493" w:rsidRDefault="00D55A67" w:rsidP="00D55A67">
      <w:pPr>
        <w:pStyle w:val="Caption"/>
        <w:keepNext/>
        <w:rPr>
          <w:rFonts w:ascii="Times New Roman" w:hAnsi="Times New Roman" w:cs="Times New Roman"/>
        </w:rPr>
      </w:pPr>
      <w:r w:rsidRPr="00D92493">
        <w:rPr>
          <w:rFonts w:ascii="Times New Roman" w:hAnsi="Times New Roman" w:cs="Times New Roman"/>
        </w:rPr>
        <w:t xml:space="preserve">Table </w:t>
      </w:r>
      <w:r w:rsidRPr="00D92493">
        <w:rPr>
          <w:rFonts w:ascii="Times New Roman" w:hAnsi="Times New Roman" w:cs="Times New Roman"/>
        </w:rPr>
        <w:fldChar w:fldCharType="begin"/>
      </w:r>
      <w:r w:rsidRPr="00D92493">
        <w:rPr>
          <w:rFonts w:ascii="Times New Roman" w:hAnsi="Times New Roman" w:cs="Times New Roman"/>
        </w:rPr>
        <w:instrText xml:space="preserve"> SEQ Table \* ARABIC </w:instrText>
      </w:r>
      <w:r w:rsidRPr="00D92493">
        <w:rPr>
          <w:rFonts w:ascii="Times New Roman" w:hAnsi="Times New Roman" w:cs="Times New Roman"/>
        </w:rPr>
        <w:fldChar w:fldCharType="separate"/>
      </w:r>
      <w:r w:rsidR="00E65678">
        <w:rPr>
          <w:rFonts w:ascii="Times New Roman" w:hAnsi="Times New Roman" w:cs="Times New Roman"/>
          <w:noProof/>
        </w:rPr>
        <w:t>1</w:t>
      </w:r>
      <w:r w:rsidRPr="00D92493">
        <w:rPr>
          <w:rFonts w:ascii="Times New Roman" w:hAnsi="Times New Roman" w:cs="Times New Roman"/>
        </w:rPr>
        <w:fldChar w:fldCharType="end"/>
      </w:r>
      <w:r w:rsidRPr="00D92493">
        <w:rPr>
          <w:rFonts w:ascii="Times New Roman" w:hAnsi="Times New Roman" w:cs="Times New Roman"/>
        </w:rPr>
        <w:t>: MCE Forecast</w:t>
      </w:r>
      <w:r w:rsidR="00AF66CB">
        <w:rPr>
          <w:rFonts w:ascii="Times New Roman" w:hAnsi="Times New Roman" w:cs="Times New Roman"/>
        </w:rPr>
        <w:t>ed</w:t>
      </w:r>
      <w:r w:rsidRPr="00D92493">
        <w:rPr>
          <w:rFonts w:ascii="Times New Roman" w:hAnsi="Times New Roman" w:cs="Times New Roman"/>
        </w:rPr>
        <w:t xml:space="preserve"> 2021 Budget and Savings (Net)</w:t>
      </w:r>
    </w:p>
    <w:tbl>
      <w:tblPr>
        <w:tblStyle w:val="TableGrid"/>
        <w:tblW w:w="0" w:type="auto"/>
        <w:tblLook w:val="04A0" w:firstRow="1" w:lastRow="0" w:firstColumn="1" w:lastColumn="0" w:noHBand="0" w:noVBand="1"/>
      </w:tblPr>
      <w:tblGrid>
        <w:gridCol w:w="2991"/>
        <w:gridCol w:w="1587"/>
        <w:gridCol w:w="1296"/>
        <w:gridCol w:w="1770"/>
        <w:gridCol w:w="1706"/>
      </w:tblGrid>
      <w:tr w:rsidR="00D55A67" w:rsidRPr="00D92493" w14:paraId="02EF89FF" w14:textId="3865900D" w:rsidTr="00D9244E">
        <w:tc>
          <w:tcPr>
            <w:tcW w:w="2997" w:type="dxa"/>
          </w:tcPr>
          <w:p w14:paraId="0B2C69BC" w14:textId="7F7DA598" w:rsidR="00D55A67" w:rsidRPr="00D92493" w:rsidRDefault="00D55A67" w:rsidP="00D55A67">
            <w:pPr>
              <w:jc w:val="both"/>
              <w:rPr>
                <w:rFonts w:ascii="Times New Roman" w:hAnsi="Times New Roman" w:cs="Times New Roman"/>
                <w:b/>
                <w:bCs/>
                <w:sz w:val="24"/>
                <w:szCs w:val="24"/>
              </w:rPr>
            </w:pPr>
            <w:r w:rsidRPr="00D92493">
              <w:rPr>
                <w:rFonts w:ascii="Times New Roman" w:hAnsi="Times New Roman" w:cs="Times New Roman"/>
                <w:b/>
                <w:bCs/>
                <w:sz w:val="24"/>
                <w:szCs w:val="24"/>
              </w:rPr>
              <w:t>Sector</w:t>
            </w:r>
          </w:p>
        </w:tc>
        <w:tc>
          <w:tcPr>
            <w:tcW w:w="1588" w:type="dxa"/>
          </w:tcPr>
          <w:p w14:paraId="41E0FB55" w14:textId="0B9FA4A7" w:rsidR="00D55A67" w:rsidRPr="00D92493" w:rsidRDefault="00D55A67" w:rsidP="00D55A67">
            <w:pPr>
              <w:jc w:val="both"/>
              <w:rPr>
                <w:rFonts w:ascii="Times New Roman" w:hAnsi="Times New Roman" w:cs="Times New Roman"/>
                <w:b/>
                <w:bCs/>
                <w:sz w:val="24"/>
                <w:szCs w:val="24"/>
              </w:rPr>
            </w:pPr>
            <w:r w:rsidRPr="00D92493">
              <w:rPr>
                <w:rFonts w:ascii="Times New Roman" w:hAnsi="Times New Roman" w:cs="Times New Roman"/>
                <w:b/>
                <w:bCs/>
                <w:sz w:val="24"/>
                <w:szCs w:val="24"/>
              </w:rPr>
              <w:t>Program Year Budget</w:t>
            </w:r>
          </w:p>
        </w:tc>
        <w:tc>
          <w:tcPr>
            <w:tcW w:w="1281" w:type="dxa"/>
          </w:tcPr>
          <w:p w14:paraId="6F16C1E5" w14:textId="23D5835E" w:rsidR="00D55A67" w:rsidRPr="00D92493" w:rsidRDefault="00D55A67" w:rsidP="00D55A67">
            <w:pPr>
              <w:jc w:val="both"/>
              <w:rPr>
                <w:rFonts w:ascii="Times New Roman" w:hAnsi="Times New Roman" w:cs="Times New Roman"/>
                <w:b/>
                <w:bCs/>
                <w:sz w:val="24"/>
                <w:szCs w:val="24"/>
              </w:rPr>
            </w:pPr>
            <w:r w:rsidRPr="00D92493">
              <w:rPr>
                <w:rFonts w:ascii="Times New Roman" w:hAnsi="Times New Roman" w:cs="Times New Roman"/>
                <w:b/>
                <w:bCs/>
                <w:sz w:val="24"/>
                <w:szCs w:val="24"/>
              </w:rPr>
              <w:t>kWh</w:t>
            </w:r>
          </w:p>
        </w:tc>
        <w:tc>
          <w:tcPr>
            <w:tcW w:w="1775" w:type="dxa"/>
          </w:tcPr>
          <w:p w14:paraId="57195C1C" w14:textId="744C2F87" w:rsidR="00D55A67" w:rsidRPr="00D92493" w:rsidRDefault="00D55A67" w:rsidP="00D55A67">
            <w:pPr>
              <w:jc w:val="both"/>
              <w:rPr>
                <w:rFonts w:ascii="Times New Roman" w:hAnsi="Times New Roman" w:cs="Times New Roman"/>
                <w:b/>
                <w:bCs/>
                <w:sz w:val="24"/>
                <w:szCs w:val="24"/>
              </w:rPr>
            </w:pPr>
            <w:r w:rsidRPr="00D92493">
              <w:rPr>
                <w:rFonts w:ascii="Times New Roman" w:hAnsi="Times New Roman" w:cs="Times New Roman"/>
                <w:b/>
                <w:bCs/>
                <w:sz w:val="24"/>
                <w:szCs w:val="24"/>
              </w:rPr>
              <w:t>kW</w:t>
            </w:r>
          </w:p>
        </w:tc>
        <w:tc>
          <w:tcPr>
            <w:tcW w:w="1709" w:type="dxa"/>
          </w:tcPr>
          <w:p w14:paraId="2B541811" w14:textId="1BEFE8BB" w:rsidR="00D55A67" w:rsidRPr="00D92493" w:rsidRDefault="00D55A67" w:rsidP="00D55A67">
            <w:pPr>
              <w:jc w:val="both"/>
              <w:rPr>
                <w:rFonts w:ascii="Times New Roman" w:hAnsi="Times New Roman" w:cs="Times New Roman"/>
                <w:b/>
                <w:bCs/>
                <w:sz w:val="24"/>
                <w:szCs w:val="24"/>
              </w:rPr>
            </w:pPr>
            <w:r w:rsidRPr="00D92493">
              <w:rPr>
                <w:rFonts w:ascii="Times New Roman" w:hAnsi="Times New Roman" w:cs="Times New Roman"/>
                <w:b/>
                <w:bCs/>
                <w:sz w:val="24"/>
                <w:szCs w:val="24"/>
              </w:rPr>
              <w:t>Therms (MM)</w:t>
            </w:r>
          </w:p>
        </w:tc>
      </w:tr>
      <w:tr w:rsidR="00D55A67" w:rsidRPr="00D92493" w14:paraId="6489F9C2" w14:textId="542C19BE" w:rsidTr="00D9244E">
        <w:tc>
          <w:tcPr>
            <w:tcW w:w="2997" w:type="dxa"/>
          </w:tcPr>
          <w:p w14:paraId="3A8DBDB9" w14:textId="4CBE4DA8"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Residential</w:t>
            </w:r>
          </w:p>
        </w:tc>
        <w:tc>
          <w:tcPr>
            <w:tcW w:w="1588" w:type="dxa"/>
          </w:tcPr>
          <w:p w14:paraId="6AB443FD" w14:textId="0CFC4142"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$2,478,152</w:t>
            </w:r>
          </w:p>
        </w:tc>
        <w:tc>
          <w:tcPr>
            <w:tcW w:w="1281" w:type="dxa"/>
          </w:tcPr>
          <w:p w14:paraId="20A13354" w14:textId="75DFB46E"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6,365,071</w:t>
            </w:r>
          </w:p>
        </w:tc>
        <w:tc>
          <w:tcPr>
            <w:tcW w:w="1775" w:type="dxa"/>
          </w:tcPr>
          <w:p w14:paraId="633ADF00" w14:textId="22AA1A5E"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45</w:t>
            </w:r>
          </w:p>
        </w:tc>
        <w:tc>
          <w:tcPr>
            <w:tcW w:w="1709" w:type="dxa"/>
          </w:tcPr>
          <w:p w14:paraId="3AE4787F" w14:textId="498DA957"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0.05</w:t>
            </w:r>
          </w:p>
        </w:tc>
      </w:tr>
      <w:tr w:rsidR="00D55A67" w:rsidRPr="00D92493" w14:paraId="0A7E2DF0" w14:textId="69EF7E3F" w:rsidTr="00D9244E">
        <w:tc>
          <w:tcPr>
            <w:tcW w:w="2997" w:type="dxa"/>
          </w:tcPr>
          <w:p w14:paraId="1C3F83DC" w14:textId="1BB61FDA"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Commercial</w:t>
            </w:r>
          </w:p>
        </w:tc>
        <w:tc>
          <w:tcPr>
            <w:tcW w:w="1588" w:type="dxa"/>
          </w:tcPr>
          <w:p w14:paraId="4BB2567A" w14:textId="3B339319"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$3,365,214</w:t>
            </w:r>
          </w:p>
        </w:tc>
        <w:tc>
          <w:tcPr>
            <w:tcW w:w="1281" w:type="dxa"/>
          </w:tcPr>
          <w:p w14:paraId="13AC7212" w14:textId="6386C826"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5,966,124</w:t>
            </w:r>
          </w:p>
        </w:tc>
        <w:tc>
          <w:tcPr>
            <w:tcW w:w="1775" w:type="dxa"/>
          </w:tcPr>
          <w:p w14:paraId="59A0D7A8" w14:textId="04423D03"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228</w:t>
            </w:r>
          </w:p>
        </w:tc>
        <w:tc>
          <w:tcPr>
            <w:tcW w:w="1709" w:type="dxa"/>
          </w:tcPr>
          <w:p w14:paraId="23CB161F" w14:textId="7705F922"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0.09</w:t>
            </w:r>
          </w:p>
        </w:tc>
      </w:tr>
      <w:tr w:rsidR="00D55A67" w:rsidRPr="00D92493" w14:paraId="61E32864" w14:textId="411C77EE" w:rsidTr="00D9244E">
        <w:tc>
          <w:tcPr>
            <w:tcW w:w="2997" w:type="dxa"/>
          </w:tcPr>
          <w:p w14:paraId="25B504DD" w14:textId="425ED067"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Industrial</w:t>
            </w:r>
          </w:p>
        </w:tc>
        <w:tc>
          <w:tcPr>
            <w:tcW w:w="1588" w:type="dxa"/>
          </w:tcPr>
          <w:p w14:paraId="2C88605D" w14:textId="6DC75518"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$869,606</w:t>
            </w:r>
          </w:p>
        </w:tc>
        <w:tc>
          <w:tcPr>
            <w:tcW w:w="1281" w:type="dxa"/>
          </w:tcPr>
          <w:p w14:paraId="06E58D9B" w14:textId="6E936B79"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1,367,185</w:t>
            </w:r>
          </w:p>
        </w:tc>
        <w:tc>
          <w:tcPr>
            <w:tcW w:w="1775" w:type="dxa"/>
          </w:tcPr>
          <w:p w14:paraId="2F76212B" w14:textId="2948249F"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32</w:t>
            </w:r>
          </w:p>
        </w:tc>
        <w:tc>
          <w:tcPr>
            <w:tcW w:w="1709" w:type="dxa"/>
          </w:tcPr>
          <w:p w14:paraId="7C31C90A" w14:textId="2BD996E9"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0.16</w:t>
            </w:r>
          </w:p>
        </w:tc>
      </w:tr>
      <w:tr w:rsidR="00D55A67" w:rsidRPr="00D92493" w14:paraId="1138D64B" w14:textId="1CFA6DD6" w:rsidTr="00D9244E">
        <w:tc>
          <w:tcPr>
            <w:tcW w:w="2997" w:type="dxa"/>
          </w:tcPr>
          <w:p w14:paraId="62915FE4" w14:textId="5EC14E4D"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Agriculture</w:t>
            </w:r>
          </w:p>
        </w:tc>
        <w:tc>
          <w:tcPr>
            <w:tcW w:w="1588" w:type="dxa"/>
          </w:tcPr>
          <w:p w14:paraId="7E188651" w14:textId="0FC8C92D"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$467,679</w:t>
            </w:r>
          </w:p>
        </w:tc>
        <w:tc>
          <w:tcPr>
            <w:tcW w:w="1281" w:type="dxa"/>
          </w:tcPr>
          <w:p w14:paraId="0DE5BF20" w14:textId="4C21DF8F"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902,787</w:t>
            </w:r>
          </w:p>
        </w:tc>
        <w:tc>
          <w:tcPr>
            <w:tcW w:w="1775" w:type="dxa"/>
          </w:tcPr>
          <w:p w14:paraId="41E1DF1B" w14:textId="5B783EB7"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116</w:t>
            </w:r>
          </w:p>
        </w:tc>
        <w:tc>
          <w:tcPr>
            <w:tcW w:w="1709" w:type="dxa"/>
          </w:tcPr>
          <w:p w14:paraId="4E545F1E" w14:textId="0AFBCAD4"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0.02</w:t>
            </w:r>
          </w:p>
        </w:tc>
      </w:tr>
      <w:tr w:rsidR="00D55A67" w:rsidRPr="00D92493" w14:paraId="16DB369D" w14:textId="15D1DA77" w:rsidTr="00D9244E">
        <w:tc>
          <w:tcPr>
            <w:tcW w:w="2997" w:type="dxa"/>
          </w:tcPr>
          <w:p w14:paraId="4C81B9A9" w14:textId="7C114A21"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Emerging Tech</w:t>
            </w:r>
          </w:p>
        </w:tc>
        <w:tc>
          <w:tcPr>
            <w:tcW w:w="1588" w:type="dxa"/>
          </w:tcPr>
          <w:p w14:paraId="27BC6E00" w14:textId="3042DF6A"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$0</w:t>
            </w:r>
          </w:p>
        </w:tc>
        <w:tc>
          <w:tcPr>
            <w:tcW w:w="1281" w:type="dxa"/>
          </w:tcPr>
          <w:p w14:paraId="02D4B52B" w14:textId="1068F0E1"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3536EAD1" w14:textId="24ED9572"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2EB6D588" w14:textId="498B089C"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09AB347C" w14:textId="372A9521" w:rsidTr="00D9244E">
        <w:tc>
          <w:tcPr>
            <w:tcW w:w="2997" w:type="dxa"/>
          </w:tcPr>
          <w:p w14:paraId="72CAD19D" w14:textId="7F890E16"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Public</w:t>
            </w:r>
          </w:p>
        </w:tc>
        <w:tc>
          <w:tcPr>
            <w:tcW w:w="1588" w:type="dxa"/>
          </w:tcPr>
          <w:p w14:paraId="69D87728" w14:textId="5C740C8E"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$0</w:t>
            </w:r>
          </w:p>
        </w:tc>
        <w:tc>
          <w:tcPr>
            <w:tcW w:w="1281" w:type="dxa"/>
          </w:tcPr>
          <w:p w14:paraId="306034F0" w14:textId="75D62C79"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75DBBB3E" w14:textId="34751C10"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77A7DAD7" w14:textId="0BC26044"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405B8A1E" w14:textId="7D8371B9" w:rsidTr="00D9244E">
        <w:tc>
          <w:tcPr>
            <w:tcW w:w="2997" w:type="dxa"/>
          </w:tcPr>
          <w:p w14:paraId="08092F60" w14:textId="0A294A27"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Codes and Standards</w:t>
            </w:r>
          </w:p>
        </w:tc>
        <w:tc>
          <w:tcPr>
            <w:tcW w:w="1588" w:type="dxa"/>
          </w:tcPr>
          <w:p w14:paraId="636B1D6F" w14:textId="40FABDE8"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$0</w:t>
            </w:r>
          </w:p>
        </w:tc>
        <w:tc>
          <w:tcPr>
            <w:tcW w:w="1281" w:type="dxa"/>
          </w:tcPr>
          <w:p w14:paraId="1F5527EF" w14:textId="3AF3CAFF"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20E9B1ED" w14:textId="35BF7E9D"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36AEBDB8" w14:textId="0E692F0B"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1499AFB3" w14:textId="77777777" w:rsidTr="00D9244E">
        <w:tc>
          <w:tcPr>
            <w:tcW w:w="2997" w:type="dxa"/>
          </w:tcPr>
          <w:p w14:paraId="2BD96A12" w14:textId="217F418E"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lastRenderedPageBreak/>
              <w:t>WE&amp;T</w:t>
            </w:r>
          </w:p>
        </w:tc>
        <w:tc>
          <w:tcPr>
            <w:tcW w:w="1588" w:type="dxa"/>
          </w:tcPr>
          <w:p w14:paraId="4EC6EE75" w14:textId="212C61A1"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$346,667</w:t>
            </w:r>
          </w:p>
        </w:tc>
        <w:tc>
          <w:tcPr>
            <w:tcW w:w="1281" w:type="dxa"/>
          </w:tcPr>
          <w:p w14:paraId="40B6E801" w14:textId="743E82F3"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43EF3E9D" w14:textId="1D3288D5"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4C41D51E" w14:textId="4E7DCD23"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3552AC53" w14:textId="77777777" w:rsidTr="00D9244E">
        <w:tc>
          <w:tcPr>
            <w:tcW w:w="2997" w:type="dxa"/>
          </w:tcPr>
          <w:p w14:paraId="19564989" w14:textId="4C3D143A"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Finance</w:t>
            </w:r>
          </w:p>
        </w:tc>
        <w:tc>
          <w:tcPr>
            <w:tcW w:w="1588" w:type="dxa"/>
          </w:tcPr>
          <w:p w14:paraId="1E4FD228" w14:textId="30B25386"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$0</w:t>
            </w:r>
          </w:p>
        </w:tc>
        <w:tc>
          <w:tcPr>
            <w:tcW w:w="1281" w:type="dxa"/>
          </w:tcPr>
          <w:p w14:paraId="773E03A6" w14:textId="51529E89"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211EDD36" w14:textId="36B8243A"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3819154B" w14:textId="4B339513"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70CC9213" w14:textId="77777777" w:rsidTr="00D9244E">
        <w:tc>
          <w:tcPr>
            <w:tcW w:w="2997" w:type="dxa"/>
          </w:tcPr>
          <w:p w14:paraId="67D65E6B" w14:textId="04A67941" w:rsidR="00D55A67" w:rsidRPr="00D92493" w:rsidRDefault="00D55A67" w:rsidP="00D9244E">
            <w:pPr>
              <w:rPr>
                <w:rFonts w:ascii="Times New Roman" w:hAnsi="Times New Roman" w:cs="Times New Roman"/>
                <w:sz w:val="24"/>
                <w:szCs w:val="24"/>
              </w:rPr>
            </w:pPr>
            <w:r w:rsidRPr="00D92493">
              <w:rPr>
                <w:rFonts w:ascii="Times New Roman" w:hAnsi="Times New Roman" w:cs="Times New Roman"/>
                <w:sz w:val="24"/>
                <w:szCs w:val="24"/>
              </w:rPr>
              <w:t>OBF Loan Pool</w:t>
            </w:r>
          </w:p>
        </w:tc>
        <w:tc>
          <w:tcPr>
            <w:tcW w:w="1588" w:type="dxa"/>
          </w:tcPr>
          <w:p w14:paraId="25F11DFE" w14:textId="276AFB5F"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$0</w:t>
            </w:r>
          </w:p>
        </w:tc>
        <w:tc>
          <w:tcPr>
            <w:tcW w:w="1281" w:type="dxa"/>
          </w:tcPr>
          <w:p w14:paraId="2E185B10" w14:textId="6998C2F6"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75" w:type="dxa"/>
          </w:tcPr>
          <w:p w14:paraId="776A3AB8" w14:textId="247C455D"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c>
          <w:tcPr>
            <w:tcW w:w="1709" w:type="dxa"/>
          </w:tcPr>
          <w:p w14:paraId="415B90BE" w14:textId="14EAE02F" w:rsidR="00D55A67" w:rsidRPr="00D92493" w:rsidRDefault="00B212A8" w:rsidP="00610ECA">
            <w:pPr>
              <w:jc w:val="right"/>
              <w:rPr>
                <w:rFonts w:ascii="Times New Roman" w:hAnsi="Times New Roman" w:cs="Times New Roman"/>
                <w:sz w:val="24"/>
                <w:szCs w:val="24"/>
              </w:rPr>
            </w:pPr>
            <w:r w:rsidRPr="00D92493">
              <w:rPr>
                <w:rFonts w:ascii="Times New Roman" w:hAnsi="Times New Roman" w:cs="Times New Roman"/>
                <w:sz w:val="24"/>
                <w:szCs w:val="24"/>
              </w:rPr>
              <w:t>n</w:t>
            </w:r>
            <w:r w:rsidR="00AF66CB">
              <w:rPr>
                <w:rFonts w:ascii="Times New Roman" w:hAnsi="Times New Roman" w:cs="Times New Roman"/>
                <w:sz w:val="24"/>
                <w:szCs w:val="24"/>
              </w:rPr>
              <w:t>/</w:t>
            </w:r>
            <w:r w:rsidRPr="00D92493">
              <w:rPr>
                <w:rFonts w:ascii="Times New Roman" w:hAnsi="Times New Roman" w:cs="Times New Roman"/>
                <w:sz w:val="24"/>
                <w:szCs w:val="24"/>
              </w:rPr>
              <w:t>a</w:t>
            </w:r>
          </w:p>
        </w:tc>
      </w:tr>
      <w:tr w:rsidR="00D55A67" w:rsidRPr="00D92493" w14:paraId="7E09B0CC" w14:textId="77777777" w:rsidTr="00D9244E">
        <w:tc>
          <w:tcPr>
            <w:tcW w:w="2997" w:type="dxa"/>
          </w:tcPr>
          <w:p w14:paraId="3F87E4D7" w14:textId="201C0D20" w:rsidR="00D55A67" w:rsidRPr="00D92493" w:rsidRDefault="00D55A67" w:rsidP="00D9244E">
            <w:pPr>
              <w:rPr>
                <w:rFonts w:ascii="Times New Roman" w:hAnsi="Times New Roman" w:cs="Times New Roman"/>
                <w:b/>
                <w:bCs/>
                <w:sz w:val="24"/>
                <w:szCs w:val="24"/>
              </w:rPr>
            </w:pPr>
            <w:r w:rsidRPr="00D92493">
              <w:rPr>
                <w:rFonts w:ascii="Times New Roman" w:hAnsi="Times New Roman" w:cs="Times New Roman"/>
                <w:b/>
                <w:bCs/>
                <w:sz w:val="24"/>
                <w:szCs w:val="24"/>
              </w:rPr>
              <w:t>Subtotal</w:t>
            </w:r>
          </w:p>
        </w:tc>
        <w:tc>
          <w:tcPr>
            <w:tcW w:w="1588" w:type="dxa"/>
          </w:tcPr>
          <w:p w14:paraId="5B62ED5C" w14:textId="64D7F07A" w:rsidR="00D55A67"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$7,527,318</w:t>
            </w:r>
          </w:p>
        </w:tc>
        <w:tc>
          <w:tcPr>
            <w:tcW w:w="1281" w:type="dxa"/>
          </w:tcPr>
          <w:p w14:paraId="7D38D9C7" w14:textId="1E58ED72" w:rsidR="00D55A67"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14,601,167</w:t>
            </w:r>
          </w:p>
        </w:tc>
        <w:tc>
          <w:tcPr>
            <w:tcW w:w="1775" w:type="dxa"/>
          </w:tcPr>
          <w:p w14:paraId="0907B510" w14:textId="28315C7F" w:rsidR="00D55A67"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4</w:t>
            </w:r>
            <w:r w:rsidR="008A6FE7">
              <w:rPr>
                <w:rFonts w:ascii="Times New Roman" w:hAnsi="Times New Roman" w:cs="Times New Roman"/>
                <w:b/>
                <w:bCs/>
                <w:sz w:val="24"/>
                <w:szCs w:val="24"/>
              </w:rPr>
              <w:t>21</w:t>
            </w:r>
          </w:p>
        </w:tc>
        <w:tc>
          <w:tcPr>
            <w:tcW w:w="1709" w:type="dxa"/>
          </w:tcPr>
          <w:p w14:paraId="07B9CD68" w14:textId="0BE4DF3D" w:rsidR="00D55A67"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0.32</w:t>
            </w:r>
          </w:p>
        </w:tc>
      </w:tr>
      <w:tr w:rsidR="00D55A67" w:rsidRPr="00D92493" w14:paraId="4F0FA8C3" w14:textId="77777777" w:rsidTr="00D9244E">
        <w:tc>
          <w:tcPr>
            <w:tcW w:w="2997" w:type="dxa"/>
          </w:tcPr>
          <w:p w14:paraId="32FCDB03" w14:textId="7B7A87CD" w:rsidR="00D55A67" w:rsidRPr="00D92493" w:rsidRDefault="00D55A67" w:rsidP="00D9244E">
            <w:pPr>
              <w:rPr>
                <w:rFonts w:ascii="Times New Roman" w:hAnsi="Times New Roman" w:cs="Times New Roman"/>
                <w:b/>
                <w:bCs/>
                <w:sz w:val="24"/>
                <w:szCs w:val="24"/>
              </w:rPr>
            </w:pPr>
            <w:r w:rsidRPr="00D92493">
              <w:rPr>
                <w:rFonts w:ascii="Times New Roman" w:hAnsi="Times New Roman" w:cs="Times New Roman"/>
                <w:b/>
                <w:bCs/>
                <w:sz w:val="24"/>
                <w:szCs w:val="24"/>
              </w:rPr>
              <w:t>PA EM&amp;V</w:t>
            </w:r>
          </w:p>
        </w:tc>
        <w:tc>
          <w:tcPr>
            <w:tcW w:w="1588" w:type="dxa"/>
          </w:tcPr>
          <w:p w14:paraId="296ACDC5" w14:textId="291D043D"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$120,437</w:t>
            </w:r>
          </w:p>
        </w:tc>
        <w:tc>
          <w:tcPr>
            <w:tcW w:w="1281" w:type="dxa"/>
          </w:tcPr>
          <w:p w14:paraId="0164C394" w14:textId="77777777" w:rsidR="00D55A67" w:rsidRPr="00D92493" w:rsidRDefault="00D55A67" w:rsidP="00610ECA">
            <w:pPr>
              <w:jc w:val="right"/>
              <w:rPr>
                <w:rFonts w:ascii="Times New Roman" w:hAnsi="Times New Roman" w:cs="Times New Roman"/>
                <w:sz w:val="24"/>
                <w:szCs w:val="24"/>
              </w:rPr>
            </w:pPr>
          </w:p>
        </w:tc>
        <w:tc>
          <w:tcPr>
            <w:tcW w:w="1775" w:type="dxa"/>
          </w:tcPr>
          <w:p w14:paraId="11AFC369" w14:textId="77777777" w:rsidR="00D55A67" w:rsidRPr="00D92493" w:rsidRDefault="00D55A67" w:rsidP="00610ECA">
            <w:pPr>
              <w:jc w:val="right"/>
              <w:rPr>
                <w:rFonts w:ascii="Times New Roman" w:hAnsi="Times New Roman" w:cs="Times New Roman"/>
                <w:sz w:val="24"/>
                <w:szCs w:val="24"/>
              </w:rPr>
            </w:pPr>
          </w:p>
        </w:tc>
        <w:tc>
          <w:tcPr>
            <w:tcW w:w="1709" w:type="dxa"/>
          </w:tcPr>
          <w:p w14:paraId="1EE840EE" w14:textId="77777777" w:rsidR="00D55A67" w:rsidRPr="00D92493" w:rsidRDefault="00D55A67" w:rsidP="00610ECA">
            <w:pPr>
              <w:jc w:val="right"/>
              <w:rPr>
                <w:rFonts w:ascii="Times New Roman" w:hAnsi="Times New Roman" w:cs="Times New Roman"/>
                <w:sz w:val="24"/>
                <w:szCs w:val="24"/>
              </w:rPr>
            </w:pPr>
          </w:p>
        </w:tc>
      </w:tr>
      <w:tr w:rsidR="00D55A67" w:rsidRPr="00D92493" w14:paraId="17A13E90" w14:textId="77777777" w:rsidTr="00D9244E">
        <w:tc>
          <w:tcPr>
            <w:tcW w:w="2997" w:type="dxa"/>
          </w:tcPr>
          <w:p w14:paraId="41A0BFF9" w14:textId="1C47E817" w:rsidR="00D55A67" w:rsidRPr="00D92493" w:rsidRDefault="00D55A67" w:rsidP="00D9244E">
            <w:pPr>
              <w:rPr>
                <w:rFonts w:ascii="Times New Roman" w:hAnsi="Times New Roman" w:cs="Times New Roman"/>
                <w:b/>
                <w:bCs/>
                <w:sz w:val="24"/>
                <w:szCs w:val="24"/>
              </w:rPr>
            </w:pPr>
            <w:r w:rsidRPr="00D92493">
              <w:rPr>
                <w:rFonts w:ascii="Times New Roman" w:hAnsi="Times New Roman" w:cs="Times New Roman"/>
                <w:b/>
                <w:bCs/>
                <w:sz w:val="24"/>
                <w:szCs w:val="24"/>
              </w:rPr>
              <w:t>Total Spending Budget</w:t>
            </w:r>
          </w:p>
        </w:tc>
        <w:tc>
          <w:tcPr>
            <w:tcW w:w="1588" w:type="dxa"/>
          </w:tcPr>
          <w:p w14:paraId="4EF19B75" w14:textId="701A7AB9" w:rsidR="00D55A67"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$7,647,755</w:t>
            </w:r>
          </w:p>
        </w:tc>
        <w:tc>
          <w:tcPr>
            <w:tcW w:w="1281" w:type="dxa"/>
          </w:tcPr>
          <w:p w14:paraId="25E5B5D7" w14:textId="77777777" w:rsidR="00D55A67" w:rsidRPr="00D92493" w:rsidRDefault="00D55A67" w:rsidP="00610ECA">
            <w:pPr>
              <w:jc w:val="right"/>
              <w:rPr>
                <w:rFonts w:ascii="Times New Roman" w:hAnsi="Times New Roman" w:cs="Times New Roman"/>
                <w:sz w:val="24"/>
                <w:szCs w:val="24"/>
              </w:rPr>
            </w:pPr>
          </w:p>
        </w:tc>
        <w:tc>
          <w:tcPr>
            <w:tcW w:w="1775" w:type="dxa"/>
          </w:tcPr>
          <w:p w14:paraId="787DC6E1" w14:textId="77777777" w:rsidR="00D55A67" w:rsidRPr="00D92493" w:rsidRDefault="00D55A67" w:rsidP="00610ECA">
            <w:pPr>
              <w:jc w:val="right"/>
              <w:rPr>
                <w:rFonts w:ascii="Times New Roman" w:hAnsi="Times New Roman" w:cs="Times New Roman"/>
                <w:sz w:val="24"/>
                <w:szCs w:val="24"/>
              </w:rPr>
            </w:pPr>
          </w:p>
        </w:tc>
        <w:tc>
          <w:tcPr>
            <w:tcW w:w="1709" w:type="dxa"/>
          </w:tcPr>
          <w:p w14:paraId="0C439469" w14:textId="77777777" w:rsidR="00D55A67" w:rsidRPr="00D92493" w:rsidRDefault="00D55A67" w:rsidP="00610ECA">
            <w:pPr>
              <w:jc w:val="right"/>
              <w:rPr>
                <w:rFonts w:ascii="Times New Roman" w:hAnsi="Times New Roman" w:cs="Times New Roman"/>
                <w:sz w:val="24"/>
                <w:szCs w:val="24"/>
              </w:rPr>
            </w:pPr>
          </w:p>
        </w:tc>
      </w:tr>
      <w:tr w:rsidR="00D55A67" w:rsidRPr="00D92493" w14:paraId="4DA8EB4C" w14:textId="77777777" w:rsidTr="00D9244E">
        <w:tc>
          <w:tcPr>
            <w:tcW w:w="2997" w:type="dxa"/>
          </w:tcPr>
          <w:p w14:paraId="172FC534" w14:textId="27E81978" w:rsidR="00D55A67" w:rsidRPr="00D92493" w:rsidRDefault="00D55A67" w:rsidP="00D9244E">
            <w:pPr>
              <w:rPr>
                <w:rFonts w:ascii="Times New Roman" w:hAnsi="Times New Roman" w:cs="Times New Roman"/>
                <w:b/>
                <w:bCs/>
                <w:sz w:val="24"/>
                <w:szCs w:val="24"/>
              </w:rPr>
            </w:pPr>
            <w:r w:rsidRPr="00D92493">
              <w:rPr>
                <w:rFonts w:ascii="Times New Roman" w:hAnsi="Times New Roman" w:cs="Times New Roman"/>
                <w:b/>
                <w:bCs/>
                <w:sz w:val="24"/>
                <w:szCs w:val="24"/>
              </w:rPr>
              <w:t>Uncommitted and Unspent Carryover Balance</w:t>
            </w:r>
            <w:r w:rsidR="001F7725">
              <w:rPr>
                <w:rStyle w:val="FootnoteReference"/>
                <w:rFonts w:ascii="Times New Roman" w:hAnsi="Times New Roman" w:cs="Times New Roman"/>
                <w:b/>
                <w:bCs/>
                <w:sz w:val="24"/>
                <w:szCs w:val="24"/>
              </w:rPr>
              <w:footnoteReference w:id="12"/>
            </w:r>
          </w:p>
        </w:tc>
        <w:tc>
          <w:tcPr>
            <w:tcW w:w="1588" w:type="dxa"/>
          </w:tcPr>
          <w:p w14:paraId="1EAD2553" w14:textId="33F6345C" w:rsidR="00D55A67"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$4,691,076</w:t>
            </w:r>
          </w:p>
        </w:tc>
        <w:tc>
          <w:tcPr>
            <w:tcW w:w="1281" w:type="dxa"/>
          </w:tcPr>
          <w:p w14:paraId="737D94ED" w14:textId="77777777" w:rsidR="00D55A67" w:rsidRPr="00D92493" w:rsidRDefault="00D55A67" w:rsidP="00610ECA">
            <w:pPr>
              <w:jc w:val="right"/>
              <w:rPr>
                <w:rFonts w:ascii="Times New Roman" w:hAnsi="Times New Roman" w:cs="Times New Roman"/>
                <w:sz w:val="24"/>
                <w:szCs w:val="24"/>
              </w:rPr>
            </w:pPr>
          </w:p>
        </w:tc>
        <w:tc>
          <w:tcPr>
            <w:tcW w:w="1775" w:type="dxa"/>
          </w:tcPr>
          <w:p w14:paraId="33C735A5" w14:textId="77777777" w:rsidR="00D55A67" w:rsidRPr="00D92493" w:rsidRDefault="00D55A67" w:rsidP="00610ECA">
            <w:pPr>
              <w:jc w:val="right"/>
              <w:rPr>
                <w:rFonts w:ascii="Times New Roman" w:hAnsi="Times New Roman" w:cs="Times New Roman"/>
                <w:sz w:val="24"/>
                <w:szCs w:val="24"/>
              </w:rPr>
            </w:pPr>
          </w:p>
        </w:tc>
        <w:tc>
          <w:tcPr>
            <w:tcW w:w="1709" w:type="dxa"/>
          </w:tcPr>
          <w:p w14:paraId="7C61C3FE" w14:textId="77777777" w:rsidR="00D55A67" w:rsidRPr="00D92493" w:rsidRDefault="00D55A67" w:rsidP="00610ECA">
            <w:pPr>
              <w:jc w:val="right"/>
              <w:rPr>
                <w:rFonts w:ascii="Times New Roman" w:hAnsi="Times New Roman" w:cs="Times New Roman"/>
                <w:sz w:val="24"/>
                <w:szCs w:val="24"/>
              </w:rPr>
            </w:pPr>
          </w:p>
        </w:tc>
      </w:tr>
      <w:tr w:rsidR="00D9244E" w:rsidRPr="00D92493" w14:paraId="4184C013" w14:textId="77777777" w:rsidTr="00D9244E">
        <w:tc>
          <w:tcPr>
            <w:tcW w:w="2997" w:type="dxa"/>
          </w:tcPr>
          <w:p w14:paraId="480760FD" w14:textId="1FA9BF3F" w:rsidR="00D9244E" w:rsidRPr="00D92493" w:rsidRDefault="00D9244E" w:rsidP="00D9244E">
            <w:pPr>
              <w:rPr>
                <w:rFonts w:ascii="Times New Roman" w:hAnsi="Times New Roman" w:cs="Times New Roman"/>
                <w:b/>
                <w:bCs/>
                <w:sz w:val="24"/>
                <w:szCs w:val="24"/>
              </w:rPr>
            </w:pPr>
            <w:r w:rsidRPr="00D92493">
              <w:rPr>
                <w:rFonts w:ascii="Times New Roman" w:hAnsi="Times New Roman" w:cs="Times New Roman"/>
                <w:b/>
                <w:bCs/>
                <w:sz w:val="24"/>
                <w:szCs w:val="24"/>
              </w:rPr>
              <w:t>Total Budget Request</w:t>
            </w:r>
            <w:r w:rsidR="001F7725">
              <w:rPr>
                <w:rStyle w:val="FootnoteReference"/>
                <w:rFonts w:ascii="Times New Roman" w:hAnsi="Times New Roman" w:cs="Times New Roman"/>
                <w:b/>
                <w:bCs/>
                <w:sz w:val="24"/>
                <w:szCs w:val="24"/>
              </w:rPr>
              <w:footnoteReference w:id="13"/>
            </w:r>
          </w:p>
        </w:tc>
        <w:tc>
          <w:tcPr>
            <w:tcW w:w="1588" w:type="dxa"/>
          </w:tcPr>
          <w:p w14:paraId="5E209BF5" w14:textId="1EB614C9" w:rsidR="00D9244E" w:rsidRPr="00AF66CB" w:rsidRDefault="00610ECA" w:rsidP="00610ECA">
            <w:pPr>
              <w:jc w:val="right"/>
              <w:rPr>
                <w:rFonts w:ascii="Times New Roman" w:hAnsi="Times New Roman" w:cs="Times New Roman"/>
                <w:b/>
                <w:bCs/>
                <w:sz w:val="24"/>
                <w:szCs w:val="24"/>
              </w:rPr>
            </w:pPr>
            <w:r w:rsidRPr="00AF66CB">
              <w:rPr>
                <w:rFonts w:ascii="Times New Roman" w:hAnsi="Times New Roman" w:cs="Times New Roman"/>
                <w:b/>
                <w:bCs/>
                <w:sz w:val="24"/>
                <w:szCs w:val="24"/>
              </w:rPr>
              <w:t>2,956,679</w:t>
            </w:r>
          </w:p>
        </w:tc>
        <w:tc>
          <w:tcPr>
            <w:tcW w:w="1281" w:type="dxa"/>
          </w:tcPr>
          <w:p w14:paraId="240BDBE0" w14:textId="77777777" w:rsidR="00D9244E" w:rsidRPr="00D92493" w:rsidRDefault="00D9244E" w:rsidP="00610ECA">
            <w:pPr>
              <w:jc w:val="right"/>
              <w:rPr>
                <w:rFonts w:ascii="Times New Roman" w:hAnsi="Times New Roman" w:cs="Times New Roman"/>
                <w:sz w:val="24"/>
                <w:szCs w:val="24"/>
              </w:rPr>
            </w:pPr>
          </w:p>
        </w:tc>
        <w:tc>
          <w:tcPr>
            <w:tcW w:w="1775" w:type="dxa"/>
          </w:tcPr>
          <w:p w14:paraId="75FED9FE" w14:textId="77777777" w:rsidR="00D9244E" w:rsidRPr="00D92493" w:rsidRDefault="00D9244E" w:rsidP="00610ECA">
            <w:pPr>
              <w:jc w:val="right"/>
              <w:rPr>
                <w:rFonts w:ascii="Times New Roman" w:hAnsi="Times New Roman" w:cs="Times New Roman"/>
                <w:sz w:val="24"/>
                <w:szCs w:val="24"/>
              </w:rPr>
            </w:pPr>
          </w:p>
        </w:tc>
        <w:tc>
          <w:tcPr>
            <w:tcW w:w="1709" w:type="dxa"/>
          </w:tcPr>
          <w:p w14:paraId="4CFDD943" w14:textId="77777777" w:rsidR="00D9244E" w:rsidRPr="00D92493" w:rsidRDefault="00D9244E" w:rsidP="00610ECA">
            <w:pPr>
              <w:jc w:val="right"/>
              <w:rPr>
                <w:rFonts w:ascii="Times New Roman" w:hAnsi="Times New Roman" w:cs="Times New Roman"/>
                <w:sz w:val="24"/>
                <w:szCs w:val="24"/>
              </w:rPr>
            </w:pPr>
          </w:p>
        </w:tc>
      </w:tr>
      <w:tr w:rsidR="00D9244E" w:rsidRPr="00D92493" w14:paraId="76D3F1C1" w14:textId="77777777" w:rsidTr="00D9244E">
        <w:tc>
          <w:tcPr>
            <w:tcW w:w="2997" w:type="dxa"/>
          </w:tcPr>
          <w:p w14:paraId="36721334" w14:textId="77777777" w:rsidR="00D9244E" w:rsidRPr="00D92493" w:rsidRDefault="00D9244E" w:rsidP="00D9244E">
            <w:pPr>
              <w:rPr>
                <w:rFonts w:ascii="Times New Roman" w:hAnsi="Times New Roman" w:cs="Times New Roman"/>
                <w:b/>
                <w:bCs/>
                <w:sz w:val="24"/>
                <w:szCs w:val="24"/>
              </w:rPr>
            </w:pPr>
            <w:r w:rsidRPr="00D92493">
              <w:rPr>
                <w:rFonts w:ascii="Times New Roman" w:hAnsi="Times New Roman" w:cs="Times New Roman"/>
                <w:b/>
                <w:bCs/>
                <w:sz w:val="24"/>
                <w:szCs w:val="24"/>
              </w:rPr>
              <w:t>Authorized PY Budget Cap</w:t>
            </w:r>
          </w:p>
          <w:p w14:paraId="48F41F57" w14:textId="48EE8699" w:rsidR="00D9244E" w:rsidRPr="00D92493" w:rsidRDefault="00D9244E" w:rsidP="00D9244E">
            <w:pPr>
              <w:rPr>
                <w:rFonts w:ascii="Times New Roman" w:hAnsi="Times New Roman" w:cs="Times New Roman"/>
                <w:b/>
                <w:bCs/>
                <w:sz w:val="24"/>
                <w:szCs w:val="24"/>
              </w:rPr>
            </w:pPr>
            <w:r w:rsidRPr="00D92493">
              <w:rPr>
                <w:rFonts w:ascii="Times New Roman" w:hAnsi="Times New Roman" w:cs="Times New Roman"/>
                <w:b/>
                <w:bCs/>
                <w:sz w:val="24"/>
                <w:szCs w:val="24"/>
              </w:rPr>
              <w:t>(D.18-05-041)</w:t>
            </w:r>
          </w:p>
        </w:tc>
        <w:tc>
          <w:tcPr>
            <w:tcW w:w="1588" w:type="dxa"/>
          </w:tcPr>
          <w:p w14:paraId="58632817" w14:textId="592F81E5" w:rsidR="00D9244E" w:rsidRPr="00D92493" w:rsidRDefault="00610ECA" w:rsidP="00610ECA">
            <w:pPr>
              <w:jc w:val="right"/>
              <w:rPr>
                <w:rFonts w:ascii="Times New Roman" w:hAnsi="Times New Roman" w:cs="Times New Roman"/>
                <w:sz w:val="24"/>
                <w:szCs w:val="24"/>
              </w:rPr>
            </w:pPr>
            <w:r w:rsidRPr="00D92493">
              <w:rPr>
                <w:rFonts w:ascii="Times New Roman" w:hAnsi="Times New Roman" w:cs="Times New Roman"/>
                <w:sz w:val="24"/>
                <w:szCs w:val="24"/>
              </w:rPr>
              <w:t>$12,404,000</w:t>
            </w:r>
          </w:p>
        </w:tc>
        <w:tc>
          <w:tcPr>
            <w:tcW w:w="1281" w:type="dxa"/>
          </w:tcPr>
          <w:p w14:paraId="6F05F23D" w14:textId="77777777" w:rsidR="00D9244E" w:rsidRPr="00D92493" w:rsidRDefault="00D9244E" w:rsidP="00610ECA">
            <w:pPr>
              <w:jc w:val="right"/>
              <w:rPr>
                <w:rFonts w:ascii="Times New Roman" w:hAnsi="Times New Roman" w:cs="Times New Roman"/>
                <w:sz w:val="24"/>
                <w:szCs w:val="24"/>
              </w:rPr>
            </w:pPr>
          </w:p>
        </w:tc>
        <w:tc>
          <w:tcPr>
            <w:tcW w:w="1775" w:type="dxa"/>
          </w:tcPr>
          <w:p w14:paraId="522AFFFA" w14:textId="77777777" w:rsidR="00D9244E" w:rsidRPr="00D92493" w:rsidRDefault="00D9244E" w:rsidP="00610ECA">
            <w:pPr>
              <w:jc w:val="right"/>
              <w:rPr>
                <w:rFonts w:ascii="Times New Roman" w:hAnsi="Times New Roman" w:cs="Times New Roman"/>
                <w:sz w:val="24"/>
                <w:szCs w:val="24"/>
              </w:rPr>
            </w:pPr>
          </w:p>
        </w:tc>
        <w:tc>
          <w:tcPr>
            <w:tcW w:w="1709" w:type="dxa"/>
          </w:tcPr>
          <w:p w14:paraId="56AAF05D" w14:textId="77777777" w:rsidR="00D9244E" w:rsidRPr="00D92493" w:rsidRDefault="00D9244E" w:rsidP="00610ECA">
            <w:pPr>
              <w:jc w:val="right"/>
              <w:rPr>
                <w:rFonts w:ascii="Times New Roman" w:hAnsi="Times New Roman" w:cs="Times New Roman"/>
                <w:sz w:val="24"/>
                <w:szCs w:val="24"/>
              </w:rPr>
            </w:pPr>
          </w:p>
        </w:tc>
      </w:tr>
    </w:tbl>
    <w:p w14:paraId="6F2E308C" w14:textId="29A76CE6" w:rsidR="00D55A67" w:rsidRDefault="00D55A67" w:rsidP="00D55A67">
      <w:pPr>
        <w:jc w:val="both"/>
        <w:rPr>
          <w:rFonts w:ascii="Times New Roman" w:hAnsi="Times New Roman" w:cs="Times New Roman"/>
          <w:sz w:val="24"/>
          <w:szCs w:val="24"/>
        </w:rPr>
      </w:pPr>
    </w:p>
    <w:p w14:paraId="17096B4E" w14:textId="7FF09A84" w:rsidR="001F7725" w:rsidRDefault="001F7725" w:rsidP="00D55A67">
      <w:pPr>
        <w:jc w:val="both"/>
        <w:rPr>
          <w:rFonts w:ascii="Times New Roman" w:hAnsi="Times New Roman" w:cs="Times New Roman"/>
          <w:sz w:val="24"/>
          <w:szCs w:val="24"/>
        </w:rPr>
      </w:pPr>
      <w:r>
        <w:rPr>
          <w:rFonts w:ascii="Times New Roman" w:hAnsi="Times New Roman" w:cs="Times New Roman"/>
          <w:sz w:val="24"/>
          <w:szCs w:val="24"/>
        </w:rPr>
        <w:t>MCE requests Pacific Gas and Electric Company (“PG&amp;E”) provide the 2021 budget, including electricity and natural gas energy funding to MCE via quarterly transfers as calculated in the table below.</w:t>
      </w:r>
    </w:p>
    <w:p w14:paraId="369C56DE" w14:textId="2647EEEF" w:rsidR="00E65678" w:rsidRDefault="00E65678" w:rsidP="00E65678">
      <w:pPr>
        <w:pStyle w:val="Caption"/>
        <w:keepNext/>
      </w:pPr>
      <w:r>
        <w:t xml:space="preserve">Table </w:t>
      </w:r>
      <w:fldSimple w:instr=" SEQ Table \* ARABIC ">
        <w:r>
          <w:rPr>
            <w:noProof/>
          </w:rPr>
          <w:t>2</w:t>
        </w:r>
      </w:fldSimple>
      <w:r>
        <w:t>: Quarterly Fund Transfer from PG&amp;E to MCE</w:t>
      </w:r>
    </w:p>
    <w:tbl>
      <w:tblPr>
        <w:tblStyle w:val="TableGrid"/>
        <w:tblW w:w="0" w:type="auto"/>
        <w:tblLook w:val="04A0" w:firstRow="1" w:lastRow="0" w:firstColumn="1" w:lastColumn="0" w:noHBand="0" w:noVBand="1"/>
      </w:tblPr>
      <w:tblGrid>
        <w:gridCol w:w="3116"/>
        <w:gridCol w:w="3117"/>
        <w:gridCol w:w="3117"/>
      </w:tblGrid>
      <w:tr w:rsidR="00E65678" w14:paraId="7349D1DC" w14:textId="77777777" w:rsidTr="00E65678">
        <w:tc>
          <w:tcPr>
            <w:tcW w:w="3116" w:type="dxa"/>
          </w:tcPr>
          <w:p w14:paraId="078ACF7C" w14:textId="4B705B1F"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Fuel Type</w:t>
            </w:r>
          </w:p>
        </w:tc>
        <w:tc>
          <w:tcPr>
            <w:tcW w:w="3117" w:type="dxa"/>
          </w:tcPr>
          <w:p w14:paraId="734676E0" w14:textId="177E0D29"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2021 Budget Request</w:t>
            </w:r>
          </w:p>
        </w:tc>
        <w:tc>
          <w:tcPr>
            <w:tcW w:w="3117" w:type="dxa"/>
          </w:tcPr>
          <w:p w14:paraId="714B5D5E" w14:textId="63FA26AE"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Quarterly Transfer</w:t>
            </w:r>
          </w:p>
        </w:tc>
      </w:tr>
      <w:tr w:rsidR="00E65678" w14:paraId="493F08B8" w14:textId="77777777" w:rsidTr="00E65678">
        <w:tc>
          <w:tcPr>
            <w:tcW w:w="3116" w:type="dxa"/>
          </w:tcPr>
          <w:p w14:paraId="7204E8B8" w14:textId="258EF581"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Total Electric Budget</w:t>
            </w:r>
          </w:p>
        </w:tc>
        <w:tc>
          <w:tcPr>
            <w:tcW w:w="3117" w:type="dxa"/>
          </w:tcPr>
          <w:p w14:paraId="4160C82A" w14:textId="1BCA3F18"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TBD</w:t>
            </w:r>
          </w:p>
        </w:tc>
        <w:tc>
          <w:tcPr>
            <w:tcW w:w="3117" w:type="dxa"/>
          </w:tcPr>
          <w:p w14:paraId="38EBCDB2" w14:textId="49D0E8DD"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TBD</w:t>
            </w:r>
          </w:p>
        </w:tc>
      </w:tr>
      <w:tr w:rsidR="00E65678" w14:paraId="3D77487A" w14:textId="77777777" w:rsidTr="00E65678">
        <w:tc>
          <w:tcPr>
            <w:tcW w:w="3116" w:type="dxa"/>
          </w:tcPr>
          <w:p w14:paraId="123E59A2" w14:textId="61C04C53"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Total Gas Budget</w:t>
            </w:r>
            <w:r>
              <w:rPr>
                <w:rStyle w:val="FootnoteReference"/>
                <w:rFonts w:ascii="Times New Roman" w:hAnsi="Times New Roman" w:cs="Times New Roman"/>
                <w:sz w:val="24"/>
                <w:szCs w:val="24"/>
              </w:rPr>
              <w:footnoteReference w:id="14"/>
            </w:r>
          </w:p>
        </w:tc>
        <w:tc>
          <w:tcPr>
            <w:tcW w:w="3117" w:type="dxa"/>
          </w:tcPr>
          <w:p w14:paraId="7D0146B5" w14:textId="17AD7CFE"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TBD</w:t>
            </w:r>
          </w:p>
        </w:tc>
        <w:tc>
          <w:tcPr>
            <w:tcW w:w="3117" w:type="dxa"/>
          </w:tcPr>
          <w:p w14:paraId="35028A10" w14:textId="5588ED08" w:rsidR="00E65678" w:rsidRDefault="00E65678" w:rsidP="00D55A67">
            <w:pPr>
              <w:jc w:val="both"/>
              <w:rPr>
                <w:rFonts w:ascii="Times New Roman" w:hAnsi="Times New Roman" w:cs="Times New Roman"/>
                <w:sz w:val="24"/>
                <w:szCs w:val="24"/>
              </w:rPr>
            </w:pPr>
            <w:r>
              <w:rPr>
                <w:rFonts w:ascii="Times New Roman" w:hAnsi="Times New Roman" w:cs="Times New Roman"/>
                <w:sz w:val="24"/>
                <w:szCs w:val="24"/>
              </w:rPr>
              <w:t>TBD</w:t>
            </w:r>
          </w:p>
        </w:tc>
      </w:tr>
      <w:tr w:rsidR="00E65678" w14:paraId="02A57A63" w14:textId="77777777" w:rsidTr="00E65678">
        <w:tc>
          <w:tcPr>
            <w:tcW w:w="3116" w:type="dxa"/>
          </w:tcPr>
          <w:p w14:paraId="30E2300C" w14:textId="64FB58DF"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Total</w:t>
            </w:r>
          </w:p>
        </w:tc>
        <w:tc>
          <w:tcPr>
            <w:tcW w:w="3117" w:type="dxa"/>
          </w:tcPr>
          <w:p w14:paraId="705A0DA7" w14:textId="13F19F44"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$2,956,679</w:t>
            </w:r>
          </w:p>
        </w:tc>
        <w:tc>
          <w:tcPr>
            <w:tcW w:w="3117" w:type="dxa"/>
          </w:tcPr>
          <w:p w14:paraId="49CAC2F1" w14:textId="3677083D" w:rsidR="00E65678" w:rsidRPr="00E65678" w:rsidRDefault="00E65678" w:rsidP="00D55A67">
            <w:pPr>
              <w:jc w:val="both"/>
              <w:rPr>
                <w:rFonts w:ascii="Times New Roman" w:hAnsi="Times New Roman" w:cs="Times New Roman"/>
                <w:b/>
                <w:bCs/>
                <w:sz w:val="24"/>
                <w:szCs w:val="24"/>
              </w:rPr>
            </w:pPr>
            <w:r w:rsidRPr="00E65678">
              <w:rPr>
                <w:rFonts w:ascii="Times New Roman" w:hAnsi="Times New Roman" w:cs="Times New Roman"/>
                <w:b/>
                <w:bCs/>
                <w:sz w:val="24"/>
                <w:szCs w:val="24"/>
              </w:rPr>
              <w:t>TBD</w:t>
            </w:r>
          </w:p>
        </w:tc>
      </w:tr>
    </w:tbl>
    <w:p w14:paraId="4C64B702" w14:textId="77777777" w:rsidR="001F7725" w:rsidRPr="00D92493" w:rsidRDefault="001F7725" w:rsidP="00D55A67">
      <w:pPr>
        <w:jc w:val="both"/>
        <w:rPr>
          <w:rFonts w:ascii="Times New Roman" w:hAnsi="Times New Roman" w:cs="Times New Roman"/>
          <w:sz w:val="24"/>
          <w:szCs w:val="24"/>
        </w:rPr>
      </w:pPr>
    </w:p>
    <w:p w14:paraId="342BBC24" w14:textId="41605E27" w:rsidR="00D55A67" w:rsidRPr="00D92493" w:rsidRDefault="00D55A67" w:rsidP="00D55A67">
      <w:pPr>
        <w:pStyle w:val="Heading2"/>
        <w:rPr>
          <w:rFonts w:ascii="Times New Roman" w:hAnsi="Times New Roman" w:cs="Times New Roman"/>
        </w:rPr>
      </w:pPr>
      <w:r w:rsidRPr="00D92493">
        <w:rPr>
          <w:rFonts w:ascii="Times New Roman" w:hAnsi="Times New Roman" w:cs="Times New Roman"/>
        </w:rPr>
        <w:t>Cost-Effectiveness</w:t>
      </w:r>
    </w:p>
    <w:p w14:paraId="13E1EE05" w14:textId="289109F3" w:rsidR="00D9244E" w:rsidRPr="00D92493" w:rsidRDefault="00D9244E" w:rsidP="00D9244E">
      <w:pPr>
        <w:jc w:val="both"/>
        <w:rPr>
          <w:rFonts w:ascii="Times New Roman" w:hAnsi="Times New Roman" w:cs="Times New Roman"/>
          <w:sz w:val="24"/>
          <w:szCs w:val="24"/>
        </w:rPr>
      </w:pPr>
      <w:r w:rsidRPr="00D92493">
        <w:rPr>
          <w:rFonts w:ascii="Times New Roman" w:hAnsi="Times New Roman" w:cs="Times New Roman"/>
          <w:sz w:val="24"/>
          <w:szCs w:val="24"/>
        </w:rPr>
        <w:t>Decision 18-05-041 provided guidance to Commission staff on how to evaluate PAs’ ABALs, which included guidance on portfolio cost effectiveness.</w:t>
      </w:r>
      <w:r w:rsidRPr="00D92493">
        <w:rPr>
          <w:rStyle w:val="FootnoteReference"/>
          <w:rFonts w:ascii="Times New Roman" w:hAnsi="Times New Roman" w:cs="Times New Roman"/>
          <w:sz w:val="24"/>
          <w:szCs w:val="24"/>
        </w:rPr>
        <w:footnoteReference w:id="15"/>
      </w:r>
      <w:r w:rsidRPr="00D92493">
        <w:rPr>
          <w:rFonts w:ascii="Times New Roman" w:hAnsi="Times New Roman" w:cs="Times New Roman"/>
          <w:sz w:val="24"/>
          <w:szCs w:val="24"/>
        </w:rPr>
        <w:t xml:space="preserve"> For P</w:t>
      </w:r>
      <w:r w:rsidR="00B43D43">
        <w:rPr>
          <w:rFonts w:ascii="Times New Roman" w:hAnsi="Times New Roman" w:cs="Times New Roman"/>
          <w:sz w:val="24"/>
          <w:szCs w:val="24"/>
        </w:rPr>
        <w:t>Ys</w:t>
      </w:r>
      <w:r w:rsidRPr="00D92493">
        <w:rPr>
          <w:rFonts w:ascii="Times New Roman" w:hAnsi="Times New Roman" w:cs="Times New Roman"/>
          <w:sz w:val="24"/>
          <w:szCs w:val="24"/>
        </w:rPr>
        <w:t xml:space="preserve"> 2019-2022, PAs’ portfolios must meet a forecasted TRC at or above 1.0. For P</w:t>
      </w:r>
      <w:r w:rsidR="00B43D43">
        <w:rPr>
          <w:rFonts w:ascii="Times New Roman" w:hAnsi="Times New Roman" w:cs="Times New Roman"/>
          <w:sz w:val="24"/>
          <w:szCs w:val="24"/>
        </w:rPr>
        <w:t>Y</w:t>
      </w:r>
      <w:r w:rsidRPr="00D92493">
        <w:rPr>
          <w:rFonts w:ascii="Times New Roman" w:hAnsi="Times New Roman" w:cs="Times New Roman"/>
          <w:sz w:val="24"/>
          <w:szCs w:val="24"/>
        </w:rPr>
        <w:t>s 2023-2025, PAs’ portfolios must meet a forecasted TRC at or above 1.25.</w:t>
      </w:r>
    </w:p>
    <w:p w14:paraId="32796ADB" w14:textId="6A042D3D" w:rsidR="00B43D43" w:rsidRDefault="00D9244E" w:rsidP="00D9244E">
      <w:pPr>
        <w:jc w:val="both"/>
        <w:rPr>
          <w:rFonts w:ascii="Times New Roman" w:hAnsi="Times New Roman" w:cs="Times New Roman"/>
          <w:sz w:val="24"/>
          <w:szCs w:val="24"/>
        </w:rPr>
      </w:pPr>
      <w:r w:rsidRPr="00D92493">
        <w:rPr>
          <w:rFonts w:ascii="Times New Roman" w:hAnsi="Times New Roman" w:cs="Times New Roman"/>
          <w:sz w:val="24"/>
          <w:szCs w:val="24"/>
        </w:rPr>
        <w:t>In the event a PA does not meet a TRC of 1.25 on a forecast basis for P</w:t>
      </w:r>
      <w:r w:rsidR="00B43D43">
        <w:rPr>
          <w:rFonts w:ascii="Times New Roman" w:hAnsi="Times New Roman" w:cs="Times New Roman"/>
          <w:sz w:val="24"/>
          <w:szCs w:val="24"/>
        </w:rPr>
        <w:t>Y</w:t>
      </w:r>
      <w:r w:rsidRPr="00D92493">
        <w:rPr>
          <w:rFonts w:ascii="Times New Roman" w:hAnsi="Times New Roman" w:cs="Times New Roman"/>
          <w:sz w:val="24"/>
          <w:szCs w:val="24"/>
        </w:rPr>
        <w:t xml:space="preserve">s 2019-2022, ABALs must contain additional discussion about how the PA intends to meet or exceed a 1.0 TRC on an evaluated basis. </w:t>
      </w:r>
    </w:p>
    <w:p w14:paraId="6C9C0C15" w14:textId="47C02D29" w:rsidR="00D9244E" w:rsidRDefault="00D9244E" w:rsidP="00D9244E">
      <w:pPr>
        <w:jc w:val="both"/>
        <w:rPr>
          <w:rFonts w:ascii="Times New Roman" w:hAnsi="Times New Roman" w:cs="Times New Roman"/>
          <w:sz w:val="24"/>
          <w:szCs w:val="24"/>
        </w:rPr>
      </w:pPr>
      <w:r w:rsidRPr="00D92493">
        <w:rPr>
          <w:rFonts w:ascii="Times New Roman" w:hAnsi="Times New Roman" w:cs="Times New Roman"/>
          <w:sz w:val="24"/>
          <w:szCs w:val="24"/>
        </w:rPr>
        <w:t xml:space="preserve">MCE’s </w:t>
      </w:r>
      <w:r w:rsidR="00B43D43">
        <w:rPr>
          <w:rFonts w:ascii="Times New Roman" w:hAnsi="Times New Roman" w:cs="Times New Roman"/>
          <w:sz w:val="24"/>
          <w:szCs w:val="24"/>
        </w:rPr>
        <w:t xml:space="preserve">forecasted </w:t>
      </w:r>
      <w:r w:rsidRPr="00D92493">
        <w:rPr>
          <w:rFonts w:ascii="Times New Roman" w:hAnsi="Times New Roman" w:cs="Times New Roman"/>
          <w:sz w:val="24"/>
          <w:szCs w:val="24"/>
        </w:rPr>
        <w:t>portfolio TRC and program administrator cost ratio (“PAC”) without market effects for 202</w:t>
      </w:r>
      <w:r w:rsidR="00D92493" w:rsidRPr="00D92493">
        <w:rPr>
          <w:rFonts w:ascii="Times New Roman" w:hAnsi="Times New Roman" w:cs="Times New Roman"/>
          <w:sz w:val="24"/>
          <w:szCs w:val="24"/>
        </w:rPr>
        <w:t>1</w:t>
      </w:r>
      <w:r w:rsidRPr="00D92493">
        <w:rPr>
          <w:rFonts w:ascii="Times New Roman" w:hAnsi="Times New Roman" w:cs="Times New Roman"/>
          <w:sz w:val="24"/>
          <w:szCs w:val="24"/>
        </w:rPr>
        <w:t xml:space="preserve"> are provided below.</w:t>
      </w:r>
    </w:p>
    <w:p w14:paraId="3291690B" w14:textId="58C62249" w:rsidR="00A02003" w:rsidRDefault="00A02003" w:rsidP="00A02003">
      <w:pPr>
        <w:pStyle w:val="Heading3"/>
        <w:rPr>
          <w:rFonts w:ascii="Times New Roman" w:hAnsi="Times New Roman" w:cs="Times New Roman"/>
        </w:rPr>
      </w:pPr>
      <w:r>
        <w:rPr>
          <w:rFonts w:ascii="Times New Roman" w:hAnsi="Times New Roman" w:cs="Times New Roman"/>
        </w:rPr>
        <w:lastRenderedPageBreak/>
        <w:t>2021 Program Year Cost Effectiveness</w:t>
      </w:r>
    </w:p>
    <w:p w14:paraId="77837D9B" w14:textId="3BB10B59" w:rsidR="00D9244E" w:rsidRPr="00D92493" w:rsidRDefault="00D9244E" w:rsidP="00D9244E">
      <w:pPr>
        <w:pStyle w:val="Caption"/>
        <w:keepNext/>
        <w:rPr>
          <w:rFonts w:ascii="Times New Roman" w:hAnsi="Times New Roman" w:cs="Times New Roman"/>
        </w:rPr>
      </w:pPr>
      <w:r w:rsidRPr="00D92493">
        <w:rPr>
          <w:rFonts w:ascii="Times New Roman" w:hAnsi="Times New Roman" w:cs="Times New Roman"/>
        </w:rPr>
        <w:t xml:space="preserve">Table </w:t>
      </w:r>
      <w:r w:rsidRPr="00D92493">
        <w:rPr>
          <w:rFonts w:ascii="Times New Roman" w:hAnsi="Times New Roman" w:cs="Times New Roman"/>
        </w:rPr>
        <w:fldChar w:fldCharType="begin"/>
      </w:r>
      <w:r w:rsidRPr="00D92493">
        <w:rPr>
          <w:rFonts w:ascii="Times New Roman" w:hAnsi="Times New Roman" w:cs="Times New Roman"/>
        </w:rPr>
        <w:instrText xml:space="preserve"> SEQ Table \* ARABIC </w:instrText>
      </w:r>
      <w:r w:rsidRPr="00D92493">
        <w:rPr>
          <w:rFonts w:ascii="Times New Roman" w:hAnsi="Times New Roman" w:cs="Times New Roman"/>
        </w:rPr>
        <w:fldChar w:fldCharType="separate"/>
      </w:r>
      <w:r w:rsidR="00E65678">
        <w:rPr>
          <w:rFonts w:ascii="Times New Roman" w:hAnsi="Times New Roman" w:cs="Times New Roman"/>
          <w:noProof/>
        </w:rPr>
        <w:t>3</w:t>
      </w:r>
      <w:r w:rsidRPr="00D92493">
        <w:rPr>
          <w:rFonts w:ascii="Times New Roman" w:hAnsi="Times New Roman" w:cs="Times New Roman"/>
        </w:rPr>
        <w:fldChar w:fldCharType="end"/>
      </w:r>
      <w:r w:rsidRPr="00D92493">
        <w:rPr>
          <w:rFonts w:ascii="Times New Roman" w:hAnsi="Times New Roman" w:cs="Times New Roman"/>
        </w:rPr>
        <w:t xml:space="preserve">: </w:t>
      </w:r>
      <w:r w:rsidR="00AF66CB">
        <w:rPr>
          <w:rFonts w:ascii="Times New Roman" w:hAnsi="Times New Roman" w:cs="Times New Roman"/>
        </w:rPr>
        <w:t xml:space="preserve">MCE Forecasted </w:t>
      </w:r>
      <w:r w:rsidRPr="00D92493">
        <w:rPr>
          <w:rFonts w:ascii="Times New Roman" w:hAnsi="Times New Roman" w:cs="Times New Roman"/>
        </w:rPr>
        <w:t>Portfolio TRC</w:t>
      </w:r>
      <w:r w:rsidR="00553381">
        <w:rPr>
          <w:rFonts w:ascii="Times New Roman" w:hAnsi="Times New Roman" w:cs="Times New Roman"/>
        </w:rPr>
        <w:t xml:space="preserve">, </w:t>
      </w:r>
      <w:r w:rsidRPr="00D92493">
        <w:rPr>
          <w:rFonts w:ascii="Times New Roman" w:hAnsi="Times New Roman" w:cs="Times New Roman"/>
        </w:rPr>
        <w:t>PAC</w:t>
      </w:r>
      <w:r w:rsidR="00553381">
        <w:rPr>
          <w:rFonts w:ascii="Times New Roman" w:hAnsi="Times New Roman" w:cs="Times New Roman"/>
        </w:rPr>
        <w:t xml:space="preserve">, and </w:t>
      </w:r>
      <w:r w:rsidR="008A6FE7">
        <w:rPr>
          <w:rFonts w:ascii="Times New Roman" w:hAnsi="Times New Roman" w:cs="Times New Roman"/>
        </w:rPr>
        <w:t xml:space="preserve">RIM </w:t>
      </w:r>
      <w:r w:rsidR="008A6FE7" w:rsidRPr="00D92493">
        <w:rPr>
          <w:rFonts w:ascii="Times New Roman" w:hAnsi="Times New Roman" w:cs="Times New Roman"/>
        </w:rPr>
        <w:t>for</w:t>
      </w:r>
      <w:r w:rsidR="00AF66CB">
        <w:rPr>
          <w:rFonts w:ascii="Times New Roman" w:hAnsi="Times New Roman" w:cs="Times New Roman"/>
        </w:rPr>
        <w:t xml:space="preserve"> PY 2021</w:t>
      </w:r>
    </w:p>
    <w:tbl>
      <w:tblPr>
        <w:tblStyle w:val="TableGrid"/>
        <w:tblW w:w="0" w:type="auto"/>
        <w:tblLook w:val="04A0" w:firstRow="1" w:lastRow="0" w:firstColumn="1" w:lastColumn="0" w:noHBand="0" w:noVBand="1"/>
      </w:tblPr>
      <w:tblGrid>
        <w:gridCol w:w="1435"/>
        <w:gridCol w:w="1260"/>
      </w:tblGrid>
      <w:tr w:rsidR="00D9244E" w:rsidRPr="00D92493" w14:paraId="425FA94E" w14:textId="77777777" w:rsidTr="00A02003">
        <w:tc>
          <w:tcPr>
            <w:tcW w:w="1435" w:type="dxa"/>
          </w:tcPr>
          <w:p w14:paraId="483D9F73" w14:textId="0C072303" w:rsidR="00D9244E" w:rsidRPr="00D92493" w:rsidRDefault="00D9244E" w:rsidP="00D9244E">
            <w:pPr>
              <w:jc w:val="both"/>
              <w:rPr>
                <w:rFonts w:ascii="Times New Roman" w:hAnsi="Times New Roman" w:cs="Times New Roman"/>
                <w:b/>
                <w:bCs/>
                <w:sz w:val="24"/>
                <w:szCs w:val="24"/>
              </w:rPr>
            </w:pPr>
            <w:r w:rsidRPr="00D92493">
              <w:rPr>
                <w:rFonts w:ascii="Times New Roman" w:hAnsi="Times New Roman" w:cs="Times New Roman"/>
                <w:b/>
                <w:bCs/>
                <w:sz w:val="24"/>
                <w:szCs w:val="24"/>
              </w:rPr>
              <w:t>TRC</w:t>
            </w:r>
          </w:p>
        </w:tc>
        <w:tc>
          <w:tcPr>
            <w:tcW w:w="1260" w:type="dxa"/>
          </w:tcPr>
          <w:p w14:paraId="7F1ACE0C" w14:textId="18081CAC" w:rsidR="00D9244E" w:rsidRPr="00D92493" w:rsidRDefault="00D9244E" w:rsidP="005119DB">
            <w:pPr>
              <w:jc w:val="center"/>
              <w:rPr>
                <w:rFonts w:ascii="Times New Roman" w:hAnsi="Times New Roman" w:cs="Times New Roman"/>
                <w:sz w:val="24"/>
                <w:szCs w:val="24"/>
              </w:rPr>
            </w:pPr>
            <w:r w:rsidRPr="00D92493">
              <w:rPr>
                <w:rFonts w:ascii="Times New Roman" w:hAnsi="Times New Roman" w:cs="Times New Roman"/>
                <w:sz w:val="24"/>
                <w:szCs w:val="24"/>
              </w:rPr>
              <w:t>1.05</w:t>
            </w:r>
          </w:p>
        </w:tc>
      </w:tr>
      <w:tr w:rsidR="00D9244E" w:rsidRPr="00D92493" w14:paraId="2CD6848E" w14:textId="77777777" w:rsidTr="00A02003">
        <w:tc>
          <w:tcPr>
            <w:tcW w:w="1435" w:type="dxa"/>
          </w:tcPr>
          <w:p w14:paraId="6AEEF46B" w14:textId="538F407B" w:rsidR="00D9244E" w:rsidRPr="00D92493" w:rsidRDefault="00D9244E" w:rsidP="00D9244E">
            <w:pPr>
              <w:jc w:val="both"/>
              <w:rPr>
                <w:rFonts w:ascii="Times New Roman" w:hAnsi="Times New Roman" w:cs="Times New Roman"/>
                <w:b/>
                <w:bCs/>
                <w:sz w:val="24"/>
                <w:szCs w:val="24"/>
              </w:rPr>
            </w:pPr>
            <w:r w:rsidRPr="00D92493">
              <w:rPr>
                <w:rFonts w:ascii="Times New Roman" w:hAnsi="Times New Roman" w:cs="Times New Roman"/>
                <w:b/>
                <w:bCs/>
                <w:sz w:val="24"/>
                <w:szCs w:val="24"/>
              </w:rPr>
              <w:t>PAC</w:t>
            </w:r>
          </w:p>
        </w:tc>
        <w:tc>
          <w:tcPr>
            <w:tcW w:w="1260" w:type="dxa"/>
          </w:tcPr>
          <w:p w14:paraId="6C2399F7" w14:textId="33DB3E92" w:rsidR="00D9244E" w:rsidRPr="00D92493" w:rsidRDefault="00D9244E" w:rsidP="005119DB">
            <w:pPr>
              <w:jc w:val="center"/>
              <w:rPr>
                <w:rFonts w:ascii="Times New Roman" w:hAnsi="Times New Roman" w:cs="Times New Roman"/>
                <w:sz w:val="24"/>
                <w:szCs w:val="24"/>
              </w:rPr>
            </w:pPr>
            <w:r w:rsidRPr="00D92493">
              <w:rPr>
                <w:rFonts w:ascii="Times New Roman" w:hAnsi="Times New Roman" w:cs="Times New Roman"/>
                <w:sz w:val="24"/>
                <w:szCs w:val="24"/>
              </w:rPr>
              <w:t>1.14</w:t>
            </w:r>
          </w:p>
        </w:tc>
      </w:tr>
      <w:tr w:rsidR="00553381" w:rsidRPr="00D92493" w14:paraId="72BAADE1" w14:textId="77777777" w:rsidTr="00A02003">
        <w:tc>
          <w:tcPr>
            <w:tcW w:w="1435" w:type="dxa"/>
          </w:tcPr>
          <w:p w14:paraId="5C12137C" w14:textId="2F9720CF" w:rsidR="00553381" w:rsidRPr="00D92493" w:rsidRDefault="00553381" w:rsidP="00D9244E">
            <w:pPr>
              <w:jc w:val="both"/>
              <w:rPr>
                <w:rFonts w:ascii="Times New Roman" w:hAnsi="Times New Roman" w:cs="Times New Roman"/>
                <w:b/>
                <w:bCs/>
                <w:sz w:val="24"/>
                <w:szCs w:val="24"/>
              </w:rPr>
            </w:pPr>
            <w:r>
              <w:rPr>
                <w:rFonts w:ascii="Times New Roman" w:hAnsi="Times New Roman" w:cs="Times New Roman"/>
                <w:b/>
                <w:bCs/>
                <w:sz w:val="24"/>
                <w:szCs w:val="24"/>
              </w:rPr>
              <w:t>RIM</w:t>
            </w:r>
          </w:p>
        </w:tc>
        <w:tc>
          <w:tcPr>
            <w:tcW w:w="1260" w:type="dxa"/>
          </w:tcPr>
          <w:p w14:paraId="3C826DCA" w14:textId="2FC88110" w:rsidR="00553381" w:rsidRPr="00D92493" w:rsidRDefault="00553381" w:rsidP="005119DB">
            <w:pPr>
              <w:jc w:val="center"/>
              <w:rPr>
                <w:rFonts w:ascii="Times New Roman" w:hAnsi="Times New Roman" w:cs="Times New Roman"/>
                <w:sz w:val="24"/>
                <w:szCs w:val="24"/>
              </w:rPr>
            </w:pPr>
            <w:r>
              <w:rPr>
                <w:rFonts w:ascii="Times New Roman" w:hAnsi="Times New Roman" w:cs="Times New Roman"/>
                <w:sz w:val="24"/>
                <w:szCs w:val="24"/>
              </w:rPr>
              <w:t>1.14</w:t>
            </w:r>
          </w:p>
        </w:tc>
      </w:tr>
    </w:tbl>
    <w:p w14:paraId="681F4406" w14:textId="295B9188" w:rsidR="00B43D43" w:rsidRPr="00B56597" w:rsidRDefault="00B43D43" w:rsidP="00B84EF5">
      <w:pPr>
        <w:pStyle w:val="Heading3"/>
        <w:rPr>
          <w:rFonts w:ascii="Times New Roman" w:hAnsi="Times New Roman" w:cs="Times New Roman"/>
        </w:rPr>
      </w:pPr>
    </w:p>
    <w:p w14:paraId="72E52DFC" w14:textId="6A2C001A" w:rsidR="00B70FD0" w:rsidRPr="00B56597" w:rsidRDefault="00B70FD0" w:rsidP="00B70FD0">
      <w:pPr>
        <w:pStyle w:val="Caption"/>
        <w:keepNext/>
        <w:rPr>
          <w:rFonts w:ascii="Times New Roman" w:hAnsi="Times New Roman" w:cs="Times New Roman"/>
        </w:rPr>
      </w:pPr>
      <w:r w:rsidRPr="00B56597">
        <w:rPr>
          <w:rFonts w:ascii="Times New Roman" w:hAnsi="Times New Roman" w:cs="Times New Roman"/>
        </w:rPr>
        <w:t xml:space="preserve">Table </w:t>
      </w:r>
      <w:r w:rsidRPr="00B56597">
        <w:rPr>
          <w:rFonts w:ascii="Times New Roman" w:hAnsi="Times New Roman" w:cs="Times New Roman"/>
        </w:rPr>
        <w:fldChar w:fldCharType="begin"/>
      </w:r>
      <w:r w:rsidRPr="00B56597">
        <w:rPr>
          <w:rFonts w:ascii="Times New Roman" w:hAnsi="Times New Roman" w:cs="Times New Roman"/>
        </w:rPr>
        <w:instrText xml:space="preserve"> SEQ Table \* ARABIC </w:instrText>
      </w:r>
      <w:r w:rsidRPr="00B56597">
        <w:rPr>
          <w:rFonts w:ascii="Times New Roman" w:hAnsi="Times New Roman" w:cs="Times New Roman"/>
        </w:rPr>
        <w:fldChar w:fldCharType="separate"/>
      </w:r>
      <w:r w:rsidR="00E65678">
        <w:rPr>
          <w:rFonts w:ascii="Times New Roman" w:hAnsi="Times New Roman" w:cs="Times New Roman"/>
          <w:noProof/>
        </w:rPr>
        <w:t>4</w:t>
      </w:r>
      <w:r w:rsidRPr="00B56597">
        <w:rPr>
          <w:rFonts w:ascii="Times New Roman" w:hAnsi="Times New Roman" w:cs="Times New Roman"/>
        </w:rPr>
        <w:fldChar w:fldCharType="end"/>
      </w:r>
      <w:r w:rsidRPr="00B56597">
        <w:rPr>
          <w:rFonts w:ascii="Times New Roman" w:hAnsi="Times New Roman" w:cs="Times New Roman"/>
        </w:rPr>
        <w:t>: MCE Forecasted Sector-Level TRC and PAC for PY 2021</w:t>
      </w:r>
    </w:p>
    <w:tbl>
      <w:tblPr>
        <w:tblStyle w:val="TableGrid"/>
        <w:tblW w:w="0" w:type="auto"/>
        <w:tblLook w:val="04A0" w:firstRow="1" w:lastRow="0" w:firstColumn="1" w:lastColumn="0" w:noHBand="0" w:noVBand="1"/>
      </w:tblPr>
      <w:tblGrid>
        <w:gridCol w:w="1435"/>
        <w:gridCol w:w="1260"/>
        <w:gridCol w:w="1260"/>
        <w:gridCol w:w="1350"/>
      </w:tblGrid>
      <w:tr w:rsidR="00553381" w:rsidRPr="00682359" w14:paraId="24A06CA5" w14:textId="52A39EF4" w:rsidTr="00A02003">
        <w:tc>
          <w:tcPr>
            <w:tcW w:w="1435" w:type="dxa"/>
          </w:tcPr>
          <w:p w14:paraId="39E8C709" w14:textId="57113A0B" w:rsidR="00553381" w:rsidRPr="00682359" w:rsidRDefault="00553381" w:rsidP="00553381">
            <w:pPr>
              <w:rPr>
                <w:rFonts w:ascii="Times New Roman" w:hAnsi="Times New Roman" w:cs="Times New Roman"/>
                <w:b/>
                <w:bCs/>
                <w:sz w:val="24"/>
                <w:szCs w:val="24"/>
              </w:rPr>
            </w:pPr>
            <w:r w:rsidRPr="00682359">
              <w:rPr>
                <w:rFonts w:ascii="Times New Roman" w:hAnsi="Times New Roman" w:cs="Times New Roman"/>
                <w:b/>
                <w:bCs/>
                <w:sz w:val="24"/>
                <w:szCs w:val="24"/>
              </w:rPr>
              <w:t>Sector</w:t>
            </w:r>
          </w:p>
        </w:tc>
        <w:tc>
          <w:tcPr>
            <w:tcW w:w="1260" w:type="dxa"/>
          </w:tcPr>
          <w:p w14:paraId="322866F5" w14:textId="500D2A2D" w:rsidR="00553381" w:rsidRPr="00682359" w:rsidRDefault="00553381"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TRC</w:t>
            </w:r>
          </w:p>
        </w:tc>
        <w:tc>
          <w:tcPr>
            <w:tcW w:w="1260" w:type="dxa"/>
          </w:tcPr>
          <w:p w14:paraId="530291CE" w14:textId="43A5F8CF" w:rsidR="00553381" w:rsidRPr="00682359" w:rsidRDefault="00553381"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PAC</w:t>
            </w:r>
          </w:p>
        </w:tc>
        <w:tc>
          <w:tcPr>
            <w:tcW w:w="1350" w:type="dxa"/>
          </w:tcPr>
          <w:p w14:paraId="6A15DFEA" w14:textId="5E03AF54" w:rsidR="00553381" w:rsidRPr="00682359" w:rsidRDefault="00553381"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RIM</w:t>
            </w:r>
          </w:p>
        </w:tc>
      </w:tr>
      <w:tr w:rsidR="00553381" w:rsidRPr="00682359" w14:paraId="3CBE2941" w14:textId="643BF5B6" w:rsidTr="00A02003">
        <w:tc>
          <w:tcPr>
            <w:tcW w:w="1435" w:type="dxa"/>
          </w:tcPr>
          <w:p w14:paraId="3974C37E" w14:textId="47A7DB9A" w:rsidR="00553381" w:rsidRPr="00682359" w:rsidRDefault="008A6FE7" w:rsidP="00553381">
            <w:pPr>
              <w:rPr>
                <w:rFonts w:ascii="Times New Roman" w:hAnsi="Times New Roman" w:cs="Times New Roman"/>
                <w:sz w:val="24"/>
                <w:szCs w:val="24"/>
              </w:rPr>
            </w:pPr>
            <w:r w:rsidRPr="00682359">
              <w:rPr>
                <w:rFonts w:ascii="Times New Roman" w:hAnsi="Times New Roman" w:cs="Times New Roman"/>
                <w:sz w:val="24"/>
                <w:szCs w:val="24"/>
              </w:rPr>
              <w:t>Residential</w:t>
            </w:r>
          </w:p>
        </w:tc>
        <w:tc>
          <w:tcPr>
            <w:tcW w:w="1260" w:type="dxa"/>
          </w:tcPr>
          <w:p w14:paraId="4F7C9289" w14:textId="2B9E851C"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0.55</w:t>
            </w:r>
          </w:p>
        </w:tc>
        <w:tc>
          <w:tcPr>
            <w:tcW w:w="1260" w:type="dxa"/>
          </w:tcPr>
          <w:p w14:paraId="790E82D5" w14:textId="2DC47CF5"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0.56</w:t>
            </w:r>
          </w:p>
        </w:tc>
        <w:tc>
          <w:tcPr>
            <w:tcW w:w="1350" w:type="dxa"/>
          </w:tcPr>
          <w:p w14:paraId="6B4E41EC" w14:textId="7868743D"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0.56</w:t>
            </w:r>
          </w:p>
        </w:tc>
      </w:tr>
      <w:tr w:rsidR="00553381" w:rsidRPr="00682359" w14:paraId="7299297F" w14:textId="3443EFC6" w:rsidTr="00A02003">
        <w:tc>
          <w:tcPr>
            <w:tcW w:w="1435" w:type="dxa"/>
          </w:tcPr>
          <w:p w14:paraId="66417076" w14:textId="5EAA1CB7" w:rsidR="00553381" w:rsidRPr="00682359" w:rsidRDefault="008A6FE7" w:rsidP="00553381">
            <w:pPr>
              <w:rPr>
                <w:rFonts w:ascii="Times New Roman" w:hAnsi="Times New Roman" w:cs="Times New Roman"/>
                <w:sz w:val="24"/>
                <w:szCs w:val="24"/>
              </w:rPr>
            </w:pPr>
            <w:r w:rsidRPr="00682359">
              <w:rPr>
                <w:rFonts w:ascii="Times New Roman" w:hAnsi="Times New Roman" w:cs="Times New Roman"/>
                <w:sz w:val="24"/>
                <w:szCs w:val="24"/>
              </w:rPr>
              <w:t>Agricultural</w:t>
            </w:r>
          </w:p>
        </w:tc>
        <w:tc>
          <w:tcPr>
            <w:tcW w:w="1260" w:type="dxa"/>
          </w:tcPr>
          <w:p w14:paraId="77845480" w14:textId="6DD51533"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1.62</w:t>
            </w:r>
          </w:p>
        </w:tc>
        <w:tc>
          <w:tcPr>
            <w:tcW w:w="1260" w:type="dxa"/>
          </w:tcPr>
          <w:p w14:paraId="2AAAB973" w14:textId="1D2CA868"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1.90</w:t>
            </w:r>
          </w:p>
        </w:tc>
        <w:tc>
          <w:tcPr>
            <w:tcW w:w="1350" w:type="dxa"/>
          </w:tcPr>
          <w:p w14:paraId="2D524E48" w14:textId="040426BE"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1.90</w:t>
            </w:r>
          </w:p>
        </w:tc>
      </w:tr>
      <w:tr w:rsidR="00553381" w:rsidRPr="00682359" w14:paraId="5D8ED277" w14:textId="4991E158" w:rsidTr="00A02003">
        <w:tc>
          <w:tcPr>
            <w:tcW w:w="1435" w:type="dxa"/>
          </w:tcPr>
          <w:p w14:paraId="78D9DA3B" w14:textId="56AD71D6" w:rsidR="00553381" w:rsidRPr="00682359" w:rsidRDefault="008A6FE7" w:rsidP="00553381">
            <w:pPr>
              <w:rPr>
                <w:rFonts w:ascii="Times New Roman" w:hAnsi="Times New Roman" w:cs="Times New Roman"/>
                <w:sz w:val="24"/>
                <w:szCs w:val="24"/>
              </w:rPr>
            </w:pPr>
            <w:r w:rsidRPr="00682359">
              <w:rPr>
                <w:rFonts w:ascii="Times New Roman" w:hAnsi="Times New Roman" w:cs="Times New Roman"/>
                <w:sz w:val="24"/>
                <w:szCs w:val="24"/>
              </w:rPr>
              <w:t>Commercial</w:t>
            </w:r>
          </w:p>
        </w:tc>
        <w:tc>
          <w:tcPr>
            <w:tcW w:w="1260" w:type="dxa"/>
          </w:tcPr>
          <w:p w14:paraId="5895F541" w14:textId="4F550F0C"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1.29</w:t>
            </w:r>
          </w:p>
        </w:tc>
        <w:tc>
          <w:tcPr>
            <w:tcW w:w="1260" w:type="dxa"/>
          </w:tcPr>
          <w:p w14:paraId="0BEEA724" w14:textId="7ABD1F70"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1.41</w:t>
            </w:r>
          </w:p>
        </w:tc>
        <w:tc>
          <w:tcPr>
            <w:tcW w:w="1350" w:type="dxa"/>
          </w:tcPr>
          <w:p w14:paraId="7C7EC7DA" w14:textId="29C1014A"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1.41</w:t>
            </w:r>
          </w:p>
        </w:tc>
      </w:tr>
      <w:tr w:rsidR="00553381" w:rsidRPr="00682359" w14:paraId="2257820F" w14:textId="26C60310" w:rsidTr="00A02003">
        <w:tc>
          <w:tcPr>
            <w:tcW w:w="1435" w:type="dxa"/>
          </w:tcPr>
          <w:p w14:paraId="4B2CF686" w14:textId="4AF2C98A" w:rsidR="00553381" w:rsidRPr="00682359" w:rsidRDefault="008A6FE7" w:rsidP="00553381">
            <w:pPr>
              <w:rPr>
                <w:rFonts w:ascii="Times New Roman" w:hAnsi="Times New Roman" w:cs="Times New Roman"/>
                <w:sz w:val="24"/>
                <w:szCs w:val="24"/>
              </w:rPr>
            </w:pPr>
            <w:r w:rsidRPr="00682359">
              <w:rPr>
                <w:rFonts w:ascii="Times New Roman" w:hAnsi="Times New Roman" w:cs="Times New Roman"/>
                <w:sz w:val="24"/>
                <w:szCs w:val="24"/>
              </w:rPr>
              <w:t>Industrial</w:t>
            </w:r>
          </w:p>
        </w:tc>
        <w:tc>
          <w:tcPr>
            <w:tcW w:w="1260" w:type="dxa"/>
          </w:tcPr>
          <w:p w14:paraId="16FA3D9C" w14:textId="7D49C118"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1.57</w:t>
            </w:r>
          </w:p>
        </w:tc>
        <w:tc>
          <w:tcPr>
            <w:tcW w:w="1260" w:type="dxa"/>
          </w:tcPr>
          <w:p w14:paraId="191A55BA" w14:textId="46B6D570"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1.92</w:t>
            </w:r>
          </w:p>
        </w:tc>
        <w:tc>
          <w:tcPr>
            <w:tcW w:w="1350" w:type="dxa"/>
          </w:tcPr>
          <w:p w14:paraId="157042E0" w14:textId="7A4FB140" w:rsidR="00553381"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1.92</w:t>
            </w:r>
          </w:p>
        </w:tc>
      </w:tr>
      <w:tr w:rsidR="008A6FE7" w:rsidRPr="00682359" w14:paraId="18C87FB1" w14:textId="77777777" w:rsidTr="00A02003">
        <w:tc>
          <w:tcPr>
            <w:tcW w:w="1435" w:type="dxa"/>
          </w:tcPr>
          <w:p w14:paraId="68AD9D71" w14:textId="3166B1BD" w:rsidR="008A6FE7" w:rsidRPr="00682359" w:rsidRDefault="008A6FE7" w:rsidP="00553381">
            <w:pPr>
              <w:rPr>
                <w:rFonts w:ascii="Times New Roman" w:hAnsi="Times New Roman" w:cs="Times New Roman"/>
                <w:sz w:val="24"/>
                <w:szCs w:val="24"/>
              </w:rPr>
            </w:pPr>
            <w:r w:rsidRPr="00682359">
              <w:rPr>
                <w:rFonts w:ascii="Times New Roman" w:hAnsi="Times New Roman" w:cs="Times New Roman"/>
                <w:sz w:val="24"/>
                <w:szCs w:val="24"/>
              </w:rPr>
              <w:t>WE&amp;T</w:t>
            </w:r>
          </w:p>
        </w:tc>
        <w:tc>
          <w:tcPr>
            <w:tcW w:w="1260" w:type="dxa"/>
          </w:tcPr>
          <w:p w14:paraId="677DF361" w14:textId="0FD59826" w:rsidR="008A6FE7"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260" w:type="dxa"/>
          </w:tcPr>
          <w:p w14:paraId="65EECFB0" w14:textId="13A50850" w:rsidR="008A6FE7"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350" w:type="dxa"/>
          </w:tcPr>
          <w:p w14:paraId="15A29205" w14:textId="502C01F9" w:rsidR="008A6FE7"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r>
    </w:tbl>
    <w:p w14:paraId="2C5B4BE6" w14:textId="77777777" w:rsidR="00E65678" w:rsidRDefault="00E65678" w:rsidP="00B70FD0">
      <w:pPr>
        <w:pStyle w:val="Caption"/>
        <w:keepNext/>
        <w:rPr>
          <w:rFonts w:ascii="Times New Roman" w:hAnsi="Times New Roman" w:cs="Times New Roman"/>
        </w:rPr>
      </w:pPr>
    </w:p>
    <w:p w14:paraId="246DCC20" w14:textId="5ADEB1E4" w:rsidR="00B70FD0" w:rsidRPr="00B56597" w:rsidRDefault="00B70FD0" w:rsidP="00B70FD0">
      <w:pPr>
        <w:pStyle w:val="Caption"/>
        <w:keepNext/>
        <w:rPr>
          <w:rFonts w:ascii="Times New Roman" w:hAnsi="Times New Roman" w:cs="Times New Roman"/>
        </w:rPr>
      </w:pPr>
      <w:r w:rsidRPr="00B56597">
        <w:rPr>
          <w:rFonts w:ascii="Times New Roman" w:hAnsi="Times New Roman" w:cs="Times New Roman"/>
        </w:rPr>
        <w:t xml:space="preserve">Table </w:t>
      </w:r>
      <w:r w:rsidRPr="00B56597">
        <w:rPr>
          <w:rFonts w:ascii="Times New Roman" w:hAnsi="Times New Roman" w:cs="Times New Roman"/>
        </w:rPr>
        <w:fldChar w:fldCharType="begin"/>
      </w:r>
      <w:r w:rsidRPr="00B56597">
        <w:rPr>
          <w:rFonts w:ascii="Times New Roman" w:hAnsi="Times New Roman" w:cs="Times New Roman"/>
        </w:rPr>
        <w:instrText xml:space="preserve"> SEQ Table \* ARABIC </w:instrText>
      </w:r>
      <w:r w:rsidRPr="00B56597">
        <w:rPr>
          <w:rFonts w:ascii="Times New Roman" w:hAnsi="Times New Roman" w:cs="Times New Roman"/>
        </w:rPr>
        <w:fldChar w:fldCharType="separate"/>
      </w:r>
      <w:r w:rsidR="00E65678">
        <w:rPr>
          <w:rFonts w:ascii="Times New Roman" w:hAnsi="Times New Roman" w:cs="Times New Roman"/>
          <w:noProof/>
        </w:rPr>
        <w:t>5</w:t>
      </w:r>
      <w:r w:rsidRPr="00B56597">
        <w:rPr>
          <w:rFonts w:ascii="Times New Roman" w:hAnsi="Times New Roman" w:cs="Times New Roman"/>
        </w:rPr>
        <w:fldChar w:fldCharType="end"/>
      </w:r>
      <w:r w:rsidRPr="00B56597">
        <w:rPr>
          <w:rFonts w:ascii="Times New Roman" w:hAnsi="Times New Roman" w:cs="Times New Roman"/>
        </w:rPr>
        <w:t>: Forecasted Program-Level TRC and PAC for 2021</w:t>
      </w:r>
    </w:p>
    <w:tbl>
      <w:tblPr>
        <w:tblStyle w:val="TableGrid"/>
        <w:tblW w:w="0" w:type="auto"/>
        <w:tblLook w:val="04A0" w:firstRow="1" w:lastRow="0" w:firstColumn="1" w:lastColumn="0" w:noHBand="0" w:noVBand="1"/>
      </w:tblPr>
      <w:tblGrid>
        <w:gridCol w:w="4585"/>
        <w:gridCol w:w="1213"/>
        <w:gridCol w:w="1068"/>
        <w:gridCol w:w="1329"/>
        <w:gridCol w:w="1155"/>
      </w:tblGrid>
      <w:tr w:rsidR="00B70FD0" w:rsidRPr="00B56597" w14:paraId="103A3956" w14:textId="246BA915" w:rsidTr="00682359">
        <w:tc>
          <w:tcPr>
            <w:tcW w:w="4585" w:type="dxa"/>
          </w:tcPr>
          <w:p w14:paraId="3B021B50" w14:textId="77777777" w:rsidR="00B70FD0" w:rsidRDefault="00B70FD0" w:rsidP="00553381">
            <w:pPr>
              <w:rPr>
                <w:rFonts w:ascii="Times New Roman" w:hAnsi="Times New Roman" w:cs="Times New Roman"/>
                <w:b/>
                <w:bCs/>
                <w:sz w:val="24"/>
                <w:szCs w:val="24"/>
              </w:rPr>
            </w:pPr>
          </w:p>
          <w:p w14:paraId="269DD95F" w14:textId="08A848EB" w:rsidR="00E65678" w:rsidRPr="00682359" w:rsidRDefault="00E65678" w:rsidP="00553381">
            <w:pPr>
              <w:rPr>
                <w:rFonts w:ascii="Times New Roman" w:hAnsi="Times New Roman" w:cs="Times New Roman"/>
                <w:b/>
                <w:bCs/>
                <w:sz w:val="24"/>
                <w:szCs w:val="24"/>
              </w:rPr>
            </w:pPr>
          </w:p>
        </w:tc>
        <w:tc>
          <w:tcPr>
            <w:tcW w:w="1213" w:type="dxa"/>
          </w:tcPr>
          <w:p w14:paraId="10A8CFA1" w14:textId="4F1B6FFE" w:rsidR="00B70FD0" w:rsidRPr="00682359" w:rsidRDefault="00B70FD0" w:rsidP="00553381">
            <w:pPr>
              <w:rPr>
                <w:rFonts w:ascii="Times New Roman" w:hAnsi="Times New Roman" w:cs="Times New Roman"/>
                <w:b/>
                <w:bCs/>
                <w:sz w:val="24"/>
                <w:szCs w:val="24"/>
              </w:rPr>
            </w:pPr>
            <w:r w:rsidRPr="00682359">
              <w:rPr>
                <w:rFonts w:ascii="Times New Roman" w:hAnsi="Times New Roman" w:cs="Times New Roman"/>
                <w:b/>
                <w:bCs/>
                <w:sz w:val="24"/>
                <w:szCs w:val="24"/>
              </w:rPr>
              <w:t>Program ID</w:t>
            </w:r>
          </w:p>
        </w:tc>
        <w:tc>
          <w:tcPr>
            <w:tcW w:w="1068" w:type="dxa"/>
          </w:tcPr>
          <w:p w14:paraId="37321D38" w14:textId="6BD65CB4" w:rsidR="00B70FD0" w:rsidRPr="00682359" w:rsidRDefault="00B70FD0"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TRC</w:t>
            </w:r>
          </w:p>
        </w:tc>
        <w:tc>
          <w:tcPr>
            <w:tcW w:w="1329" w:type="dxa"/>
          </w:tcPr>
          <w:p w14:paraId="1897BCFF" w14:textId="2FD08379" w:rsidR="00B70FD0" w:rsidRPr="00682359" w:rsidRDefault="00B70FD0"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PAC</w:t>
            </w:r>
          </w:p>
        </w:tc>
        <w:tc>
          <w:tcPr>
            <w:tcW w:w="1155" w:type="dxa"/>
          </w:tcPr>
          <w:p w14:paraId="514240E0" w14:textId="3A20856A" w:rsidR="00B70FD0" w:rsidRPr="00682359" w:rsidRDefault="00B70FD0" w:rsidP="00A02003">
            <w:pPr>
              <w:jc w:val="center"/>
              <w:rPr>
                <w:rFonts w:ascii="Times New Roman" w:hAnsi="Times New Roman" w:cs="Times New Roman"/>
                <w:b/>
                <w:bCs/>
                <w:sz w:val="24"/>
                <w:szCs w:val="24"/>
              </w:rPr>
            </w:pPr>
            <w:r w:rsidRPr="00682359">
              <w:rPr>
                <w:rFonts w:ascii="Times New Roman" w:hAnsi="Times New Roman" w:cs="Times New Roman"/>
                <w:b/>
                <w:bCs/>
                <w:sz w:val="24"/>
                <w:szCs w:val="24"/>
              </w:rPr>
              <w:t>RIM</w:t>
            </w:r>
          </w:p>
        </w:tc>
      </w:tr>
      <w:tr w:rsidR="00B70FD0" w:rsidRPr="00B56597" w14:paraId="70E096D4" w14:textId="75BFBEB1" w:rsidTr="00682359">
        <w:tc>
          <w:tcPr>
            <w:tcW w:w="4585" w:type="dxa"/>
          </w:tcPr>
          <w:p w14:paraId="24B662A6" w14:textId="41E4981D"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Multifamily Comprehensive</w:t>
            </w:r>
          </w:p>
        </w:tc>
        <w:tc>
          <w:tcPr>
            <w:tcW w:w="1213" w:type="dxa"/>
          </w:tcPr>
          <w:p w14:paraId="03F33BF2" w14:textId="18B22251"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MCE01</w:t>
            </w:r>
          </w:p>
        </w:tc>
        <w:tc>
          <w:tcPr>
            <w:tcW w:w="1068" w:type="dxa"/>
          </w:tcPr>
          <w:p w14:paraId="254F6AE3" w14:textId="4870E03F"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0.45</w:t>
            </w:r>
          </w:p>
        </w:tc>
        <w:tc>
          <w:tcPr>
            <w:tcW w:w="1329" w:type="dxa"/>
          </w:tcPr>
          <w:p w14:paraId="72C4543D" w14:textId="699505AC"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0.53</w:t>
            </w:r>
          </w:p>
        </w:tc>
        <w:tc>
          <w:tcPr>
            <w:tcW w:w="1155" w:type="dxa"/>
          </w:tcPr>
          <w:p w14:paraId="58038D07" w14:textId="1053140D"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0.53</w:t>
            </w:r>
          </w:p>
        </w:tc>
      </w:tr>
      <w:tr w:rsidR="00B70FD0" w:rsidRPr="00B56597" w14:paraId="2FEF6854" w14:textId="1B4621C8" w:rsidTr="00682359">
        <w:tc>
          <w:tcPr>
            <w:tcW w:w="4585" w:type="dxa"/>
          </w:tcPr>
          <w:p w14:paraId="730727CB" w14:textId="2E4E422D"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Commercial</w:t>
            </w:r>
          </w:p>
        </w:tc>
        <w:tc>
          <w:tcPr>
            <w:tcW w:w="1213" w:type="dxa"/>
          </w:tcPr>
          <w:p w14:paraId="748E7C6C" w14:textId="1F1E3625"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MCE02</w:t>
            </w:r>
          </w:p>
        </w:tc>
        <w:tc>
          <w:tcPr>
            <w:tcW w:w="1068" w:type="dxa"/>
          </w:tcPr>
          <w:p w14:paraId="194827CF" w14:textId="3500ABB5"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1.29</w:t>
            </w:r>
          </w:p>
        </w:tc>
        <w:tc>
          <w:tcPr>
            <w:tcW w:w="1329" w:type="dxa"/>
          </w:tcPr>
          <w:p w14:paraId="002BEB52" w14:textId="5B225732"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1.41</w:t>
            </w:r>
          </w:p>
        </w:tc>
        <w:tc>
          <w:tcPr>
            <w:tcW w:w="1155" w:type="dxa"/>
          </w:tcPr>
          <w:p w14:paraId="6C8AC022" w14:textId="5E12F9B2"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1.41</w:t>
            </w:r>
          </w:p>
        </w:tc>
      </w:tr>
      <w:tr w:rsidR="00B70FD0" w:rsidRPr="00B56597" w14:paraId="017A8AD4" w14:textId="21F9C753" w:rsidTr="00682359">
        <w:tc>
          <w:tcPr>
            <w:tcW w:w="4585" w:type="dxa"/>
          </w:tcPr>
          <w:p w14:paraId="0E82398F" w14:textId="49B6E974"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Single Family Comprehensive</w:t>
            </w:r>
          </w:p>
        </w:tc>
        <w:tc>
          <w:tcPr>
            <w:tcW w:w="1213" w:type="dxa"/>
          </w:tcPr>
          <w:p w14:paraId="34E6D90C" w14:textId="6D65E2CB"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MCE07</w:t>
            </w:r>
          </w:p>
        </w:tc>
        <w:tc>
          <w:tcPr>
            <w:tcW w:w="1068" w:type="dxa"/>
          </w:tcPr>
          <w:p w14:paraId="172180BF" w14:textId="2592B2F3"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0.98</w:t>
            </w:r>
          </w:p>
        </w:tc>
        <w:tc>
          <w:tcPr>
            <w:tcW w:w="1329" w:type="dxa"/>
          </w:tcPr>
          <w:p w14:paraId="7B54DBA0" w14:textId="50E7D2E7"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0.98</w:t>
            </w:r>
          </w:p>
        </w:tc>
        <w:tc>
          <w:tcPr>
            <w:tcW w:w="1155" w:type="dxa"/>
          </w:tcPr>
          <w:p w14:paraId="06606F15" w14:textId="4A80DAEF"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0.98</w:t>
            </w:r>
          </w:p>
        </w:tc>
      </w:tr>
      <w:tr w:rsidR="00B70FD0" w:rsidRPr="00B56597" w14:paraId="7A722289" w14:textId="3C922762" w:rsidTr="00682359">
        <w:tc>
          <w:tcPr>
            <w:tcW w:w="4585" w:type="dxa"/>
          </w:tcPr>
          <w:p w14:paraId="552CAAAD" w14:textId="1E0E336C"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Single Family Direct Install</w:t>
            </w:r>
          </w:p>
        </w:tc>
        <w:tc>
          <w:tcPr>
            <w:tcW w:w="1213" w:type="dxa"/>
          </w:tcPr>
          <w:p w14:paraId="2D9C8983" w14:textId="7C2ADF66"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MCE08</w:t>
            </w:r>
          </w:p>
        </w:tc>
        <w:tc>
          <w:tcPr>
            <w:tcW w:w="1068" w:type="dxa"/>
          </w:tcPr>
          <w:p w14:paraId="695443A6" w14:textId="0A3DA4CA"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0.32</w:t>
            </w:r>
          </w:p>
        </w:tc>
        <w:tc>
          <w:tcPr>
            <w:tcW w:w="1329" w:type="dxa"/>
          </w:tcPr>
          <w:p w14:paraId="60B42812" w14:textId="33F661D0"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0.32</w:t>
            </w:r>
          </w:p>
        </w:tc>
        <w:tc>
          <w:tcPr>
            <w:tcW w:w="1155" w:type="dxa"/>
          </w:tcPr>
          <w:p w14:paraId="4DFDC1A1" w14:textId="1434D79A"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0.32</w:t>
            </w:r>
          </w:p>
        </w:tc>
      </w:tr>
      <w:tr w:rsidR="00B70FD0" w:rsidRPr="00B56597" w14:paraId="71A9C453" w14:textId="1AFA0DF7" w:rsidTr="00682359">
        <w:tc>
          <w:tcPr>
            <w:tcW w:w="4585" w:type="dxa"/>
          </w:tcPr>
          <w:p w14:paraId="07A3E679" w14:textId="63C905A8"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Industrial</w:t>
            </w:r>
          </w:p>
        </w:tc>
        <w:tc>
          <w:tcPr>
            <w:tcW w:w="1213" w:type="dxa"/>
          </w:tcPr>
          <w:p w14:paraId="35CD5772" w14:textId="6C58D283"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MCE10</w:t>
            </w:r>
          </w:p>
        </w:tc>
        <w:tc>
          <w:tcPr>
            <w:tcW w:w="1068" w:type="dxa"/>
          </w:tcPr>
          <w:p w14:paraId="21A07FB1" w14:textId="75BF20D5"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1.57</w:t>
            </w:r>
          </w:p>
        </w:tc>
        <w:tc>
          <w:tcPr>
            <w:tcW w:w="1329" w:type="dxa"/>
          </w:tcPr>
          <w:p w14:paraId="254F6386" w14:textId="5BCE79CE"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1.92</w:t>
            </w:r>
          </w:p>
        </w:tc>
        <w:tc>
          <w:tcPr>
            <w:tcW w:w="1155" w:type="dxa"/>
          </w:tcPr>
          <w:p w14:paraId="05F6735B" w14:textId="44685C3D"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1.92</w:t>
            </w:r>
          </w:p>
        </w:tc>
      </w:tr>
      <w:tr w:rsidR="00B70FD0" w:rsidRPr="00B56597" w14:paraId="5BEFA5DB" w14:textId="5AB42D7E" w:rsidTr="00682359">
        <w:tc>
          <w:tcPr>
            <w:tcW w:w="4585" w:type="dxa"/>
          </w:tcPr>
          <w:p w14:paraId="18DD8A48" w14:textId="06AF7401"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Agricultural</w:t>
            </w:r>
          </w:p>
        </w:tc>
        <w:tc>
          <w:tcPr>
            <w:tcW w:w="1213" w:type="dxa"/>
          </w:tcPr>
          <w:p w14:paraId="060EB5D1" w14:textId="155371EA"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MCE11</w:t>
            </w:r>
          </w:p>
        </w:tc>
        <w:tc>
          <w:tcPr>
            <w:tcW w:w="1068" w:type="dxa"/>
          </w:tcPr>
          <w:p w14:paraId="7D61B53D" w14:textId="4D8B4F2F"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1.62</w:t>
            </w:r>
          </w:p>
        </w:tc>
        <w:tc>
          <w:tcPr>
            <w:tcW w:w="1329" w:type="dxa"/>
          </w:tcPr>
          <w:p w14:paraId="2872ECB5" w14:textId="76D0ED16"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1.90</w:t>
            </w:r>
          </w:p>
        </w:tc>
        <w:tc>
          <w:tcPr>
            <w:tcW w:w="1155" w:type="dxa"/>
          </w:tcPr>
          <w:p w14:paraId="4D4226E5" w14:textId="674A494F"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1.90</w:t>
            </w:r>
          </w:p>
        </w:tc>
      </w:tr>
      <w:tr w:rsidR="00B70FD0" w:rsidRPr="00B56597" w14:paraId="25159030" w14:textId="7DDAFD26" w:rsidTr="00682359">
        <w:tc>
          <w:tcPr>
            <w:tcW w:w="4585" w:type="dxa"/>
          </w:tcPr>
          <w:p w14:paraId="13BAB50D" w14:textId="596077ED"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Workforce, Education and Training (WE&amp;T)</w:t>
            </w:r>
          </w:p>
        </w:tc>
        <w:tc>
          <w:tcPr>
            <w:tcW w:w="1213" w:type="dxa"/>
          </w:tcPr>
          <w:p w14:paraId="7CC07C2D" w14:textId="7C03EBE7"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MCE16</w:t>
            </w:r>
          </w:p>
        </w:tc>
        <w:tc>
          <w:tcPr>
            <w:tcW w:w="1068" w:type="dxa"/>
          </w:tcPr>
          <w:p w14:paraId="7F68BCFC" w14:textId="230BF145"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329" w:type="dxa"/>
          </w:tcPr>
          <w:p w14:paraId="70270C73" w14:textId="466DFACF"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155" w:type="dxa"/>
          </w:tcPr>
          <w:p w14:paraId="552E9277" w14:textId="5682FF2C"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r>
      <w:tr w:rsidR="00B70FD0" w:rsidRPr="00B56597" w14:paraId="00D52FBB" w14:textId="77777777" w:rsidTr="00682359">
        <w:tc>
          <w:tcPr>
            <w:tcW w:w="4585" w:type="dxa"/>
          </w:tcPr>
          <w:p w14:paraId="4802935D" w14:textId="18DF6516"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 EM&amp;V</w:t>
            </w:r>
          </w:p>
        </w:tc>
        <w:tc>
          <w:tcPr>
            <w:tcW w:w="1213" w:type="dxa"/>
          </w:tcPr>
          <w:p w14:paraId="25DC20AB" w14:textId="3869FC18" w:rsidR="00B70FD0" w:rsidRPr="00682359" w:rsidRDefault="00B70FD0" w:rsidP="00553381">
            <w:pPr>
              <w:rPr>
                <w:rFonts w:ascii="Times New Roman" w:hAnsi="Times New Roman" w:cs="Times New Roman"/>
                <w:sz w:val="24"/>
                <w:szCs w:val="24"/>
              </w:rPr>
            </w:pPr>
            <w:r w:rsidRPr="00682359">
              <w:rPr>
                <w:rFonts w:ascii="Times New Roman" w:hAnsi="Times New Roman" w:cs="Times New Roman"/>
                <w:sz w:val="24"/>
                <w:szCs w:val="24"/>
              </w:rPr>
              <w:t>MCE98</w:t>
            </w:r>
          </w:p>
        </w:tc>
        <w:tc>
          <w:tcPr>
            <w:tcW w:w="1068" w:type="dxa"/>
          </w:tcPr>
          <w:p w14:paraId="08DDF759" w14:textId="56656DA7"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329" w:type="dxa"/>
          </w:tcPr>
          <w:p w14:paraId="4666BFCA" w14:textId="5393912C"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c>
          <w:tcPr>
            <w:tcW w:w="1155" w:type="dxa"/>
          </w:tcPr>
          <w:p w14:paraId="6ED87389" w14:textId="70633500" w:rsidR="00B70FD0" w:rsidRPr="00682359" w:rsidRDefault="00B70FD0" w:rsidP="00A02003">
            <w:pPr>
              <w:jc w:val="center"/>
              <w:rPr>
                <w:rFonts w:ascii="Times New Roman" w:hAnsi="Times New Roman" w:cs="Times New Roman"/>
                <w:sz w:val="24"/>
                <w:szCs w:val="24"/>
              </w:rPr>
            </w:pPr>
            <w:r w:rsidRPr="00682359">
              <w:rPr>
                <w:rFonts w:ascii="Times New Roman" w:hAnsi="Times New Roman" w:cs="Times New Roman"/>
                <w:sz w:val="24"/>
                <w:szCs w:val="24"/>
              </w:rPr>
              <w:t>0.00</w:t>
            </w:r>
          </w:p>
        </w:tc>
      </w:tr>
    </w:tbl>
    <w:p w14:paraId="06F95B4C" w14:textId="77777777" w:rsidR="00B70FD0" w:rsidRPr="00B56597" w:rsidRDefault="00B70FD0" w:rsidP="00553381">
      <w:pPr>
        <w:rPr>
          <w:rFonts w:ascii="Times New Roman" w:hAnsi="Times New Roman" w:cs="Times New Roman"/>
        </w:rPr>
      </w:pPr>
    </w:p>
    <w:p w14:paraId="49226D33" w14:textId="74B95C20" w:rsidR="00A02003" w:rsidRPr="00B56597" w:rsidRDefault="00A02003" w:rsidP="00B84EF5">
      <w:pPr>
        <w:pStyle w:val="Heading3"/>
        <w:rPr>
          <w:rFonts w:ascii="Times New Roman" w:hAnsi="Times New Roman" w:cs="Times New Roman"/>
        </w:rPr>
      </w:pPr>
      <w:r w:rsidRPr="00B56597">
        <w:rPr>
          <w:rFonts w:ascii="Times New Roman" w:hAnsi="Times New Roman" w:cs="Times New Roman"/>
        </w:rPr>
        <w:t>Forecasted, Claimed, and Evaluated Cost Effectiveness Information for Previous Years</w:t>
      </w:r>
    </w:p>
    <w:p w14:paraId="78FD9023" w14:textId="00D2EB32" w:rsidR="00682359" w:rsidRDefault="00682359" w:rsidP="00682359">
      <w:pPr>
        <w:pStyle w:val="Caption"/>
        <w:keepNext/>
      </w:pPr>
      <w:r>
        <w:t xml:space="preserve">Table </w:t>
      </w:r>
      <w:fldSimple w:instr=" SEQ Table \* ARABIC ">
        <w:r w:rsidR="00E65678">
          <w:rPr>
            <w:noProof/>
          </w:rPr>
          <w:t>6</w:t>
        </w:r>
      </w:fldSimple>
      <w:r>
        <w:t>: Actual Annual Expenditures for MCE Programs for 2018 and 2019</w:t>
      </w:r>
    </w:p>
    <w:tbl>
      <w:tblPr>
        <w:tblW w:w="9540" w:type="dxa"/>
        <w:tblInd w:w="-5" w:type="dxa"/>
        <w:tblLayout w:type="fixed"/>
        <w:tblLook w:val="04A0" w:firstRow="1" w:lastRow="0" w:firstColumn="1" w:lastColumn="0" w:noHBand="0" w:noVBand="1"/>
      </w:tblPr>
      <w:tblGrid>
        <w:gridCol w:w="1170"/>
        <w:gridCol w:w="1800"/>
        <w:gridCol w:w="1710"/>
        <w:gridCol w:w="1620"/>
        <w:gridCol w:w="1620"/>
        <w:gridCol w:w="1620"/>
      </w:tblGrid>
      <w:tr w:rsidR="00B56597" w:rsidRPr="00B56597" w14:paraId="4F23229B" w14:textId="77777777" w:rsidTr="00682359">
        <w:trPr>
          <w:trHeight w:val="377"/>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A788C" w14:textId="68B56904" w:rsidR="00B56597" w:rsidRPr="00B56597" w:rsidRDefault="00B56597" w:rsidP="00B56597">
            <w:pPr>
              <w:rPr>
                <w:rFonts w:ascii="Times New Roman" w:hAnsi="Times New Roman" w:cs="Times New Roman"/>
              </w:rPr>
            </w:pPr>
          </w:p>
        </w:tc>
        <w:tc>
          <w:tcPr>
            <w:tcW w:w="33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FF53E6" w14:textId="77777777" w:rsidR="00B56597" w:rsidRPr="00B56597" w:rsidRDefault="00B56597" w:rsidP="00B56597">
            <w:pPr>
              <w:jc w:val="center"/>
              <w:rPr>
                <w:rFonts w:ascii="Times New Roman" w:hAnsi="Times New Roman" w:cs="Times New Roman"/>
                <w:b/>
              </w:rPr>
            </w:pPr>
            <w:r w:rsidRPr="00B56597">
              <w:rPr>
                <w:rFonts w:ascii="Times New Roman" w:hAnsi="Times New Roman" w:cs="Times New Roman"/>
                <w:b/>
              </w:rPr>
              <w:t>2018</w:t>
            </w:r>
          </w:p>
        </w:tc>
        <w:tc>
          <w:tcPr>
            <w:tcW w:w="3240" w:type="dxa"/>
            <w:gridSpan w:val="2"/>
            <w:tcBorders>
              <w:top w:val="single" w:sz="4" w:space="0" w:color="auto"/>
              <w:left w:val="nil"/>
              <w:bottom w:val="single" w:sz="4" w:space="0" w:color="auto"/>
              <w:right w:val="single" w:sz="4" w:space="0" w:color="000000"/>
            </w:tcBorders>
            <w:shd w:val="clear" w:color="auto" w:fill="auto"/>
            <w:vAlign w:val="center"/>
          </w:tcPr>
          <w:p w14:paraId="40426B82" w14:textId="77777777" w:rsidR="00B56597" w:rsidRPr="00B56597" w:rsidRDefault="00B56597" w:rsidP="00B56597">
            <w:pPr>
              <w:jc w:val="center"/>
              <w:rPr>
                <w:rFonts w:ascii="Times New Roman" w:hAnsi="Times New Roman" w:cs="Times New Roman"/>
                <w:b/>
              </w:rPr>
            </w:pPr>
            <w:r w:rsidRPr="00B56597">
              <w:rPr>
                <w:rFonts w:ascii="Times New Roman" w:hAnsi="Times New Roman" w:cs="Times New Roman"/>
                <w:b/>
              </w:rPr>
              <w:t>2019</w:t>
            </w:r>
          </w:p>
        </w:tc>
      </w:tr>
      <w:tr w:rsidR="00B56597" w:rsidRPr="00B56597" w14:paraId="5D762936" w14:textId="77777777" w:rsidTr="00682359">
        <w:trPr>
          <w:trHeight w:val="64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1F37FFC" w14:textId="77777777" w:rsidR="00B56597" w:rsidRPr="00B56597" w:rsidRDefault="00B56597" w:rsidP="00B56597">
            <w:pPr>
              <w:rPr>
                <w:rFonts w:ascii="Times New Roman" w:hAnsi="Times New Roman" w:cs="Times New Roman"/>
                <w:b/>
                <w:bCs/>
              </w:rPr>
            </w:pPr>
            <w:r w:rsidRPr="00B56597">
              <w:rPr>
                <w:rFonts w:ascii="Times New Roman" w:hAnsi="Times New Roman" w:cs="Times New Roman"/>
                <w:b/>
                <w:bCs/>
              </w:rPr>
              <w:t>Program ID</w:t>
            </w:r>
          </w:p>
        </w:tc>
        <w:tc>
          <w:tcPr>
            <w:tcW w:w="1800" w:type="dxa"/>
            <w:tcBorders>
              <w:top w:val="nil"/>
              <w:left w:val="nil"/>
              <w:bottom w:val="single" w:sz="4" w:space="0" w:color="auto"/>
              <w:right w:val="single" w:sz="4" w:space="0" w:color="auto"/>
            </w:tcBorders>
            <w:shd w:val="clear" w:color="auto" w:fill="auto"/>
            <w:vAlign w:val="center"/>
            <w:hideMark/>
          </w:tcPr>
          <w:p w14:paraId="45819AB2" w14:textId="77777777" w:rsidR="00B56597" w:rsidRPr="00B56597" w:rsidRDefault="00B56597" w:rsidP="00B56597">
            <w:pPr>
              <w:rPr>
                <w:rFonts w:ascii="Times New Roman" w:hAnsi="Times New Roman" w:cs="Times New Roman"/>
                <w:b/>
                <w:bCs/>
              </w:rPr>
            </w:pPr>
            <w:r w:rsidRPr="00B56597">
              <w:rPr>
                <w:rFonts w:ascii="Times New Roman" w:hAnsi="Times New Roman" w:cs="Times New Roman"/>
                <w:b/>
                <w:bCs/>
              </w:rPr>
              <w:t>Program Name</w:t>
            </w:r>
          </w:p>
        </w:tc>
        <w:tc>
          <w:tcPr>
            <w:tcW w:w="1710" w:type="dxa"/>
            <w:tcBorders>
              <w:top w:val="nil"/>
              <w:left w:val="nil"/>
              <w:bottom w:val="single" w:sz="4" w:space="0" w:color="auto"/>
              <w:right w:val="single" w:sz="4" w:space="0" w:color="auto"/>
            </w:tcBorders>
            <w:shd w:val="clear" w:color="auto" w:fill="auto"/>
            <w:vAlign w:val="center"/>
            <w:hideMark/>
          </w:tcPr>
          <w:p w14:paraId="181888B1" w14:textId="77777777" w:rsidR="00B56597" w:rsidRPr="00B56597" w:rsidRDefault="00B56597" w:rsidP="00B56597">
            <w:pPr>
              <w:jc w:val="center"/>
              <w:rPr>
                <w:rFonts w:ascii="Times New Roman" w:hAnsi="Times New Roman" w:cs="Times New Roman"/>
                <w:b/>
                <w:bCs/>
              </w:rPr>
            </w:pPr>
            <w:r w:rsidRPr="00B56597">
              <w:rPr>
                <w:rFonts w:ascii="Times New Roman" w:hAnsi="Times New Roman" w:cs="Times New Roman"/>
                <w:b/>
                <w:bCs/>
              </w:rPr>
              <w:t>Authorized Budget</w:t>
            </w:r>
          </w:p>
        </w:tc>
        <w:tc>
          <w:tcPr>
            <w:tcW w:w="1620" w:type="dxa"/>
            <w:tcBorders>
              <w:top w:val="nil"/>
              <w:left w:val="nil"/>
              <w:bottom w:val="single" w:sz="4" w:space="0" w:color="auto"/>
              <w:right w:val="single" w:sz="4" w:space="0" w:color="auto"/>
            </w:tcBorders>
            <w:shd w:val="clear" w:color="auto" w:fill="auto"/>
            <w:vAlign w:val="center"/>
            <w:hideMark/>
          </w:tcPr>
          <w:p w14:paraId="0040A29B" w14:textId="7F4DF1D4" w:rsidR="00B56597" w:rsidRPr="00B56597" w:rsidRDefault="00682359" w:rsidP="00682359">
            <w:pPr>
              <w:jc w:val="center"/>
              <w:rPr>
                <w:rFonts w:ascii="Times New Roman" w:hAnsi="Times New Roman" w:cs="Times New Roman"/>
                <w:b/>
                <w:bCs/>
              </w:rPr>
            </w:pPr>
            <w:r w:rsidRPr="00682359">
              <w:rPr>
                <w:rFonts w:ascii="Times New Roman" w:hAnsi="Times New Roman" w:cs="Times New Roman"/>
                <w:b/>
                <w:bCs/>
              </w:rPr>
              <w:t xml:space="preserve">Annual </w:t>
            </w:r>
            <w:r w:rsidR="00B56597" w:rsidRPr="00B56597">
              <w:rPr>
                <w:rFonts w:ascii="Times New Roman" w:hAnsi="Times New Roman" w:cs="Times New Roman"/>
                <w:b/>
                <w:bCs/>
              </w:rPr>
              <w:t>Expenditures</w:t>
            </w:r>
          </w:p>
        </w:tc>
        <w:tc>
          <w:tcPr>
            <w:tcW w:w="1620" w:type="dxa"/>
            <w:tcBorders>
              <w:top w:val="nil"/>
              <w:left w:val="nil"/>
              <w:bottom w:val="single" w:sz="4" w:space="0" w:color="auto"/>
              <w:right w:val="single" w:sz="4" w:space="0" w:color="auto"/>
            </w:tcBorders>
            <w:vAlign w:val="center"/>
          </w:tcPr>
          <w:p w14:paraId="138309EC" w14:textId="132DA92B" w:rsidR="00B56597" w:rsidRPr="00B56597" w:rsidRDefault="00B56597" w:rsidP="00682359">
            <w:pPr>
              <w:jc w:val="center"/>
              <w:rPr>
                <w:rFonts w:ascii="Times New Roman" w:hAnsi="Times New Roman" w:cs="Times New Roman"/>
                <w:b/>
                <w:bCs/>
              </w:rPr>
            </w:pPr>
            <w:r w:rsidRPr="00B56597">
              <w:rPr>
                <w:rFonts w:ascii="Times New Roman" w:hAnsi="Times New Roman" w:cs="Times New Roman"/>
                <w:b/>
                <w:bCs/>
              </w:rPr>
              <w:t>Authorized</w:t>
            </w:r>
            <w:r w:rsidR="00682359" w:rsidRPr="00682359">
              <w:rPr>
                <w:rFonts w:ascii="Times New Roman" w:hAnsi="Times New Roman" w:cs="Times New Roman"/>
                <w:b/>
                <w:bCs/>
              </w:rPr>
              <w:t xml:space="preserve"> Budget</w:t>
            </w:r>
          </w:p>
        </w:tc>
        <w:tc>
          <w:tcPr>
            <w:tcW w:w="1620" w:type="dxa"/>
            <w:tcBorders>
              <w:top w:val="nil"/>
              <w:left w:val="nil"/>
              <w:bottom w:val="single" w:sz="4" w:space="0" w:color="auto"/>
              <w:right w:val="single" w:sz="4" w:space="0" w:color="auto"/>
            </w:tcBorders>
            <w:vAlign w:val="center"/>
          </w:tcPr>
          <w:p w14:paraId="65A09B64" w14:textId="01573DA0" w:rsidR="00B56597" w:rsidRPr="00B56597" w:rsidRDefault="00B56597" w:rsidP="00682359">
            <w:pPr>
              <w:jc w:val="center"/>
              <w:rPr>
                <w:rFonts w:ascii="Times New Roman" w:hAnsi="Times New Roman" w:cs="Times New Roman"/>
                <w:b/>
                <w:bCs/>
              </w:rPr>
            </w:pPr>
            <w:r w:rsidRPr="00B56597">
              <w:rPr>
                <w:rFonts w:ascii="Times New Roman" w:hAnsi="Times New Roman" w:cs="Times New Roman"/>
                <w:b/>
                <w:bCs/>
              </w:rPr>
              <w:t>Annual</w:t>
            </w:r>
            <w:r w:rsidR="00682359" w:rsidRPr="00682359">
              <w:rPr>
                <w:rFonts w:ascii="Times New Roman" w:hAnsi="Times New Roman" w:cs="Times New Roman"/>
                <w:b/>
                <w:bCs/>
              </w:rPr>
              <w:t xml:space="preserve"> Expenditures</w:t>
            </w:r>
          </w:p>
        </w:tc>
      </w:tr>
      <w:tr w:rsidR="00B56597" w:rsidRPr="00B56597" w14:paraId="47E7F8C8"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917ED50"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MCE01</w:t>
            </w:r>
          </w:p>
        </w:tc>
        <w:tc>
          <w:tcPr>
            <w:tcW w:w="1800" w:type="dxa"/>
            <w:tcBorders>
              <w:top w:val="nil"/>
              <w:left w:val="nil"/>
              <w:bottom w:val="single" w:sz="4" w:space="0" w:color="auto"/>
              <w:right w:val="single" w:sz="4" w:space="0" w:color="auto"/>
            </w:tcBorders>
            <w:shd w:val="clear" w:color="auto" w:fill="auto"/>
            <w:noWrap/>
            <w:vAlign w:val="bottom"/>
            <w:hideMark/>
          </w:tcPr>
          <w:p w14:paraId="45F7D0BB"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Multifamily</w:t>
            </w:r>
          </w:p>
        </w:tc>
        <w:tc>
          <w:tcPr>
            <w:tcW w:w="1710" w:type="dxa"/>
            <w:tcBorders>
              <w:top w:val="nil"/>
              <w:left w:val="nil"/>
              <w:bottom w:val="single" w:sz="4" w:space="0" w:color="auto"/>
              <w:right w:val="single" w:sz="4" w:space="0" w:color="auto"/>
            </w:tcBorders>
            <w:shd w:val="clear" w:color="auto" w:fill="auto"/>
            <w:noWrap/>
            <w:vAlign w:val="bottom"/>
            <w:hideMark/>
          </w:tcPr>
          <w:p w14:paraId="4F0F7864"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$728,686 </w:t>
            </w:r>
          </w:p>
        </w:tc>
        <w:tc>
          <w:tcPr>
            <w:tcW w:w="1620" w:type="dxa"/>
            <w:tcBorders>
              <w:top w:val="nil"/>
              <w:left w:val="nil"/>
              <w:bottom w:val="single" w:sz="4" w:space="0" w:color="auto"/>
              <w:right w:val="single" w:sz="4" w:space="0" w:color="auto"/>
            </w:tcBorders>
            <w:shd w:val="clear" w:color="auto" w:fill="auto"/>
            <w:noWrap/>
            <w:vAlign w:val="bottom"/>
            <w:hideMark/>
          </w:tcPr>
          <w:p w14:paraId="1F8A61BB"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$558,107 </w:t>
            </w:r>
          </w:p>
        </w:tc>
        <w:tc>
          <w:tcPr>
            <w:tcW w:w="1620" w:type="dxa"/>
            <w:tcBorders>
              <w:top w:val="nil"/>
              <w:left w:val="nil"/>
              <w:bottom w:val="single" w:sz="4" w:space="0" w:color="auto"/>
              <w:right w:val="single" w:sz="4" w:space="0" w:color="auto"/>
            </w:tcBorders>
          </w:tcPr>
          <w:p w14:paraId="1AD40EC3"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$1,074,957</w:t>
            </w:r>
          </w:p>
        </w:tc>
        <w:tc>
          <w:tcPr>
            <w:tcW w:w="1620" w:type="dxa"/>
            <w:tcBorders>
              <w:top w:val="nil"/>
              <w:left w:val="nil"/>
              <w:bottom w:val="single" w:sz="4" w:space="0" w:color="auto"/>
              <w:right w:val="single" w:sz="4" w:space="0" w:color="auto"/>
            </w:tcBorders>
          </w:tcPr>
          <w:p w14:paraId="544721C9"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$585,858</w:t>
            </w:r>
          </w:p>
        </w:tc>
      </w:tr>
      <w:tr w:rsidR="00B56597" w:rsidRPr="00B56597" w14:paraId="6E3C7452"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93FE58D"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MCE02</w:t>
            </w:r>
          </w:p>
        </w:tc>
        <w:tc>
          <w:tcPr>
            <w:tcW w:w="1800" w:type="dxa"/>
            <w:tcBorders>
              <w:top w:val="nil"/>
              <w:left w:val="nil"/>
              <w:bottom w:val="single" w:sz="4" w:space="0" w:color="auto"/>
              <w:right w:val="single" w:sz="4" w:space="0" w:color="auto"/>
            </w:tcBorders>
            <w:shd w:val="clear" w:color="auto" w:fill="auto"/>
            <w:noWrap/>
            <w:vAlign w:val="bottom"/>
            <w:hideMark/>
          </w:tcPr>
          <w:p w14:paraId="13562459"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Commercial</w:t>
            </w:r>
          </w:p>
        </w:tc>
        <w:tc>
          <w:tcPr>
            <w:tcW w:w="1710" w:type="dxa"/>
            <w:tcBorders>
              <w:top w:val="nil"/>
              <w:left w:val="nil"/>
              <w:bottom w:val="single" w:sz="4" w:space="0" w:color="auto"/>
              <w:right w:val="single" w:sz="4" w:space="0" w:color="auto"/>
            </w:tcBorders>
            <w:shd w:val="clear" w:color="auto" w:fill="auto"/>
            <w:noWrap/>
            <w:vAlign w:val="bottom"/>
            <w:hideMark/>
          </w:tcPr>
          <w:p w14:paraId="6ABD20CD"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$816,745 </w:t>
            </w:r>
          </w:p>
        </w:tc>
        <w:tc>
          <w:tcPr>
            <w:tcW w:w="1620" w:type="dxa"/>
            <w:tcBorders>
              <w:top w:val="nil"/>
              <w:left w:val="nil"/>
              <w:bottom w:val="single" w:sz="4" w:space="0" w:color="auto"/>
              <w:right w:val="single" w:sz="4" w:space="0" w:color="auto"/>
            </w:tcBorders>
            <w:shd w:val="clear" w:color="auto" w:fill="auto"/>
            <w:noWrap/>
            <w:vAlign w:val="bottom"/>
            <w:hideMark/>
          </w:tcPr>
          <w:p w14:paraId="74A05AB2"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$617,207 </w:t>
            </w:r>
          </w:p>
        </w:tc>
        <w:tc>
          <w:tcPr>
            <w:tcW w:w="1620" w:type="dxa"/>
            <w:tcBorders>
              <w:top w:val="nil"/>
              <w:left w:val="nil"/>
              <w:bottom w:val="single" w:sz="4" w:space="0" w:color="auto"/>
              <w:right w:val="single" w:sz="4" w:space="0" w:color="auto"/>
            </w:tcBorders>
          </w:tcPr>
          <w:p w14:paraId="46C45307"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$1,185,725</w:t>
            </w:r>
          </w:p>
        </w:tc>
        <w:tc>
          <w:tcPr>
            <w:tcW w:w="1620" w:type="dxa"/>
            <w:tcBorders>
              <w:top w:val="nil"/>
              <w:left w:val="nil"/>
              <w:bottom w:val="single" w:sz="4" w:space="0" w:color="auto"/>
              <w:right w:val="single" w:sz="4" w:space="0" w:color="auto"/>
            </w:tcBorders>
          </w:tcPr>
          <w:p w14:paraId="74B210D3"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$643,277</w:t>
            </w:r>
          </w:p>
        </w:tc>
      </w:tr>
      <w:tr w:rsidR="00B56597" w:rsidRPr="00B56597" w14:paraId="42120D12"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0476FCB"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MCE03</w:t>
            </w:r>
          </w:p>
        </w:tc>
        <w:tc>
          <w:tcPr>
            <w:tcW w:w="1800" w:type="dxa"/>
            <w:tcBorders>
              <w:top w:val="nil"/>
              <w:left w:val="nil"/>
              <w:bottom w:val="single" w:sz="4" w:space="0" w:color="auto"/>
              <w:right w:val="single" w:sz="4" w:space="0" w:color="auto"/>
            </w:tcBorders>
            <w:shd w:val="clear" w:color="auto" w:fill="auto"/>
            <w:noWrap/>
            <w:vAlign w:val="bottom"/>
            <w:hideMark/>
          </w:tcPr>
          <w:p w14:paraId="6F9877EA"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Single Family Seasonal Savings</w:t>
            </w:r>
          </w:p>
        </w:tc>
        <w:tc>
          <w:tcPr>
            <w:tcW w:w="1710" w:type="dxa"/>
            <w:tcBorders>
              <w:top w:val="nil"/>
              <w:left w:val="nil"/>
              <w:bottom w:val="single" w:sz="4" w:space="0" w:color="auto"/>
              <w:right w:val="single" w:sz="4" w:space="0" w:color="auto"/>
            </w:tcBorders>
            <w:shd w:val="clear" w:color="auto" w:fill="auto"/>
            <w:noWrap/>
            <w:vAlign w:val="bottom"/>
            <w:hideMark/>
          </w:tcPr>
          <w:p w14:paraId="473D3C8D"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$232,250 </w:t>
            </w:r>
          </w:p>
        </w:tc>
        <w:tc>
          <w:tcPr>
            <w:tcW w:w="1620" w:type="dxa"/>
            <w:tcBorders>
              <w:top w:val="nil"/>
              <w:left w:val="nil"/>
              <w:bottom w:val="single" w:sz="4" w:space="0" w:color="auto"/>
              <w:right w:val="single" w:sz="4" w:space="0" w:color="auto"/>
            </w:tcBorders>
            <w:shd w:val="clear" w:color="auto" w:fill="auto"/>
            <w:noWrap/>
            <w:vAlign w:val="bottom"/>
            <w:hideMark/>
          </w:tcPr>
          <w:p w14:paraId="1348C079"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$137,360 </w:t>
            </w:r>
          </w:p>
        </w:tc>
        <w:tc>
          <w:tcPr>
            <w:tcW w:w="1620" w:type="dxa"/>
            <w:tcBorders>
              <w:top w:val="nil"/>
              <w:left w:val="nil"/>
              <w:bottom w:val="single" w:sz="4" w:space="0" w:color="auto"/>
              <w:right w:val="single" w:sz="4" w:space="0" w:color="auto"/>
            </w:tcBorders>
            <w:vAlign w:val="center"/>
          </w:tcPr>
          <w:p w14:paraId="690C8DDD" w14:textId="26168AB9"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center"/>
          </w:tcPr>
          <w:p w14:paraId="21AB420F" w14:textId="60F78AF1"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r>
      <w:tr w:rsidR="00B56597" w:rsidRPr="00B56597" w14:paraId="024A87DD"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98C3A4A"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MCE04</w:t>
            </w:r>
          </w:p>
        </w:tc>
        <w:tc>
          <w:tcPr>
            <w:tcW w:w="1800" w:type="dxa"/>
            <w:tcBorders>
              <w:top w:val="nil"/>
              <w:left w:val="nil"/>
              <w:bottom w:val="single" w:sz="4" w:space="0" w:color="auto"/>
              <w:right w:val="single" w:sz="4" w:space="0" w:color="auto"/>
            </w:tcBorders>
            <w:shd w:val="clear" w:color="auto" w:fill="auto"/>
            <w:noWrap/>
            <w:vAlign w:val="bottom"/>
            <w:hideMark/>
          </w:tcPr>
          <w:p w14:paraId="23A4FF0D"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Financing</w:t>
            </w:r>
          </w:p>
        </w:tc>
        <w:tc>
          <w:tcPr>
            <w:tcW w:w="1710" w:type="dxa"/>
            <w:tcBorders>
              <w:top w:val="nil"/>
              <w:left w:val="nil"/>
              <w:bottom w:val="single" w:sz="4" w:space="0" w:color="auto"/>
              <w:right w:val="single" w:sz="4" w:space="0" w:color="auto"/>
            </w:tcBorders>
            <w:shd w:val="clear" w:color="auto" w:fill="auto"/>
            <w:noWrap/>
            <w:vAlign w:val="bottom"/>
            <w:hideMark/>
          </w:tcPr>
          <w:p w14:paraId="0BD96B38"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$27,031 </w:t>
            </w:r>
          </w:p>
        </w:tc>
        <w:tc>
          <w:tcPr>
            <w:tcW w:w="1620" w:type="dxa"/>
            <w:tcBorders>
              <w:top w:val="nil"/>
              <w:left w:val="nil"/>
              <w:bottom w:val="single" w:sz="4" w:space="0" w:color="auto"/>
              <w:right w:val="single" w:sz="4" w:space="0" w:color="auto"/>
            </w:tcBorders>
            <w:shd w:val="clear" w:color="auto" w:fill="auto"/>
            <w:noWrap/>
            <w:vAlign w:val="bottom"/>
            <w:hideMark/>
          </w:tcPr>
          <w:p w14:paraId="2EF3007D"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 xml:space="preserve">$18,524 </w:t>
            </w:r>
          </w:p>
        </w:tc>
        <w:tc>
          <w:tcPr>
            <w:tcW w:w="1620" w:type="dxa"/>
            <w:tcBorders>
              <w:top w:val="nil"/>
              <w:left w:val="nil"/>
              <w:bottom w:val="single" w:sz="4" w:space="0" w:color="auto"/>
              <w:right w:val="single" w:sz="4" w:space="0" w:color="auto"/>
            </w:tcBorders>
            <w:vAlign w:val="center"/>
          </w:tcPr>
          <w:p w14:paraId="3B667747" w14:textId="3C7C77DE"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center"/>
          </w:tcPr>
          <w:p w14:paraId="64FABDA6" w14:textId="2F1D64FF"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r>
      <w:tr w:rsidR="00B56597" w:rsidRPr="00B56597" w14:paraId="38B5993A"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004AD4BF"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MCE05</w:t>
            </w:r>
          </w:p>
        </w:tc>
        <w:tc>
          <w:tcPr>
            <w:tcW w:w="1800" w:type="dxa"/>
            <w:tcBorders>
              <w:top w:val="nil"/>
              <w:left w:val="nil"/>
              <w:bottom w:val="single" w:sz="4" w:space="0" w:color="auto"/>
              <w:right w:val="single" w:sz="4" w:space="0" w:color="auto"/>
            </w:tcBorders>
            <w:shd w:val="clear" w:color="auto" w:fill="auto"/>
            <w:noWrap/>
            <w:vAlign w:val="bottom"/>
          </w:tcPr>
          <w:p w14:paraId="51D0645A"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Multifamily Direct Install</w:t>
            </w:r>
          </w:p>
        </w:tc>
        <w:tc>
          <w:tcPr>
            <w:tcW w:w="1710" w:type="dxa"/>
            <w:tcBorders>
              <w:top w:val="nil"/>
              <w:left w:val="nil"/>
              <w:bottom w:val="single" w:sz="4" w:space="0" w:color="auto"/>
              <w:right w:val="single" w:sz="4" w:space="0" w:color="auto"/>
            </w:tcBorders>
            <w:shd w:val="clear" w:color="auto" w:fill="auto"/>
            <w:noWrap/>
            <w:vAlign w:val="bottom"/>
          </w:tcPr>
          <w:p w14:paraId="42A6ADAD" w14:textId="39868FF5"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0F619F64" w14:textId="693CCA1C"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2F2C7521"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$296,971</w:t>
            </w:r>
          </w:p>
        </w:tc>
        <w:tc>
          <w:tcPr>
            <w:tcW w:w="1620" w:type="dxa"/>
            <w:tcBorders>
              <w:top w:val="nil"/>
              <w:left w:val="nil"/>
              <w:bottom w:val="single" w:sz="4" w:space="0" w:color="auto"/>
              <w:right w:val="single" w:sz="4" w:space="0" w:color="auto"/>
            </w:tcBorders>
            <w:vAlign w:val="bottom"/>
          </w:tcPr>
          <w:p w14:paraId="5796367F"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$158,936</w:t>
            </w:r>
          </w:p>
        </w:tc>
      </w:tr>
      <w:tr w:rsidR="00B56597" w:rsidRPr="00B56597" w14:paraId="59F47626"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29C41FE9"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lastRenderedPageBreak/>
              <w:t>MCE07</w:t>
            </w:r>
          </w:p>
        </w:tc>
        <w:tc>
          <w:tcPr>
            <w:tcW w:w="1800" w:type="dxa"/>
            <w:tcBorders>
              <w:top w:val="nil"/>
              <w:left w:val="nil"/>
              <w:bottom w:val="single" w:sz="4" w:space="0" w:color="auto"/>
              <w:right w:val="single" w:sz="4" w:space="0" w:color="auto"/>
            </w:tcBorders>
            <w:shd w:val="clear" w:color="auto" w:fill="auto"/>
            <w:noWrap/>
            <w:vAlign w:val="bottom"/>
          </w:tcPr>
          <w:p w14:paraId="6408FF51"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SF Comprehensive</w:t>
            </w:r>
          </w:p>
        </w:tc>
        <w:tc>
          <w:tcPr>
            <w:tcW w:w="1710" w:type="dxa"/>
            <w:tcBorders>
              <w:top w:val="nil"/>
              <w:left w:val="nil"/>
              <w:bottom w:val="single" w:sz="4" w:space="0" w:color="auto"/>
              <w:right w:val="single" w:sz="4" w:space="0" w:color="auto"/>
            </w:tcBorders>
            <w:shd w:val="clear" w:color="auto" w:fill="auto"/>
            <w:noWrap/>
            <w:vAlign w:val="bottom"/>
          </w:tcPr>
          <w:p w14:paraId="48379FD1" w14:textId="14F23CF5"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18FAE327" w14:textId="74C7D830"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6BE91AEB"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$1,965,535</w:t>
            </w:r>
          </w:p>
        </w:tc>
        <w:tc>
          <w:tcPr>
            <w:tcW w:w="1620" w:type="dxa"/>
            <w:tcBorders>
              <w:top w:val="nil"/>
              <w:left w:val="nil"/>
              <w:bottom w:val="single" w:sz="4" w:space="0" w:color="auto"/>
              <w:right w:val="single" w:sz="4" w:space="0" w:color="auto"/>
            </w:tcBorders>
            <w:vAlign w:val="bottom"/>
          </w:tcPr>
          <w:p w14:paraId="68BA9BB6"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$295,218</w:t>
            </w:r>
          </w:p>
        </w:tc>
      </w:tr>
      <w:tr w:rsidR="00B56597" w:rsidRPr="00B56597" w14:paraId="069BBB33"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12657243"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MCE08</w:t>
            </w:r>
          </w:p>
        </w:tc>
        <w:tc>
          <w:tcPr>
            <w:tcW w:w="1800" w:type="dxa"/>
            <w:tcBorders>
              <w:top w:val="nil"/>
              <w:left w:val="nil"/>
              <w:bottom w:val="single" w:sz="4" w:space="0" w:color="auto"/>
              <w:right w:val="single" w:sz="4" w:space="0" w:color="auto"/>
            </w:tcBorders>
            <w:shd w:val="clear" w:color="auto" w:fill="auto"/>
            <w:noWrap/>
            <w:vAlign w:val="bottom"/>
          </w:tcPr>
          <w:p w14:paraId="58DD41BD"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Single Family Direct Install</w:t>
            </w:r>
          </w:p>
        </w:tc>
        <w:tc>
          <w:tcPr>
            <w:tcW w:w="1710" w:type="dxa"/>
            <w:tcBorders>
              <w:top w:val="nil"/>
              <w:left w:val="nil"/>
              <w:bottom w:val="single" w:sz="4" w:space="0" w:color="auto"/>
              <w:right w:val="single" w:sz="4" w:space="0" w:color="auto"/>
            </w:tcBorders>
            <w:shd w:val="clear" w:color="auto" w:fill="auto"/>
            <w:noWrap/>
            <w:vAlign w:val="bottom"/>
          </w:tcPr>
          <w:p w14:paraId="3B2FE1DA" w14:textId="34F2D510"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36F83B24" w14:textId="7B633E9F"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6C01B0D6"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$419,501</w:t>
            </w:r>
          </w:p>
        </w:tc>
        <w:tc>
          <w:tcPr>
            <w:tcW w:w="1620" w:type="dxa"/>
            <w:tcBorders>
              <w:top w:val="nil"/>
              <w:left w:val="nil"/>
              <w:bottom w:val="single" w:sz="4" w:space="0" w:color="auto"/>
              <w:right w:val="single" w:sz="4" w:space="0" w:color="auto"/>
            </w:tcBorders>
            <w:vAlign w:val="bottom"/>
          </w:tcPr>
          <w:p w14:paraId="17E9FD01"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$190,211</w:t>
            </w:r>
          </w:p>
        </w:tc>
      </w:tr>
      <w:tr w:rsidR="00B56597" w:rsidRPr="00B56597" w14:paraId="6B8DF40D"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1F6950F9"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MCE10</w:t>
            </w:r>
          </w:p>
        </w:tc>
        <w:tc>
          <w:tcPr>
            <w:tcW w:w="1800" w:type="dxa"/>
            <w:tcBorders>
              <w:top w:val="nil"/>
              <w:left w:val="nil"/>
              <w:bottom w:val="single" w:sz="4" w:space="0" w:color="auto"/>
              <w:right w:val="single" w:sz="4" w:space="0" w:color="auto"/>
            </w:tcBorders>
            <w:shd w:val="clear" w:color="auto" w:fill="auto"/>
            <w:noWrap/>
            <w:vAlign w:val="bottom"/>
          </w:tcPr>
          <w:p w14:paraId="265411D6"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Industrial</w:t>
            </w:r>
          </w:p>
        </w:tc>
        <w:tc>
          <w:tcPr>
            <w:tcW w:w="1710" w:type="dxa"/>
            <w:tcBorders>
              <w:top w:val="nil"/>
              <w:left w:val="nil"/>
              <w:bottom w:val="single" w:sz="4" w:space="0" w:color="auto"/>
              <w:right w:val="single" w:sz="4" w:space="0" w:color="auto"/>
            </w:tcBorders>
            <w:shd w:val="clear" w:color="auto" w:fill="auto"/>
            <w:noWrap/>
            <w:vAlign w:val="bottom"/>
          </w:tcPr>
          <w:p w14:paraId="023D0D1F" w14:textId="3E093D76"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7B2D1196" w14:textId="125A7FC1"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0B089199"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$690,423</w:t>
            </w:r>
          </w:p>
        </w:tc>
        <w:tc>
          <w:tcPr>
            <w:tcW w:w="1620" w:type="dxa"/>
            <w:tcBorders>
              <w:top w:val="nil"/>
              <w:left w:val="nil"/>
              <w:bottom w:val="single" w:sz="4" w:space="0" w:color="auto"/>
              <w:right w:val="single" w:sz="4" w:space="0" w:color="auto"/>
            </w:tcBorders>
            <w:vAlign w:val="bottom"/>
          </w:tcPr>
          <w:p w14:paraId="62C64690"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$113,244</w:t>
            </w:r>
          </w:p>
        </w:tc>
      </w:tr>
      <w:tr w:rsidR="00B56597" w:rsidRPr="00B56597" w14:paraId="16F7C2BA"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FD88C96"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MCE11</w:t>
            </w:r>
          </w:p>
        </w:tc>
        <w:tc>
          <w:tcPr>
            <w:tcW w:w="1800" w:type="dxa"/>
            <w:tcBorders>
              <w:top w:val="nil"/>
              <w:left w:val="nil"/>
              <w:bottom w:val="single" w:sz="4" w:space="0" w:color="auto"/>
              <w:right w:val="single" w:sz="4" w:space="0" w:color="auto"/>
            </w:tcBorders>
            <w:shd w:val="clear" w:color="auto" w:fill="auto"/>
            <w:noWrap/>
            <w:vAlign w:val="bottom"/>
          </w:tcPr>
          <w:p w14:paraId="719625B0"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Agricultural</w:t>
            </w:r>
          </w:p>
        </w:tc>
        <w:tc>
          <w:tcPr>
            <w:tcW w:w="1710" w:type="dxa"/>
            <w:tcBorders>
              <w:top w:val="nil"/>
              <w:left w:val="nil"/>
              <w:bottom w:val="single" w:sz="4" w:space="0" w:color="auto"/>
              <w:right w:val="single" w:sz="4" w:space="0" w:color="auto"/>
            </w:tcBorders>
            <w:shd w:val="clear" w:color="auto" w:fill="auto"/>
            <w:noWrap/>
            <w:vAlign w:val="bottom"/>
          </w:tcPr>
          <w:p w14:paraId="2830D0EB" w14:textId="3B53532C"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73CB8423" w14:textId="00D2B45B"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61991877"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$766,449</w:t>
            </w:r>
          </w:p>
        </w:tc>
        <w:tc>
          <w:tcPr>
            <w:tcW w:w="1620" w:type="dxa"/>
            <w:tcBorders>
              <w:top w:val="nil"/>
              <w:left w:val="nil"/>
              <w:bottom w:val="single" w:sz="4" w:space="0" w:color="auto"/>
              <w:right w:val="single" w:sz="4" w:space="0" w:color="auto"/>
            </w:tcBorders>
            <w:vAlign w:val="bottom"/>
          </w:tcPr>
          <w:p w14:paraId="494C80D8"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$93,617</w:t>
            </w:r>
          </w:p>
        </w:tc>
      </w:tr>
      <w:tr w:rsidR="00B56597" w:rsidRPr="00B56597" w14:paraId="3E259133"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9F60E65"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MCE16</w:t>
            </w:r>
          </w:p>
        </w:tc>
        <w:tc>
          <w:tcPr>
            <w:tcW w:w="1800" w:type="dxa"/>
            <w:tcBorders>
              <w:top w:val="nil"/>
              <w:left w:val="nil"/>
              <w:bottom w:val="single" w:sz="4" w:space="0" w:color="auto"/>
              <w:right w:val="single" w:sz="4" w:space="0" w:color="auto"/>
            </w:tcBorders>
            <w:shd w:val="clear" w:color="auto" w:fill="auto"/>
            <w:noWrap/>
            <w:vAlign w:val="bottom"/>
          </w:tcPr>
          <w:p w14:paraId="2F9314B4"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WE&amp;T</w:t>
            </w:r>
          </w:p>
        </w:tc>
        <w:tc>
          <w:tcPr>
            <w:tcW w:w="1710" w:type="dxa"/>
            <w:tcBorders>
              <w:top w:val="nil"/>
              <w:left w:val="nil"/>
              <w:bottom w:val="single" w:sz="4" w:space="0" w:color="auto"/>
              <w:right w:val="single" w:sz="4" w:space="0" w:color="auto"/>
            </w:tcBorders>
            <w:shd w:val="clear" w:color="auto" w:fill="auto"/>
            <w:noWrap/>
            <w:vAlign w:val="bottom"/>
          </w:tcPr>
          <w:p w14:paraId="388E1954" w14:textId="08B9EAC0"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shd w:val="clear" w:color="auto" w:fill="auto"/>
            <w:noWrap/>
            <w:vAlign w:val="bottom"/>
          </w:tcPr>
          <w:p w14:paraId="3E6E807C" w14:textId="44D8ED8A" w:rsidR="00B56597" w:rsidRPr="00B56597" w:rsidRDefault="00B56597" w:rsidP="00B56597">
            <w:pPr>
              <w:jc w:val="right"/>
              <w:rPr>
                <w:rFonts w:ascii="Times New Roman" w:hAnsi="Times New Roman" w:cs="Times New Roman"/>
              </w:rPr>
            </w:pPr>
            <w:r w:rsidRPr="00682359">
              <w:rPr>
                <w:rFonts w:ascii="Times New Roman" w:hAnsi="Times New Roman" w:cs="Times New Roman"/>
              </w:rPr>
              <w:t>n/a</w:t>
            </w:r>
          </w:p>
        </w:tc>
        <w:tc>
          <w:tcPr>
            <w:tcW w:w="1620" w:type="dxa"/>
            <w:tcBorders>
              <w:top w:val="nil"/>
              <w:left w:val="nil"/>
              <w:bottom w:val="single" w:sz="4" w:space="0" w:color="auto"/>
              <w:right w:val="single" w:sz="4" w:space="0" w:color="auto"/>
            </w:tcBorders>
            <w:vAlign w:val="bottom"/>
          </w:tcPr>
          <w:p w14:paraId="3043EE23"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$160,000</w:t>
            </w:r>
          </w:p>
        </w:tc>
        <w:tc>
          <w:tcPr>
            <w:tcW w:w="1620" w:type="dxa"/>
            <w:tcBorders>
              <w:top w:val="nil"/>
              <w:left w:val="nil"/>
              <w:bottom w:val="single" w:sz="4" w:space="0" w:color="auto"/>
              <w:right w:val="single" w:sz="4" w:space="0" w:color="auto"/>
            </w:tcBorders>
            <w:vAlign w:val="bottom"/>
          </w:tcPr>
          <w:p w14:paraId="39138D6E"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$0</w:t>
            </w:r>
          </w:p>
        </w:tc>
      </w:tr>
      <w:tr w:rsidR="00B56597" w:rsidRPr="00B56597" w14:paraId="278BC4C3"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42401C02"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MCE98</w:t>
            </w:r>
          </w:p>
        </w:tc>
        <w:tc>
          <w:tcPr>
            <w:tcW w:w="1800" w:type="dxa"/>
            <w:tcBorders>
              <w:top w:val="nil"/>
              <w:left w:val="nil"/>
              <w:bottom w:val="single" w:sz="4" w:space="0" w:color="auto"/>
              <w:right w:val="single" w:sz="4" w:space="0" w:color="auto"/>
            </w:tcBorders>
            <w:shd w:val="clear" w:color="auto" w:fill="auto"/>
            <w:noWrap/>
            <w:vAlign w:val="bottom"/>
          </w:tcPr>
          <w:p w14:paraId="307F4155" w14:textId="77777777" w:rsidR="00B56597" w:rsidRPr="00B56597" w:rsidRDefault="00B56597" w:rsidP="00B56597">
            <w:pPr>
              <w:rPr>
                <w:rFonts w:ascii="Times New Roman" w:hAnsi="Times New Roman" w:cs="Times New Roman"/>
              </w:rPr>
            </w:pPr>
            <w:r w:rsidRPr="00B56597">
              <w:rPr>
                <w:rFonts w:ascii="Times New Roman" w:hAnsi="Times New Roman" w:cs="Times New Roman"/>
              </w:rPr>
              <w:t>EM&amp;V</w:t>
            </w:r>
          </w:p>
        </w:tc>
        <w:tc>
          <w:tcPr>
            <w:tcW w:w="1710" w:type="dxa"/>
            <w:tcBorders>
              <w:top w:val="nil"/>
              <w:left w:val="nil"/>
              <w:bottom w:val="single" w:sz="4" w:space="0" w:color="auto"/>
              <w:right w:val="single" w:sz="4" w:space="0" w:color="auto"/>
            </w:tcBorders>
            <w:shd w:val="clear" w:color="auto" w:fill="auto"/>
            <w:noWrap/>
            <w:vAlign w:val="bottom"/>
          </w:tcPr>
          <w:p w14:paraId="1CFA3418"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$30,029</w:t>
            </w:r>
          </w:p>
        </w:tc>
        <w:tc>
          <w:tcPr>
            <w:tcW w:w="1620" w:type="dxa"/>
            <w:tcBorders>
              <w:top w:val="nil"/>
              <w:left w:val="nil"/>
              <w:bottom w:val="single" w:sz="4" w:space="0" w:color="auto"/>
              <w:right w:val="single" w:sz="4" w:space="0" w:color="auto"/>
            </w:tcBorders>
            <w:shd w:val="clear" w:color="auto" w:fill="auto"/>
            <w:noWrap/>
            <w:vAlign w:val="bottom"/>
          </w:tcPr>
          <w:p w14:paraId="45AD4ADE"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$16,590</w:t>
            </w:r>
          </w:p>
        </w:tc>
        <w:tc>
          <w:tcPr>
            <w:tcW w:w="1620" w:type="dxa"/>
            <w:tcBorders>
              <w:top w:val="nil"/>
              <w:left w:val="nil"/>
              <w:bottom w:val="single" w:sz="4" w:space="0" w:color="auto"/>
              <w:right w:val="single" w:sz="4" w:space="0" w:color="auto"/>
            </w:tcBorders>
            <w:vAlign w:val="bottom"/>
          </w:tcPr>
          <w:p w14:paraId="241E11CC"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$111,143</w:t>
            </w:r>
          </w:p>
        </w:tc>
        <w:tc>
          <w:tcPr>
            <w:tcW w:w="1620" w:type="dxa"/>
            <w:tcBorders>
              <w:top w:val="nil"/>
              <w:left w:val="nil"/>
              <w:bottom w:val="single" w:sz="4" w:space="0" w:color="auto"/>
              <w:right w:val="single" w:sz="4" w:space="0" w:color="auto"/>
            </w:tcBorders>
            <w:vAlign w:val="bottom"/>
          </w:tcPr>
          <w:p w14:paraId="309D8F36" w14:textId="77777777" w:rsidR="00B56597" w:rsidRPr="00B56597" w:rsidRDefault="00B56597" w:rsidP="00B56597">
            <w:pPr>
              <w:jc w:val="right"/>
              <w:rPr>
                <w:rFonts w:ascii="Times New Roman" w:hAnsi="Times New Roman" w:cs="Times New Roman"/>
              </w:rPr>
            </w:pPr>
            <w:r w:rsidRPr="00B56597">
              <w:rPr>
                <w:rFonts w:ascii="Times New Roman" w:hAnsi="Times New Roman" w:cs="Times New Roman"/>
              </w:rPr>
              <w:t>$95,351</w:t>
            </w:r>
          </w:p>
        </w:tc>
      </w:tr>
      <w:tr w:rsidR="00B56597" w:rsidRPr="00B56597" w14:paraId="34862B67" w14:textId="77777777" w:rsidTr="00682359">
        <w:trPr>
          <w:trHeight w:val="30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80844E2" w14:textId="77777777" w:rsidR="00B56597" w:rsidRPr="00B56597" w:rsidRDefault="00B56597" w:rsidP="00B56597">
            <w:pPr>
              <w:rPr>
                <w:rFonts w:ascii="Times New Roman" w:hAnsi="Times New Roman" w:cs="Times New Roman"/>
                <w:b/>
                <w:bCs/>
              </w:rPr>
            </w:pPr>
            <w:r w:rsidRPr="00B56597">
              <w:rPr>
                <w:rFonts w:ascii="Times New Roman" w:hAnsi="Times New Roman" w:cs="Times New Roman"/>
                <w:b/>
                <w:bCs/>
              </w:rPr>
              <w:t>Portfolio Total</w:t>
            </w:r>
          </w:p>
        </w:tc>
        <w:tc>
          <w:tcPr>
            <w:tcW w:w="1800" w:type="dxa"/>
            <w:tcBorders>
              <w:top w:val="nil"/>
              <w:left w:val="nil"/>
              <w:bottom w:val="single" w:sz="4" w:space="0" w:color="auto"/>
              <w:right w:val="single" w:sz="4" w:space="0" w:color="auto"/>
            </w:tcBorders>
            <w:shd w:val="clear" w:color="auto" w:fill="auto"/>
            <w:noWrap/>
            <w:vAlign w:val="center"/>
            <w:hideMark/>
          </w:tcPr>
          <w:p w14:paraId="304755FD" w14:textId="77777777" w:rsidR="00B56597" w:rsidRPr="00B56597" w:rsidRDefault="00B56597" w:rsidP="00B56597">
            <w:pPr>
              <w:rPr>
                <w:rFonts w:ascii="Times New Roman" w:hAnsi="Times New Roman" w:cs="Times New Roman"/>
                <w:b/>
                <w:bCs/>
              </w:rPr>
            </w:pPr>
            <w:r w:rsidRPr="00B56597">
              <w:rPr>
                <w:rFonts w:ascii="Times New Roman" w:hAnsi="Times New Roman" w:cs="Times New Roman"/>
                <w:b/>
                <w:bCs/>
              </w:rPr>
              <w:t>Portfolio</w:t>
            </w:r>
          </w:p>
        </w:tc>
        <w:tc>
          <w:tcPr>
            <w:tcW w:w="1710" w:type="dxa"/>
            <w:tcBorders>
              <w:top w:val="nil"/>
              <w:left w:val="nil"/>
              <w:bottom w:val="single" w:sz="4" w:space="0" w:color="auto"/>
              <w:right w:val="single" w:sz="4" w:space="0" w:color="auto"/>
            </w:tcBorders>
            <w:shd w:val="clear" w:color="auto" w:fill="auto"/>
            <w:noWrap/>
            <w:vAlign w:val="center"/>
            <w:hideMark/>
          </w:tcPr>
          <w:p w14:paraId="3BBA941E" w14:textId="77777777" w:rsidR="00B56597" w:rsidRPr="00B56597" w:rsidRDefault="00B56597" w:rsidP="00B56597">
            <w:pPr>
              <w:jc w:val="right"/>
              <w:rPr>
                <w:rFonts w:ascii="Times New Roman" w:hAnsi="Times New Roman" w:cs="Times New Roman"/>
                <w:b/>
                <w:bCs/>
              </w:rPr>
            </w:pPr>
            <w:r w:rsidRPr="00B56597">
              <w:rPr>
                <w:rFonts w:ascii="Times New Roman" w:hAnsi="Times New Roman" w:cs="Times New Roman"/>
                <w:b/>
                <w:bCs/>
              </w:rPr>
              <w:t xml:space="preserve">$1,831,741 </w:t>
            </w:r>
          </w:p>
        </w:tc>
        <w:tc>
          <w:tcPr>
            <w:tcW w:w="1620" w:type="dxa"/>
            <w:tcBorders>
              <w:top w:val="nil"/>
              <w:left w:val="nil"/>
              <w:bottom w:val="single" w:sz="4" w:space="0" w:color="auto"/>
              <w:right w:val="single" w:sz="4" w:space="0" w:color="auto"/>
            </w:tcBorders>
            <w:shd w:val="clear" w:color="auto" w:fill="auto"/>
            <w:noWrap/>
            <w:vAlign w:val="center"/>
            <w:hideMark/>
          </w:tcPr>
          <w:p w14:paraId="7FD10821" w14:textId="77777777" w:rsidR="00B56597" w:rsidRPr="00B56597" w:rsidRDefault="00B56597" w:rsidP="00B56597">
            <w:pPr>
              <w:jc w:val="right"/>
              <w:rPr>
                <w:rFonts w:ascii="Times New Roman" w:hAnsi="Times New Roman" w:cs="Times New Roman"/>
                <w:b/>
                <w:bCs/>
              </w:rPr>
            </w:pPr>
            <w:r w:rsidRPr="00B56597">
              <w:rPr>
                <w:rFonts w:ascii="Times New Roman" w:hAnsi="Times New Roman" w:cs="Times New Roman"/>
                <w:b/>
                <w:bCs/>
              </w:rPr>
              <w:t>$1,347,788</w:t>
            </w:r>
          </w:p>
        </w:tc>
        <w:tc>
          <w:tcPr>
            <w:tcW w:w="1620" w:type="dxa"/>
            <w:tcBorders>
              <w:top w:val="nil"/>
              <w:left w:val="nil"/>
              <w:bottom w:val="single" w:sz="4" w:space="0" w:color="auto"/>
              <w:right w:val="single" w:sz="4" w:space="0" w:color="auto"/>
            </w:tcBorders>
            <w:vAlign w:val="center"/>
          </w:tcPr>
          <w:p w14:paraId="1131D3E6" w14:textId="77777777" w:rsidR="00B56597" w:rsidRPr="00B56597" w:rsidRDefault="00B56597" w:rsidP="00B56597">
            <w:pPr>
              <w:jc w:val="right"/>
              <w:rPr>
                <w:rFonts w:ascii="Times New Roman" w:hAnsi="Times New Roman" w:cs="Times New Roman"/>
                <w:b/>
                <w:bCs/>
              </w:rPr>
            </w:pPr>
            <w:r w:rsidRPr="00B56597">
              <w:rPr>
                <w:rFonts w:ascii="Times New Roman" w:hAnsi="Times New Roman" w:cs="Times New Roman"/>
                <w:b/>
                <w:bCs/>
              </w:rPr>
              <w:t>$6,779,704</w:t>
            </w:r>
          </w:p>
        </w:tc>
        <w:tc>
          <w:tcPr>
            <w:tcW w:w="1620" w:type="dxa"/>
            <w:tcBorders>
              <w:top w:val="nil"/>
              <w:left w:val="nil"/>
              <w:bottom w:val="single" w:sz="4" w:space="0" w:color="auto"/>
              <w:right w:val="single" w:sz="4" w:space="0" w:color="auto"/>
            </w:tcBorders>
            <w:vAlign w:val="center"/>
          </w:tcPr>
          <w:p w14:paraId="3F9AE669" w14:textId="77777777" w:rsidR="00B56597" w:rsidRPr="00B56597" w:rsidRDefault="00B56597" w:rsidP="00B56597">
            <w:pPr>
              <w:jc w:val="right"/>
              <w:rPr>
                <w:rFonts w:ascii="Times New Roman" w:hAnsi="Times New Roman" w:cs="Times New Roman"/>
                <w:b/>
                <w:bCs/>
              </w:rPr>
            </w:pPr>
            <w:r w:rsidRPr="00B56597">
              <w:rPr>
                <w:rFonts w:ascii="Times New Roman" w:hAnsi="Times New Roman" w:cs="Times New Roman"/>
                <w:b/>
                <w:bCs/>
              </w:rPr>
              <w:t>$2,262,703</w:t>
            </w:r>
          </w:p>
        </w:tc>
      </w:tr>
    </w:tbl>
    <w:p w14:paraId="2F3A118E" w14:textId="77777777" w:rsidR="00E65678" w:rsidRDefault="00E65678" w:rsidP="00682359">
      <w:pPr>
        <w:pStyle w:val="Caption"/>
        <w:keepNext/>
      </w:pPr>
    </w:p>
    <w:p w14:paraId="1D3C2E80" w14:textId="457B88C0" w:rsidR="00682359" w:rsidRDefault="00682359" w:rsidP="00682359">
      <w:pPr>
        <w:pStyle w:val="Caption"/>
        <w:keepNext/>
      </w:pPr>
      <w:r>
        <w:t xml:space="preserve">Table </w:t>
      </w:r>
      <w:fldSimple w:instr=" SEQ Table \* ARABIC ">
        <w:r w:rsidR="00E65678">
          <w:rPr>
            <w:noProof/>
          </w:rPr>
          <w:t>7</w:t>
        </w:r>
      </w:fldSimple>
      <w:r>
        <w:t>: Claimed TRC and PAC for MCE EE Programs for 2018 and 2019</w:t>
      </w:r>
    </w:p>
    <w:tbl>
      <w:tblPr>
        <w:tblW w:w="6175" w:type="dxa"/>
        <w:tblLook w:val="04A0" w:firstRow="1" w:lastRow="0" w:firstColumn="1" w:lastColumn="0" w:noHBand="0" w:noVBand="1"/>
      </w:tblPr>
      <w:tblGrid>
        <w:gridCol w:w="995"/>
        <w:gridCol w:w="1970"/>
        <w:gridCol w:w="1650"/>
        <w:gridCol w:w="1560"/>
      </w:tblGrid>
      <w:tr w:rsidR="00682359" w:rsidRPr="00682359" w14:paraId="1CA41B3C"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8704"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bookmarkStart w:id="0" w:name="_Hlk15456840"/>
            <w:bookmarkStart w:id="1" w:name="_Hlk15456878"/>
            <w:r w:rsidRPr="00682359">
              <w:rPr>
                <w:rFonts w:ascii="Times New Roman" w:eastAsia="Times New Roman" w:hAnsi="Times New Roman" w:cs="Times New Roman"/>
                <w:b/>
                <w:bCs/>
                <w:sz w:val="24"/>
                <w:szCs w:val="24"/>
              </w:rPr>
              <w:t>Year</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14:paraId="5F8E7287"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Program</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76CC8938"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TRC Ratio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FB923EE"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PAC Ratio</w:t>
            </w:r>
          </w:p>
        </w:tc>
      </w:tr>
      <w:tr w:rsidR="00682359" w:rsidRPr="00682359" w14:paraId="4D518B55"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581FF"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970" w:type="dxa"/>
            <w:tcBorders>
              <w:top w:val="single" w:sz="4" w:space="0" w:color="auto"/>
              <w:left w:val="nil"/>
              <w:bottom w:val="single" w:sz="4" w:space="0" w:color="auto"/>
              <w:right w:val="single" w:sz="4" w:space="0" w:color="auto"/>
            </w:tcBorders>
            <w:shd w:val="clear" w:color="auto" w:fill="auto"/>
            <w:noWrap/>
            <w:vAlign w:val="bottom"/>
          </w:tcPr>
          <w:p w14:paraId="7448EC20"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Commercial</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2C977552"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0.48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97CA1A1"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0.49</w:t>
            </w:r>
          </w:p>
        </w:tc>
      </w:tr>
      <w:tr w:rsidR="00682359" w:rsidRPr="00682359" w14:paraId="3728E5CA"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B20A8"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970" w:type="dxa"/>
            <w:tcBorders>
              <w:top w:val="single" w:sz="4" w:space="0" w:color="auto"/>
              <w:left w:val="nil"/>
              <w:bottom w:val="single" w:sz="4" w:space="0" w:color="auto"/>
              <w:right w:val="single" w:sz="4" w:space="0" w:color="auto"/>
            </w:tcBorders>
            <w:shd w:val="clear" w:color="auto" w:fill="auto"/>
            <w:noWrap/>
            <w:vAlign w:val="bottom"/>
          </w:tcPr>
          <w:p w14:paraId="5F00B2A2"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38D1D661"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0.21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1A25C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0.4</w:t>
            </w:r>
          </w:p>
        </w:tc>
      </w:tr>
      <w:tr w:rsidR="00682359" w:rsidRPr="00682359" w14:paraId="2FBFCCEE"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458B1"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970" w:type="dxa"/>
            <w:tcBorders>
              <w:top w:val="single" w:sz="4" w:space="0" w:color="auto"/>
              <w:left w:val="nil"/>
              <w:bottom w:val="single" w:sz="4" w:space="0" w:color="auto"/>
              <w:right w:val="single" w:sz="4" w:space="0" w:color="auto"/>
            </w:tcBorders>
            <w:shd w:val="clear" w:color="auto" w:fill="auto"/>
            <w:noWrap/>
            <w:vAlign w:val="bottom"/>
          </w:tcPr>
          <w:p w14:paraId="3CCB3DC4"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5C0D5C45"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2.12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799BBA1"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2.12</w:t>
            </w:r>
          </w:p>
        </w:tc>
      </w:tr>
      <w:tr w:rsidR="00682359" w:rsidRPr="00682359" w14:paraId="19A34DE2"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59E33"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970" w:type="dxa"/>
            <w:tcBorders>
              <w:top w:val="single" w:sz="4" w:space="0" w:color="auto"/>
              <w:left w:val="nil"/>
              <w:bottom w:val="single" w:sz="4" w:space="0" w:color="auto"/>
              <w:right w:val="single" w:sz="4" w:space="0" w:color="auto"/>
            </w:tcBorders>
            <w:shd w:val="clear" w:color="auto" w:fill="auto"/>
            <w:noWrap/>
            <w:vAlign w:val="bottom"/>
          </w:tcPr>
          <w:p w14:paraId="7A32FF43"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 DI</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1177AD8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7497F3E"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0.00</w:t>
            </w:r>
          </w:p>
        </w:tc>
      </w:tr>
      <w:tr w:rsidR="00682359" w:rsidRPr="00682359" w14:paraId="3AE40EF7" w14:textId="77777777" w:rsidTr="00682359">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FA135"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970" w:type="dxa"/>
            <w:tcBorders>
              <w:top w:val="single" w:sz="4" w:space="0" w:color="auto"/>
              <w:left w:val="nil"/>
              <w:bottom w:val="single" w:sz="4" w:space="0" w:color="auto"/>
              <w:right w:val="single" w:sz="4" w:space="0" w:color="auto"/>
            </w:tcBorders>
            <w:shd w:val="clear" w:color="auto" w:fill="auto"/>
            <w:noWrap/>
            <w:vAlign w:val="bottom"/>
          </w:tcPr>
          <w:p w14:paraId="0C083A62"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 DI</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32B48A0F"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0.09</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3212DB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0.09</w:t>
            </w:r>
          </w:p>
        </w:tc>
      </w:tr>
      <w:tr w:rsidR="00682359" w:rsidRPr="00682359" w14:paraId="0A09D643" w14:textId="77777777" w:rsidTr="00682359">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A1EDDC4"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970" w:type="dxa"/>
            <w:tcBorders>
              <w:top w:val="nil"/>
              <w:left w:val="nil"/>
              <w:bottom w:val="single" w:sz="4" w:space="0" w:color="auto"/>
              <w:right w:val="single" w:sz="4" w:space="0" w:color="auto"/>
            </w:tcBorders>
            <w:shd w:val="clear" w:color="auto" w:fill="auto"/>
            <w:noWrap/>
            <w:vAlign w:val="bottom"/>
            <w:hideMark/>
          </w:tcPr>
          <w:p w14:paraId="6D2E7F58"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Commercial</w:t>
            </w:r>
          </w:p>
        </w:tc>
        <w:tc>
          <w:tcPr>
            <w:tcW w:w="1650" w:type="dxa"/>
            <w:tcBorders>
              <w:top w:val="nil"/>
              <w:left w:val="nil"/>
              <w:bottom w:val="single" w:sz="4" w:space="0" w:color="auto"/>
              <w:right w:val="single" w:sz="4" w:space="0" w:color="auto"/>
            </w:tcBorders>
            <w:shd w:val="clear" w:color="auto" w:fill="auto"/>
            <w:noWrap/>
            <w:vAlign w:val="bottom"/>
            <w:hideMark/>
          </w:tcPr>
          <w:p w14:paraId="2BD83653"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1.04</w:t>
            </w:r>
          </w:p>
        </w:tc>
        <w:tc>
          <w:tcPr>
            <w:tcW w:w="1560" w:type="dxa"/>
            <w:tcBorders>
              <w:top w:val="nil"/>
              <w:left w:val="nil"/>
              <w:bottom w:val="single" w:sz="4" w:space="0" w:color="auto"/>
              <w:right w:val="single" w:sz="4" w:space="0" w:color="auto"/>
            </w:tcBorders>
            <w:shd w:val="clear" w:color="auto" w:fill="auto"/>
            <w:noWrap/>
            <w:vAlign w:val="bottom"/>
            <w:hideMark/>
          </w:tcPr>
          <w:p w14:paraId="20A8E29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1.21</w:t>
            </w:r>
          </w:p>
        </w:tc>
      </w:tr>
      <w:tr w:rsidR="00682359" w:rsidRPr="00682359" w14:paraId="69F004ED" w14:textId="77777777" w:rsidTr="00682359">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366D712D"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970" w:type="dxa"/>
            <w:tcBorders>
              <w:top w:val="nil"/>
              <w:left w:val="nil"/>
              <w:bottom w:val="single" w:sz="4" w:space="0" w:color="auto"/>
              <w:right w:val="single" w:sz="4" w:space="0" w:color="auto"/>
            </w:tcBorders>
            <w:shd w:val="clear" w:color="auto" w:fill="auto"/>
            <w:noWrap/>
            <w:vAlign w:val="bottom"/>
            <w:hideMark/>
          </w:tcPr>
          <w:p w14:paraId="1F9BA4F7"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w:t>
            </w:r>
          </w:p>
        </w:tc>
        <w:tc>
          <w:tcPr>
            <w:tcW w:w="1650" w:type="dxa"/>
            <w:tcBorders>
              <w:top w:val="nil"/>
              <w:left w:val="nil"/>
              <w:bottom w:val="single" w:sz="4" w:space="0" w:color="auto"/>
              <w:right w:val="single" w:sz="4" w:space="0" w:color="auto"/>
            </w:tcBorders>
            <w:shd w:val="clear" w:color="auto" w:fill="auto"/>
            <w:noWrap/>
            <w:vAlign w:val="bottom"/>
            <w:hideMark/>
          </w:tcPr>
          <w:p w14:paraId="31145480"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0.12</w:t>
            </w:r>
          </w:p>
        </w:tc>
        <w:tc>
          <w:tcPr>
            <w:tcW w:w="1560" w:type="dxa"/>
            <w:tcBorders>
              <w:top w:val="nil"/>
              <w:left w:val="nil"/>
              <w:bottom w:val="single" w:sz="4" w:space="0" w:color="auto"/>
              <w:right w:val="single" w:sz="4" w:space="0" w:color="auto"/>
            </w:tcBorders>
            <w:shd w:val="clear" w:color="auto" w:fill="auto"/>
            <w:noWrap/>
            <w:vAlign w:val="bottom"/>
            <w:hideMark/>
          </w:tcPr>
          <w:p w14:paraId="73FA71E3"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0.67</w:t>
            </w:r>
          </w:p>
        </w:tc>
      </w:tr>
      <w:tr w:rsidR="00682359" w:rsidRPr="00682359" w14:paraId="1D884D97" w14:textId="77777777" w:rsidTr="00682359">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37F9F4DB"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970" w:type="dxa"/>
            <w:tcBorders>
              <w:top w:val="nil"/>
              <w:left w:val="nil"/>
              <w:bottom w:val="single" w:sz="4" w:space="0" w:color="auto"/>
              <w:right w:val="single" w:sz="4" w:space="0" w:color="auto"/>
            </w:tcBorders>
            <w:shd w:val="clear" w:color="auto" w:fill="auto"/>
            <w:noWrap/>
            <w:vAlign w:val="bottom"/>
            <w:hideMark/>
          </w:tcPr>
          <w:p w14:paraId="0B33399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w:t>
            </w:r>
          </w:p>
        </w:tc>
        <w:tc>
          <w:tcPr>
            <w:tcW w:w="1650" w:type="dxa"/>
            <w:tcBorders>
              <w:top w:val="nil"/>
              <w:left w:val="nil"/>
              <w:bottom w:val="single" w:sz="4" w:space="0" w:color="auto"/>
              <w:right w:val="single" w:sz="4" w:space="0" w:color="auto"/>
            </w:tcBorders>
            <w:shd w:val="clear" w:color="auto" w:fill="auto"/>
            <w:noWrap/>
            <w:vAlign w:val="bottom"/>
            <w:hideMark/>
          </w:tcPr>
          <w:p w14:paraId="4735535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0.80</w:t>
            </w:r>
          </w:p>
        </w:tc>
        <w:tc>
          <w:tcPr>
            <w:tcW w:w="1560" w:type="dxa"/>
            <w:tcBorders>
              <w:top w:val="nil"/>
              <w:left w:val="nil"/>
              <w:bottom w:val="single" w:sz="4" w:space="0" w:color="auto"/>
              <w:right w:val="single" w:sz="4" w:space="0" w:color="auto"/>
            </w:tcBorders>
            <w:shd w:val="clear" w:color="auto" w:fill="auto"/>
            <w:noWrap/>
            <w:vAlign w:val="bottom"/>
            <w:hideMark/>
          </w:tcPr>
          <w:p w14:paraId="63CBD3C6"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0.80</w:t>
            </w:r>
          </w:p>
        </w:tc>
      </w:tr>
      <w:bookmarkEnd w:id="0"/>
      <w:bookmarkEnd w:id="1"/>
    </w:tbl>
    <w:p w14:paraId="0591A712" w14:textId="20113A56" w:rsidR="00682359" w:rsidRDefault="00682359" w:rsidP="00B56597">
      <w:pPr>
        <w:rPr>
          <w:rFonts w:ascii="Times New Roman" w:hAnsi="Times New Roman" w:cs="Times New Roman"/>
        </w:rPr>
      </w:pPr>
    </w:p>
    <w:p w14:paraId="543AB5D8" w14:textId="1EA93082" w:rsidR="00682359" w:rsidRDefault="00682359" w:rsidP="00682359">
      <w:pPr>
        <w:pStyle w:val="Caption"/>
        <w:keepNext/>
      </w:pPr>
      <w:r>
        <w:t xml:space="preserve">Table </w:t>
      </w:r>
      <w:fldSimple w:instr=" SEQ Table \* ARABIC ">
        <w:r w:rsidR="00E65678">
          <w:rPr>
            <w:noProof/>
          </w:rPr>
          <w:t>8</w:t>
        </w:r>
      </w:fldSimple>
      <w:r>
        <w:t>: Claimed First Year Net Savings for MCE EE Programs for 2018 and 2019</w:t>
      </w:r>
    </w:p>
    <w:tbl>
      <w:tblPr>
        <w:tblW w:w="7825" w:type="dxa"/>
        <w:tblLook w:val="04A0" w:firstRow="1" w:lastRow="0" w:firstColumn="1" w:lastColumn="0" w:noHBand="0" w:noVBand="1"/>
      </w:tblPr>
      <w:tblGrid>
        <w:gridCol w:w="1083"/>
        <w:gridCol w:w="1882"/>
        <w:gridCol w:w="1248"/>
        <w:gridCol w:w="1956"/>
        <w:gridCol w:w="1656"/>
      </w:tblGrid>
      <w:tr w:rsidR="00682359" w:rsidRPr="00682359" w14:paraId="34CC0BF0"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CA278"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Year</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2D319FED"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Program</w:t>
            </w:r>
          </w:p>
        </w:tc>
        <w:tc>
          <w:tcPr>
            <w:tcW w:w="1248" w:type="dxa"/>
            <w:tcBorders>
              <w:top w:val="single" w:sz="4" w:space="0" w:color="auto"/>
              <w:left w:val="nil"/>
              <w:bottom w:val="single" w:sz="4" w:space="0" w:color="auto"/>
              <w:right w:val="single" w:sz="4" w:space="0" w:color="auto"/>
            </w:tcBorders>
            <w:shd w:val="clear" w:color="auto" w:fill="auto"/>
          </w:tcPr>
          <w:p w14:paraId="63D101C4"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Net kW</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43D9EA8"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Net kWh</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AFC86CC" w14:textId="77777777" w:rsidR="00682359" w:rsidRPr="00682359" w:rsidRDefault="00682359" w:rsidP="00682359">
            <w:pPr>
              <w:spacing w:after="0" w:line="240" w:lineRule="auto"/>
              <w:jc w:val="both"/>
              <w:rPr>
                <w:rFonts w:ascii="Times New Roman" w:eastAsia="Times New Roman" w:hAnsi="Times New Roman" w:cs="Times New Roman"/>
                <w:b/>
                <w:bCs/>
                <w:sz w:val="24"/>
                <w:szCs w:val="24"/>
              </w:rPr>
            </w:pPr>
            <w:r w:rsidRPr="00682359">
              <w:rPr>
                <w:rFonts w:ascii="Times New Roman" w:eastAsia="Times New Roman" w:hAnsi="Times New Roman" w:cs="Times New Roman"/>
                <w:b/>
                <w:bCs/>
                <w:sz w:val="24"/>
                <w:szCs w:val="24"/>
              </w:rPr>
              <w:t>Net Therms</w:t>
            </w:r>
          </w:p>
        </w:tc>
      </w:tr>
      <w:tr w:rsidR="00682359" w:rsidRPr="00682359" w14:paraId="5FEDA418"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C923"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071AFA1E"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Commercial</w:t>
            </w:r>
          </w:p>
        </w:tc>
        <w:tc>
          <w:tcPr>
            <w:tcW w:w="1248" w:type="dxa"/>
            <w:tcBorders>
              <w:top w:val="single" w:sz="4" w:space="0" w:color="auto"/>
              <w:left w:val="nil"/>
              <w:bottom w:val="single" w:sz="4" w:space="0" w:color="auto"/>
              <w:right w:val="single" w:sz="4" w:space="0" w:color="auto"/>
            </w:tcBorders>
            <w:shd w:val="clear" w:color="auto" w:fill="auto"/>
          </w:tcPr>
          <w:p w14:paraId="30F9FF6E"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211</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1C8F116"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1,005,902</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4D58F78"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-6,193</w:t>
            </w:r>
          </w:p>
        </w:tc>
      </w:tr>
      <w:tr w:rsidR="00682359" w:rsidRPr="00682359" w14:paraId="7A5574BF"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D11B9"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025DBA5B"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w:t>
            </w:r>
          </w:p>
        </w:tc>
        <w:tc>
          <w:tcPr>
            <w:tcW w:w="1248" w:type="dxa"/>
            <w:tcBorders>
              <w:top w:val="single" w:sz="4" w:space="0" w:color="auto"/>
              <w:left w:val="nil"/>
              <w:bottom w:val="single" w:sz="4" w:space="0" w:color="auto"/>
              <w:right w:val="single" w:sz="4" w:space="0" w:color="auto"/>
            </w:tcBorders>
            <w:shd w:val="clear" w:color="auto" w:fill="auto"/>
          </w:tcPr>
          <w:p w14:paraId="60C2E7D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045C29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156,391</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F47A36C"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10,591</w:t>
            </w:r>
          </w:p>
        </w:tc>
      </w:tr>
      <w:tr w:rsidR="00682359" w:rsidRPr="00682359" w14:paraId="6580A3BC"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CAFCF"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53A16BBE"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w:t>
            </w:r>
          </w:p>
        </w:tc>
        <w:tc>
          <w:tcPr>
            <w:tcW w:w="1248" w:type="dxa"/>
            <w:tcBorders>
              <w:top w:val="single" w:sz="4" w:space="0" w:color="auto"/>
              <w:left w:val="nil"/>
              <w:bottom w:val="single" w:sz="4" w:space="0" w:color="auto"/>
              <w:right w:val="single" w:sz="4" w:space="0" w:color="auto"/>
            </w:tcBorders>
            <w:shd w:val="clear" w:color="auto" w:fill="auto"/>
          </w:tcPr>
          <w:p w14:paraId="72AF462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923B9E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344,212</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A9FF4D6"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112,363</w:t>
            </w:r>
          </w:p>
        </w:tc>
      </w:tr>
      <w:tr w:rsidR="00682359" w:rsidRPr="00682359" w14:paraId="33410759"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65604"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5AEE8E73"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 DI</w:t>
            </w:r>
          </w:p>
        </w:tc>
        <w:tc>
          <w:tcPr>
            <w:tcW w:w="1248" w:type="dxa"/>
            <w:tcBorders>
              <w:top w:val="single" w:sz="4" w:space="0" w:color="auto"/>
              <w:left w:val="nil"/>
              <w:bottom w:val="single" w:sz="4" w:space="0" w:color="auto"/>
              <w:right w:val="single" w:sz="4" w:space="0" w:color="auto"/>
            </w:tcBorders>
            <w:shd w:val="clear" w:color="auto" w:fill="auto"/>
          </w:tcPr>
          <w:p w14:paraId="0CDBB80F"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430C89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41</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E8C9BC7"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4</w:t>
            </w:r>
          </w:p>
        </w:tc>
      </w:tr>
      <w:tr w:rsidR="00682359" w:rsidRPr="00682359" w14:paraId="681787D1" w14:textId="77777777" w:rsidTr="00682359">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A3F1"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2019</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4C7540BF"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 DI</w:t>
            </w:r>
          </w:p>
        </w:tc>
        <w:tc>
          <w:tcPr>
            <w:tcW w:w="1248" w:type="dxa"/>
            <w:tcBorders>
              <w:top w:val="single" w:sz="4" w:space="0" w:color="auto"/>
              <w:left w:val="nil"/>
              <w:bottom w:val="single" w:sz="4" w:space="0" w:color="auto"/>
              <w:right w:val="single" w:sz="4" w:space="0" w:color="auto"/>
            </w:tcBorders>
            <w:shd w:val="clear" w:color="auto" w:fill="auto"/>
          </w:tcPr>
          <w:p w14:paraId="4941C451"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0</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B15249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6,110</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52A053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1,166</w:t>
            </w:r>
          </w:p>
        </w:tc>
      </w:tr>
      <w:tr w:rsidR="00682359" w:rsidRPr="00682359" w14:paraId="42BB6F7E" w14:textId="77777777" w:rsidTr="00682359">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9C23F9B"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882" w:type="dxa"/>
            <w:tcBorders>
              <w:top w:val="nil"/>
              <w:left w:val="nil"/>
              <w:bottom w:val="single" w:sz="4" w:space="0" w:color="auto"/>
              <w:right w:val="single" w:sz="4" w:space="0" w:color="auto"/>
            </w:tcBorders>
            <w:shd w:val="clear" w:color="auto" w:fill="auto"/>
            <w:noWrap/>
            <w:vAlign w:val="bottom"/>
            <w:hideMark/>
          </w:tcPr>
          <w:p w14:paraId="5C0EFF9D"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Commercial</w:t>
            </w:r>
          </w:p>
        </w:tc>
        <w:tc>
          <w:tcPr>
            <w:tcW w:w="1248" w:type="dxa"/>
            <w:tcBorders>
              <w:top w:val="single" w:sz="4" w:space="0" w:color="auto"/>
              <w:left w:val="nil"/>
              <w:bottom w:val="single" w:sz="4" w:space="0" w:color="auto"/>
              <w:right w:val="single" w:sz="4" w:space="0" w:color="auto"/>
            </w:tcBorders>
            <w:shd w:val="clear" w:color="auto" w:fill="auto"/>
          </w:tcPr>
          <w:p w14:paraId="46710FDD"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126</w:t>
            </w:r>
          </w:p>
        </w:tc>
        <w:tc>
          <w:tcPr>
            <w:tcW w:w="1956" w:type="dxa"/>
            <w:tcBorders>
              <w:top w:val="nil"/>
              <w:left w:val="single" w:sz="4" w:space="0" w:color="auto"/>
              <w:bottom w:val="single" w:sz="4" w:space="0" w:color="auto"/>
              <w:right w:val="single" w:sz="4" w:space="0" w:color="auto"/>
            </w:tcBorders>
            <w:shd w:val="clear" w:color="auto" w:fill="auto"/>
          </w:tcPr>
          <w:p w14:paraId="7A7A655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823,364</w:t>
            </w:r>
          </w:p>
        </w:tc>
        <w:tc>
          <w:tcPr>
            <w:tcW w:w="1656" w:type="dxa"/>
            <w:tcBorders>
              <w:top w:val="nil"/>
              <w:left w:val="single" w:sz="4" w:space="0" w:color="auto"/>
              <w:bottom w:val="single" w:sz="4" w:space="0" w:color="auto"/>
              <w:right w:val="single" w:sz="4" w:space="0" w:color="auto"/>
            </w:tcBorders>
            <w:shd w:val="clear" w:color="auto" w:fill="auto"/>
          </w:tcPr>
          <w:p w14:paraId="448F2641"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-889</w:t>
            </w:r>
          </w:p>
        </w:tc>
      </w:tr>
      <w:tr w:rsidR="00682359" w:rsidRPr="00682359" w14:paraId="04AEC546" w14:textId="77777777" w:rsidTr="00682359">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BB1137C"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882" w:type="dxa"/>
            <w:tcBorders>
              <w:top w:val="nil"/>
              <w:left w:val="nil"/>
              <w:bottom w:val="single" w:sz="4" w:space="0" w:color="auto"/>
              <w:right w:val="single" w:sz="4" w:space="0" w:color="auto"/>
            </w:tcBorders>
            <w:shd w:val="clear" w:color="auto" w:fill="auto"/>
            <w:noWrap/>
            <w:vAlign w:val="bottom"/>
            <w:hideMark/>
          </w:tcPr>
          <w:p w14:paraId="4345464D"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Multifamily</w:t>
            </w:r>
          </w:p>
        </w:tc>
        <w:tc>
          <w:tcPr>
            <w:tcW w:w="1248" w:type="dxa"/>
            <w:tcBorders>
              <w:top w:val="single" w:sz="4" w:space="0" w:color="auto"/>
              <w:left w:val="nil"/>
              <w:bottom w:val="single" w:sz="4" w:space="0" w:color="auto"/>
              <w:right w:val="single" w:sz="4" w:space="0" w:color="auto"/>
            </w:tcBorders>
            <w:shd w:val="clear" w:color="auto" w:fill="auto"/>
          </w:tcPr>
          <w:p w14:paraId="53A6D20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8</w:t>
            </w:r>
          </w:p>
        </w:tc>
        <w:tc>
          <w:tcPr>
            <w:tcW w:w="1956" w:type="dxa"/>
            <w:tcBorders>
              <w:top w:val="nil"/>
              <w:left w:val="single" w:sz="4" w:space="0" w:color="auto"/>
              <w:bottom w:val="single" w:sz="4" w:space="0" w:color="auto"/>
              <w:right w:val="single" w:sz="4" w:space="0" w:color="auto"/>
            </w:tcBorders>
            <w:shd w:val="clear" w:color="auto" w:fill="auto"/>
          </w:tcPr>
          <w:p w14:paraId="41D489D9"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151,217</w:t>
            </w:r>
          </w:p>
        </w:tc>
        <w:tc>
          <w:tcPr>
            <w:tcW w:w="1656" w:type="dxa"/>
            <w:tcBorders>
              <w:top w:val="nil"/>
              <w:left w:val="single" w:sz="4" w:space="0" w:color="auto"/>
              <w:bottom w:val="single" w:sz="4" w:space="0" w:color="auto"/>
              <w:right w:val="single" w:sz="4" w:space="0" w:color="auto"/>
            </w:tcBorders>
            <w:shd w:val="clear" w:color="auto" w:fill="auto"/>
          </w:tcPr>
          <w:p w14:paraId="11B916DD"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16,468</w:t>
            </w:r>
          </w:p>
        </w:tc>
      </w:tr>
      <w:tr w:rsidR="00682359" w:rsidRPr="00682359" w14:paraId="2EA9ACAA" w14:textId="77777777" w:rsidTr="00682359">
        <w:trPr>
          <w:trHeight w:val="255"/>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FD2CF9E" w14:textId="77777777" w:rsidR="00682359" w:rsidRPr="00682359" w:rsidRDefault="00682359" w:rsidP="00682359">
            <w:pPr>
              <w:spacing w:after="0" w:line="240" w:lineRule="auto"/>
              <w:jc w:val="both"/>
              <w:rPr>
                <w:rFonts w:ascii="Times New Roman" w:eastAsia="Times New Roman" w:hAnsi="Times New Roman" w:cs="Times New Roman"/>
                <w:bCs/>
                <w:sz w:val="24"/>
                <w:szCs w:val="24"/>
              </w:rPr>
            </w:pPr>
            <w:r w:rsidRPr="00682359">
              <w:rPr>
                <w:rFonts w:ascii="Times New Roman" w:eastAsia="Times New Roman" w:hAnsi="Times New Roman" w:cs="Times New Roman"/>
                <w:bCs/>
                <w:sz w:val="24"/>
                <w:szCs w:val="24"/>
              </w:rPr>
              <w:t>2018</w:t>
            </w:r>
          </w:p>
        </w:tc>
        <w:tc>
          <w:tcPr>
            <w:tcW w:w="1882" w:type="dxa"/>
            <w:tcBorders>
              <w:top w:val="nil"/>
              <w:left w:val="nil"/>
              <w:bottom w:val="single" w:sz="4" w:space="0" w:color="auto"/>
              <w:right w:val="single" w:sz="4" w:space="0" w:color="auto"/>
            </w:tcBorders>
            <w:shd w:val="clear" w:color="auto" w:fill="auto"/>
            <w:noWrap/>
            <w:vAlign w:val="bottom"/>
            <w:hideMark/>
          </w:tcPr>
          <w:p w14:paraId="1573BB4A"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Single Family</w:t>
            </w:r>
          </w:p>
        </w:tc>
        <w:tc>
          <w:tcPr>
            <w:tcW w:w="1248" w:type="dxa"/>
            <w:tcBorders>
              <w:top w:val="single" w:sz="4" w:space="0" w:color="auto"/>
              <w:left w:val="nil"/>
              <w:bottom w:val="single" w:sz="4" w:space="0" w:color="auto"/>
              <w:right w:val="single" w:sz="4" w:space="0" w:color="auto"/>
            </w:tcBorders>
            <w:shd w:val="clear" w:color="auto" w:fill="auto"/>
          </w:tcPr>
          <w:p w14:paraId="13E4C606"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19</w:t>
            </w:r>
          </w:p>
        </w:tc>
        <w:tc>
          <w:tcPr>
            <w:tcW w:w="1956" w:type="dxa"/>
            <w:tcBorders>
              <w:top w:val="nil"/>
              <w:left w:val="single" w:sz="4" w:space="0" w:color="auto"/>
              <w:bottom w:val="single" w:sz="4" w:space="0" w:color="auto"/>
              <w:right w:val="single" w:sz="4" w:space="0" w:color="auto"/>
            </w:tcBorders>
            <w:shd w:val="clear" w:color="auto" w:fill="auto"/>
          </w:tcPr>
          <w:p w14:paraId="4A8D9A3D"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185,010</w:t>
            </w:r>
          </w:p>
        </w:tc>
        <w:tc>
          <w:tcPr>
            <w:tcW w:w="1656" w:type="dxa"/>
            <w:tcBorders>
              <w:top w:val="nil"/>
              <w:left w:val="single" w:sz="4" w:space="0" w:color="auto"/>
              <w:bottom w:val="single" w:sz="4" w:space="0" w:color="auto"/>
              <w:right w:val="single" w:sz="4" w:space="0" w:color="auto"/>
            </w:tcBorders>
            <w:shd w:val="clear" w:color="auto" w:fill="auto"/>
          </w:tcPr>
          <w:p w14:paraId="3562E9A2" w14:textId="77777777" w:rsidR="00682359" w:rsidRPr="00682359" w:rsidRDefault="00682359" w:rsidP="00682359">
            <w:pPr>
              <w:spacing w:after="0" w:line="240" w:lineRule="auto"/>
              <w:jc w:val="both"/>
              <w:rPr>
                <w:rFonts w:ascii="Times New Roman" w:eastAsia="Times New Roman" w:hAnsi="Times New Roman" w:cs="Times New Roman"/>
                <w:sz w:val="24"/>
                <w:szCs w:val="24"/>
              </w:rPr>
            </w:pPr>
            <w:r w:rsidRPr="00682359">
              <w:rPr>
                <w:rFonts w:ascii="Times New Roman" w:eastAsia="Times New Roman" w:hAnsi="Times New Roman" w:cs="Times New Roman"/>
                <w:sz w:val="24"/>
                <w:szCs w:val="24"/>
              </w:rPr>
              <w:t>54,801</w:t>
            </w:r>
          </w:p>
        </w:tc>
      </w:tr>
    </w:tbl>
    <w:p w14:paraId="4FF7AC8A" w14:textId="77777777" w:rsidR="00682359" w:rsidRPr="00682359" w:rsidRDefault="00682359" w:rsidP="00B56597">
      <w:pPr>
        <w:rPr>
          <w:rFonts w:ascii="Times New Roman" w:hAnsi="Times New Roman" w:cs="Times New Roman"/>
          <w:sz w:val="24"/>
          <w:szCs w:val="24"/>
        </w:rPr>
      </w:pPr>
    </w:p>
    <w:p w14:paraId="432AA371" w14:textId="0A0A5318" w:rsidR="00B84EF5" w:rsidRPr="00D92493" w:rsidRDefault="00B84EF5" w:rsidP="00B84EF5">
      <w:pPr>
        <w:pStyle w:val="Heading3"/>
        <w:rPr>
          <w:rFonts w:ascii="Times New Roman" w:hAnsi="Times New Roman" w:cs="Times New Roman"/>
        </w:rPr>
      </w:pPr>
      <w:r w:rsidRPr="00D92493">
        <w:rPr>
          <w:rFonts w:ascii="Times New Roman" w:hAnsi="Times New Roman" w:cs="Times New Roman"/>
        </w:rPr>
        <w:t>Cost-Effectiveness Challenges</w:t>
      </w:r>
    </w:p>
    <w:p w14:paraId="1A57F52F" w14:textId="5D89D0AC" w:rsidR="0012294D" w:rsidRPr="00D92493" w:rsidRDefault="00560401" w:rsidP="0012294D">
      <w:pPr>
        <w:jc w:val="both"/>
        <w:rPr>
          <w:rFonts w:ascii="Times New Roman" w:hAnsi="Times New Roman" w:cs="Times New Roman"/>
          <w:sz w:val="24"/>
          <w:szCs w:val="24"/>
        </w:rPr>
      </w:pPr>
      <w:r w:rsidRPr="00D92493">
        <w:rPr>
          <w:rFonts w:ascii="Times New Roman" w:hAnsi="Times New Roman" w:cs="Times New Roman"/>
          <w:sz w:val="24"/>
          <w:szCs w:val="24"/>
        </w:rPr>
        <w:t xml:space="preserve">Forecasting a portfolio TRC of 1.25 is especially challenging for 2021. MCE identified a set of factors that resulted in a TRC forecast below 1.25 in 2021. </w:t>
      </w:r>
    </w:p>
    <w:p w14:paraId="0B172E4E" w14:textId="3C7DA248" w:rsidR="0043306F" w:rsidRPr="00B00F58" w:rsidRDefault="0043306F" w:rsidP="00F54DB1">
      <w:pPr>
        <w:pStyle w:val="Heading4"/>
        <w:rPr>
          <w:rFonts w:ascii="Times New Roman" w:hAnsi="Times New Roman" w:cs="Times New Roman"/>
          <w:sz w:val="24"/>
          <w:szCs w:val="24"/>
        </w:rPr>
      </w:pPr>
      <w:r w:rsidRPr="00B00F58">
        <w:rPr>
          <w:rFonts w:ascii="Times New Roman" w:hAnsi="Times New Roman" w:cs="Times New Roman"/>
          <w:sz w:val="24"/>
          <w:szCs w:val="24"/>
        </w:rPr>
        <w:t>COVID</w:t>
      </w:r>
      <w:r w:rsidR="00F54DB1" w:rsidRPr="00B00F58">
        <w:rPr>
          <w:rFonts w:ascii="Times New Roman" w:hAnsi="Times New Roman" w:cs="Times New Roman"/>
          <w:sz w:val="24"/>
          <w:szCs w:val="24"/>
        </w:rPr>
        <w:t>-19 Impacts</w:t>
      </w:r>
    </w:p>
    <w:p w14:paraId="22C4B90D" w14:textId="11BBBAE9" w:rsidR="00DC351D" w:rsidRPr="00B00F58" w:rsidRDefault="00DC351D" w:rsidP="00DC351D">
      <w:pPr>
        <w:rPr>
          <w:rFonts w:ascii="Times New Roman" w:hAnsi="Times New Roman" w:cs="Times New Roman"/>
          <w:sz w:val="24"/>
          <w:szCs w:val="24"/>
        </w:rPr>
      </w:pPr>
      <w:r w:rsidRPr="00B00F58">
        <w:rPr>
          <w:rFonts w:ascii="Times New Roman" w:hAnsi="Times New Roman" w:cs="Times New Roman"/>
          <w:sz w:val="24"/>
          <w:szCs w:val="24"/>
        </w:rPr>
        <w:t xml:space="preserve">The COVID-19 pandemic has created major disruptions in the energy efficiency industry. </w:t>
      </w:r>
    </w:p>
    <w:p w14:paraId="49F8BAB3" w14:textId="72613EAE" w:rsidR="00F40D95" w:rsidRPr="00B00F58" w:rsidRDefault="00077AA0" w:rsidP="00DC351D">
      <w:pPr>
        <w:pStyle w:val="ListParagraph"/>
        <w:numPr>
          <w:ilvl w:val="0"/>
          <w:numId w:val="6"/>
        </w:numPr>
        <w:rPr>
          <w:rFonts w:ascii="Times New Roman" w:hAnsi="Times New Roman" w:cs="Times New Roman"/>
          <w:sz w:val="24"/>
          <w:szCs w:val="24"/>
        </w:rPr>
      </w:pPr>
      <w:r w:rsidRPr="00B00F58">
        <w:rPr>
          <w:rFonts w:ascii="Times New Roman" w:hAnsi="Times New Roman" w:cs="Times New Roman"/>
          <w:sz w:val="24"/>
          <w:szCs w:val="24"/>
        </w:rPr>
        <w:lastRenderedPageBreak/>
        <w:t>There is a great deal of uncertainty around COVID-related impacts</w:t>
      </w:r>
      <w:r w:rsidR="00252231" w:rsidRPr="00B00F58">
        <w:rPr>
          <w:rFonts w:ascii="Times New Roman" w:hAnsi="Times New Roman" w:cs="Times New Roman"/>
          <w:sz w:val="24"/>
          <w:szCs w:val="24"/>
        </w:rPr>
        <w:t xml:space="preserve"> on energy consumption</w:t>
      </w:r>
      <w:r w:rsidR="00A7146B">
        <w:rPr>
          <w:rFonts w:ascii="Times New Roman" w:hAnsi="Times New Roman" w:cs="Times New Roman"/>
          <w:sz w:val="24"/>
          <w:szCs w:val="24"/>
        </w:rPr>
        <w:t xml:space="preserve"> and therefore energy savings potential</w:t>
      </w:r>
      <w:r w:rsidRPr="00B00F58">
        <w:rPr>
          <w:rFonts w:ascii="Times New Roman" w:hAnsi="Times New Roman" w:cs="Times New Roman"/>
          <w:sz w:val="24"/>
          <w:szCs w:val="24"/>
        </w:rPr>
        <w:t>, which vary significantly by customer sector</w:t>
      </w:r>
      <w:r w:rsidR="00252231" w:rsidRPr="00B00F58">
        <w:rPr>
          <w:rFonts w:ascii="Times New Roman" w:hAnsi="Times New Roman" w:cs="Times New Roman"/>
          <w:sz w:val="24"/>
          <w:szCs w:val="24"/>
        </w:rPr>
        <w:t xml:space="preserve">, </w:t>
      </w:r>
      <w:r w:rsidRPr="00B00F58">
        <w:rPr>
          <w:rFonts w:ascii="Times New Roman" w:hAnsi="Times New Roman" w:cs="Times New Roman"/>
          <w:sz w:val="24"/>
          <w:szCs w:val="24"/>
        </w:rPr>
        <w:t>programs</w:t>
      </w:r>
      <w:r w:rsidR="00252231" w:rsidRPr="00B00F58">
        <w:rPr>
          <w:rFonts w:ascii="Times New Roman" w:hAnsi="Times New Roman" w:cs="Times New Roman"/>
          <w:sz w:val="24"/>
          <w:szCs w:val="24"/>
        </w:rPr>
        <w:t>, and individual customers</w:t>
      </w:r>
      <w:r w:rsidRPr="00B00F58">
        <w:rPr>
          <w:rFonts w:ascii="Times New Roman" w:hAnsi="Times New Roman" w:cs="Times New Roman"/>
          <w:sz w:val="24"/>
          <w:szCs w:val="24"/>
        </w:rPr>
        <w:t>.</w:t>
      </w:r>
      <w:r w:rsidR="00252231" w:rsidRPr="00B00F58">
        <w:rPr>
          <w:rFonts w:ascii="Times New Roman" w:hAnsi="Times New Roman" w:cs="Times New Roman"/>
          <w:sz w:val="24"/>
          <w:szCs w:val="24"/>
        </w:rPr>
        <w:t xml:space="preserve"> Overall</w:t>
      </w:r>
      <w:r w:rsidRPr="00B00F58">
        <w:rPr>
          <w:rFonts w:ascii="Times New Roman" w:hAnsi="Times New Roman" w:cs="Times New Roman"/>
          <w:sz w:val="24"/>
          <w:szCs w:val="24"/>
        </w:rPr>
        <w:t>, Residential energy consumption has increased while Commercial energy consumption has decreased</w:t>
      </w:r>
      <w:r w:rsidR="00252231" w:rsidRPr="00B00F58">
        <w:rPr>
          <w:rFonts w:ascii="Times New Roman" w:hAnsi="Times New Roman" w:cs="Times New Roman"/>
          <w:sz w:val="24"/>
          <w:szCs w:val="24"/>
        </w:rPr>
        <w:t xml:space="preserve"> dramatically</w:t>
      </w:r>
      <w:r w:rsidRPr="00B00F58">
        <w:rPr>
          <w:rFonts w:ascii="Times New Roman" w:hAnsi="Times New Roman" w:cs="Times New Roman"/>
          <w:sz w:val="24"/>
          <w:szCs w:val="24"/>
        </w:rPr>
        <w:t>.</w:t>
      </w:r>
      <w:r w:rsidR="00252231" w:rsidRPr="00B00F58">
        <w:rPr>
          <w:rFonts w:ascii="Times New Roman" w:hAnsi="Times New Roman" w:cs="Times New Roman"/>
          <w:sz w:val="24"/>
          <w:szCs w:val="24"/>
        </w:rPr>
        <w:t xml:space="preserve"> </w:t>
      </w:r>
      <w:r w:rsidR="00A7146B">
        <w:rPr>
          <w:rFonts w:ascii="Times New Roman" w:hAnsi="Times New Roman" w:cs="Times New Roman"/>
          <w:sz w:val="24"/>
          <w:szCs w:val="24"/>
        </w:rPr>
        <w:t>This is especially challenging for NMEC or pay-for-performance programs.</w:t>
      </w:r>
    </w:p>
    <w:p w14:paraId="36A3124F" w14:textId="7FEA224B" w:rsidR="00DC351D" w:rsidRPr="00B00F58" w:rsidRDefault="00F54DB1" w:rsidP="00F40D95">
      <w:pPr>
        <w:pStyle w:val="ListParagraph"/>
        <w:numPr>
          <w:ilvl w:val="0"/>
          <w:numId w:val="6"/>
        </w:numPr>
        <w:rPr>
          <w:rFonts w:ascii="Times New Roman" w:hAnsi="Times New Roman" w:cs="Times New Roman"/>
          <w:sz w:val="24"/>
          <w:szCs w:val="24"/>
        </w:rPr>
      </w:pPr>
      <w:r w:rsidRPr="00B00F58">
        <w:rPr>
          <w:rFonts w:ascii="Times New Roman" w:hAnsi="Times New Roman" w:cs="Times New Roman"/>
          <w:sz w:val="24"/>
          <w:szCs w:val="24"/>
        </w:rPr>
        <w:t>COVID-19 is placing additional admin</w:t>
      </w:r>
      <w:r w:rsidR="00F40D95" w:rsidRPr="00B00F58">
        <w:rPr>
          <w:rFonts w:ascii="Times New Roman" w:hAnsi="Times New Roman" w:cs="Times New Roman"/>
          <w:sz w:val="24"/>
          <w:szCs w:val="24"/>
        </w:rPr>
        <w:t>istrative</w:t>
      </w:r>
      <w:r w:rsidRPr="00B00F58">
        <w:rPr>
          <w:rFonts w:ascii="Times New Roman" w:hAnsi="Times New Roman" w:cs="Times New Roman"/>
          <w:sz w:val="24"/>
          <w:szCs w:val="24"/>
        </w:rPr>
        <w:t xml:space="preserve"> work on Program Administrators to be able to assess the impacts it will have on our programs and to best continue serving our customers and work with our implementers. MCE has spent many hours over the last 4 months working both the assessment of the impacts of Covid-19 as well as to develop mitigation strategies. This includes, but is not limited to, (1) developing new models and methodologies to assess the impacts of COVID on MCE’s operations and programs; (2) working with implementers to assess impacts on their operations and our program participants, and identifying new and innovative approaches to make our programs accessible to customers; and (3) identifying EM&amp;V impacts and modifications. These activities will continue beyond 2020. Therefore, the time spent on these efforts must be considered when evaluating the 2021 ABAL. </w:t>
      </w:r>
    </w:p>
    <w:p w14:paraId="5432A323" w14:textId="1627A1C9" w:rsidR="004B355F" w:rsidRPr="00B00F58" w:rsidRDefault="004B355F" w:rsidP="004B355F">
      <w:pPr>
        <w:pStyle w:val="ListParagraph"/>
        <w:numPr>
          <w:ilvl w:val="0"/>
          <w:numId w:val="6"/>
        </w:numPr>
        <w:rPr>
          <w:rFonts w:ascii="Times New Roman" w:hAnsi="Times New Roman" w:cs="Times New Roman"/>
          <w:sz w:val="24"/>
          <w:szCs w:val="24"/>
        </w:rPr>
      </w:pPr>
      <w:r w:rsidRPr="00B00F58">
        <w:rPr>
          <w:rFonts w:ascii="Times New Roman" w:hAnsi="Times New Roman" w:cs="Times New Roman"/>
          <w:sz w:val="24"/>
          <w:szCs w:val="24"/>
        </w:rPr>
        <w:t>It is difficult to predict customers’ willingness and motivation to participate in energy efficiency programs</w:t>
      </w:r>
      <w:r w:rsidR="00A7146B">
        <w:rPr>
          <w:rFonts w:ascii="Times New Roman" w:hAnsi="Times New Roman" w:cs="Times New Roman"/>
          <w:sz w:val="24"/>
          <w:szCs w:val="24"/>
        </w:rPr>
        <w:t xml:space="preserve"> during the pandemic.</w:t>
      </w:r>
    </w:p>
    <w:p w14:paraId="1C5194BE" w14:textId="77777777" w:rsidR="0013178B" w:rsidRPr="00B00F58" w:rsidRDefault="0013178B" w:rsidP="0013178B">
      <w:pPr>
        <w:pStyle w:val="Heading4"/>
        <w:rPr>
          <w:rFonts w:ascii="Times New Roman" w:hAnsi="Times New Roman" w:cs="Times New Roman"/>
          <w:sz w:val="24"/>
          <w:szCs w:val="24"/>
        </w:rPr>
      </w:pPr>
      <w:r w:rsidRPr="00B00F58">
        <w:rPr>
          <w:rFonts w:ascii="Times New Roman" w:hAnsi="Times New Roman" w:cs="Times New Roman"/>
          <w:sz w:val="24"/>
          <w:szCs w:val="24"/>
        </w:rPr>
        <w:t>Cost-Effectiveness Framework</w:t>
      </w:r>
    </w:p>
    <w:p w14:paraId="00C3F6A6" w14:textId="09765BCA" w:rsidR="0013178B" w:rsidRPr="00A42847" w:rsidRDefault="0013178B" w:rsidP="0013178B">
      <w:pPr>
        <w:rPr>
          <w:rFonts w:ascii="Times New Roman" w:hAnsi="Times New Roman" w:cs="Times New Roman"/>
          <w:sz w:val="24"/>
          <w:szCs w:val="24"/>
        </w:rPr>
      </w:pPr>
      <w:r w:rsidRPr="00B00F58">
        <w:rPr>
          <w:rFonts w:ascii="Times New Roman" w:hAnsi="Times New Roman" w:cs="Times New Roman"/>
          <w:sz w:val="24"/>
          <w:szCs w:val="24"/>
        </w:rPr>
        <w:t>The Total Resource Cost (“</w:t>
      </w:r>
      <w:r w:rsidRPr="00B00F58">
        <w:rPr>
          <w:rFonts w:ascii="Times New Roman" w:hAnsi="Times New Roman" w:cs="Times New Roman"/>
          <w:sz w:val="24"/>
          <w:szCs w:val="24"/>
          <w:u w:val="single"/>
        </w:rPr>
        <w:t>TRC</w:t>
      </w:r>
      <w:r w:rsidRPr="00B00F58">
        <w:rPr>
          <w:rFonts w:ascii="Times New Roman" w:hAnsi="Times New Roman" w:cs="Times New Roman"/>
          <w:sz w:val="24"/>
          <w:szCs w:val="24"/>
        </w:rPr>
        <w:t>”)</w:t>
      </w:r>
      <w:r>
        <w:rPr>
          <w:rFonts w:ascii="Times New Roman" w:hAnsi="Times New Roman" w:cs="Times New Roman"/>
          <w:sz w:val="24"/>
          <w:szCs w:val="24"/>
        </w:rPr>
        <w:t xml:space="preserve"> test </w:t>
      </w:r>
      <w:r w:rsidRPr="00B00F58">
        <w:rPr>
          <w:rFonts w:ascii="Times New Roman" w:hAnsi="Times New Roman" w:cs="Times New Roman"/>
          <w:sz w:val="24"/>
          <w:szCs w:val="24"/>
        </w:rPr>
        <w:t xml:space="preserve">as currently implemented </w:t>
      </w:r>
      <w:r>
        <w:rPr>
          <w:rFonts w:ascii="Times New Roman" w:hAnsi="Times New Roman" w:cs="Times New Roman"/>
          <w:sz w:val="24"/>
          <w:szCs w:val="24"/>
        </w:rPr>
        <w:t>does not appropriately value energy efficiency</w:t>
      </w:r>
      <w:r w:rsidRPr="00B00F58">
        <w:rPr>
          <w:rFonts w:ascii="Times New Roman" w:hAnsi="Times New Roman" w:cs="Times New Roman"/>
          <w:sz w:val="24"/>
          <w:szCs w:val="24"/>
        </w:rPr>
        <w:t>.</w:t>
      </w:r>
      <w:r w:rsidRPr="00B00F58" w:rsidDel="00F86912">
        <w:rPr>
          <w:rFonts w:ascii="Times New Roman" w:hAnsi="Times New Roman" w:cs="Times New Roman"/>
          <w:sz w:val="24"/>
          <w:szCs w:val="24"/>
        </w:rPr>
        <w:t xml:space="preserve"> </w:t>
      </w:r>
      <w:r w:rsidRPr="000E0280">
        <w:rPr>
          <w:rFonts w:ascii="Times New Roman" w:hAnsi="Times New Roman" w:cs="Times New Roman"/>
          <w:sz w:val="24"/>
          <w:szCs w:val="24"/>
        </w:rPr>
        <w:t>Non-energy costs, such as the net participant cost or costs from non-resource/ equity programs are included in the TRC while their non-energy benefits (“</w:t>
      </w:r>
      <w:r w:rsidRPr="000E0280">
        <w:rPr>
          <w:rFonts w:ascii="Times New Roman" w:hAnsi="Times New Roman" w:cs="Times New Roman"/>
          <w:sz w:val="24"/>
          <w:szCs w:val="24"/>
          <w:u w:val="single"/>
        </w:rPr>
        <w:t>NEBs</w:t>
      </w:r>
      <w:r w:rsidRPr="000E0280">
        <w:rPr>
          <w:rFonts w:ascii="Times New Roman" w:hAnsi="Times New Roman" w:cs="Times New Roman"/>
          <w:sz w:val="24"/>
          <w:szCs w:val="24"/>
        </w:rPr>
        <w:t>”) are not considered.</w:t>
      </w:r>
      <w:r>
        <w:rPr>
          <w:rFonts w:ascii="Times New Roman" w:hAnsi="Times New Roman" w:cs="Times New Roman"/>
          <w:sz w:val="24"/>
          <w:szCs w:val="24"/>
        </w:rPr>
        <w:t xml:space="preserve"> T</w:t>
      </w:r>
      <w:r w:rsidRPr="00A42847">
        <w:rPr>
          <w:rFonts w:ascii="Times New Roman" w:hAnsi="Times New Roman" w:cs="Times New Roman"/>
          <w:sz w:val="24"/>
          <w:szCs w:val="24"/>
        </w:rPr>
        <w:t xml:space="preserve">he asymmetry between costs and benefits </w:t>
      </w:r>
      <w:r>
        <w:rPr>
          <w:rFonts w:ascii="Times New Roman" w:hAnsi="Times New Roman" w:cs="Times New Roman"/>
          <w:sz w:val="24"/>
          <w:szCs w:val="24"/>
        </w:rPr>
        <w:t xml:space="preserve">shrinks the pool of available </w:t>
      </w:r>
      <w:r w:rsidR="00B2234F">
        <w:rPr>
          <w:rFonts w:ascii="Times New Roman" w:hAnsi="Times New Roman" w:cs="Times New Roman"/>
          <w:sz w:val="24"/>
          <w:szCs w:val="24"/>
        </w:rPr>
        <w:t>cost-effective</w:t>
      </w:r>
      <w:r>
        <w:rPr>
          <w:rFonts w:ascii="Times New Roman" w:hAnsi="Times New Roman" w:cs="Times New Roman"/>
          <w:sz w:val="24"/>
          <w:szCs w:val="24"/>
        </w:rPr>
        <w:t xml:space="preserve"> savings to the point where it is difficult to be both cost effective and achieve aggressive energy savings goals</w:t>
      </w:r>
      <w:r w:rsidRPr="00A42847">
        <w:rPr>
          <w:rFonts w:ascii="Times New Roman" w:hAnsi="Times New Roman" w:cs="Times New Roman"/>
          <w:sz w:val="24"/>
          <w:szCs w:val="24"/>
        </w:rPr>
        <w:t xml:space="preserve">. </w:t>
      </w:r>
    </w:p>
    <w:p w14:paraId="78D9E590" w14:textId="77777777" w:rsidR="0013178B" w:rsidRPr="00B00F58" w:rsidRDefault="0013178B" w:rsidP="0013178B">
      <w:r>
        <w:rPr>
          <w:rFonts w:ascii="Times New Roman" w:hAnsi="Times New Roman" w:cs="Times New Roman"/>
          <w:sz w:val="24"/>
          <w:szCs w:val="24"/>
        </w:rPr>
        <w:t>Furthermore, pursuing a 1.25 TRC at a portfolio level requires making cuts to services that help our most disadvantaged customers, for example a multifamily energy efficiency program that serves affordable properties, or a residential direct install program that provides no cost upgrades to middle income customers who cannot afford to invest in efficiency.</w:t>
      </w:r>
    </w:p>
    <w:p w14:paraId="69818A91" w14:textId="40D9FB1E" w:rsidR="00F54DB1" w:rsidRPr="00B00F58" w:rsidRDefault="00F54DB1" w:rsidP="00F54DB1">
      <w:pPr>
        <w:pStyle w:val="Heading4"/>
        <w:rPr>
          <w:rFonts w:ascii="Times New Roman" w:hAnsi="Times New Roman" w:cs="Times New Roman"/>
          <w:sz w:val="24"/>
          <w:szCs w:val="24"/>
        </w:rPr>
      </w:pPr>
      <w:r w:rsidRPr="00B00F58">
        <w:rPr>
          <w:rFonts w:ascii="Times New Roman" w:hAnsi="Times New Roman" w:cs="Times New Roman"/>
          <w:sz w:val="24"/>
          <w:szCs w:val="24"/>
        </w:rPr>
        <w:t>Avoided Cost Calculator (ACC) Update</w:t>
      </w:r>
    </w:p>
    <w:p w14:paraId="3A6D2AEF" w14:textId="54302223" w:rsidR="00EE480C" w:rsidRDefault="0012294D" w:rsidP="00F54DB1">
      <w:pPr>
        <w:jc w:val="both"/>
        <w:rPr>
          <w:rFonts w:ascii="Times New Roman" w:hAnsi="Times New Roman" w:cs="Times New Roman"/>
          <w:sz w:val="24"/>
          <w:szCs w:val="24"/>
        </w:rPr>
      </w:pPr>
      <w:r w:rsidRPr="00B00F58">
        <w:rPr>
          <w:rFonts w:ascii="Times New Roman" w:hAnsi="Times New Roman" w:cs="Times New Roman"/>
          <w:sz w:val="24"/>
          <w:szCs w:val="24"/>
        </w:rPr>
        <w:t>The timing and uncertainty of the avoided costs calculator</w:t>
      </w:r>
      <w:r w:rsidR="0078549D" w:rsidRPr="00B00F58">
        <w:rPr>
          <w:rFonts w:ascii="Times New Roman" w:hAnsi="Times New Roman" w:cs="Times New Roman"/>
          <w:sz w:val="24"/>
          <w:szCs w:val="24"/>
        </w:rPr>
        <w:t xml:space="preserve"> (ACC)</w:t>
      </w:r>
      <w:r w:rsidRPr="00B00F58">
        <w:rPr>
          <w:rFonts w:ascii="Times New Roman" w:hAnsi="Times New Roman" w:cs="Times New Roman"/>
          <w:sz w:val="24"/>
          <w:szCs w:val="24"/>
        </w:rPr>
        <w:t xml:space="preserve"> update</w:t>
      </w:r>
      <w:r w:rsidR="0013178B">
        <w:rPr>
          <w:rFonts w:ascii="Times New Roman" w:hAnsi="Times New Roman" w:cs="Times New Roman"/>
          <w:sz w:val="24"/>
          <w:szCs w:val="24"/>
        </w:rPr>
        <w:t>s</w:t>
      </w:r>
      <w:r w:rsidRPr="00B00F58">
        <w:rPr>
          <w:rFonts w:ascii="Times New Roman" w:hAnsi="Times New Roman" w:cs="Times New Roman"/>
          <w:sz w:val="24"/>
          <w:szCs w:val="24"/>
        </w:rPr>
        <w:t xml:space="preserve"> do not allow PAs the opportunity to </w:t>
      </w:r>
      <w:r w:rsidR="00BC47A6" w:rsidRPr="00B00F58">
        <w:rPr>
          <w:rFonts w:ascii="Times New Roman" w:hAnsi="Times New Roman" w:cs="Times New Roman"/>
          <w:sz w:val="24"/>
          <w:szCs w:val="24"/>
        </w:rPr>
        <w:t>perform</w:t>
      </w:r>
      <w:r w:rsidRPr="00B00F58">
        <w:rPr>
          <w:rFonts w:ascii="Times New Roman" w:hAnsi="Times New Roman" w:cs="Times New Roman"/>
          <w:sz w:val="24"/>
          <w:szCs w:val="24"/>
        </w:rPr>
        <w:t xml:space="preserve"> proper portfolio planning to </w:t>
      </w:r>
      <w:r w:rsidR="00C935B6" w:rsidRPr="00B00F58">
        <w:rPr>
          <w:rFonts w:ascii="Times New Roman" w:hAnsi="Times New Roman" w:cs="Times New Roman"/>
          <w:sz w:val="24"/>
          <w:szCs w:val="24"/>
        </w:rPr>
        <w:t xml:space="preserve">ensure a cost-effective filing. </w:t>
      </w:r>
      <w:r w:rsidR="00E64464" w:rsidRPr="00B00F58">
        <w:rPr>
          <w:rFonts w:ascii="Times New Roman" w:hAnsi="Times New Roman" w:cs="Times New Roman"/>
          <w:sz w:val="24"/>
          <w:szCs w:val="24"/>
        </w:rPr>
        <w:t xml:space="preserve">The ACC was adopted on June 25 and subsequently incorporated into CEDARS production on July 16. MCE was already well into the portfolio planning process by the time and had to rely on the previously avoided cost version to forecast its portfolio for the 2021 program year. </w:t>
      </w:r>
      <w:r w:rsidR="0013178B">
        <w:rPr>
          <w:rFonts w:ascii="Times New Roman" w:hAnsi="Times New Roman" w:cs="Times New Roman"/>
          <w:sz w:val="24"/>
          <w:szCs w:val="24"/>
        </w:rPr>
        <w:t>It can be difficult to predict the</w:t>
      </w:r>
      <w:r w:rsidR="00BC47A6" w:rsidRPr="00B00F58">
        <w:rPr>
          <w:rFonts w:ascii="Times New Roman" w:hAnsi="Times New Roman" w:cs="Times New Roman"/>
          <w:sz w:val="24"/>
          <w:szCs w:val="24"/>
        </w:rPr>
        <w:t xml:space="preserve"> magnitude or direction of the </w:t>
      </w:r>
      <w:r w:rsidR="0013178B">
        <w:rPr>
          <w:rFonts w:ascii="Times New Roman" w:hAnsi="Times New Roman" w:cs="Times New Roman"/>
          <w:sz w:val="24"/>
          <w:szCs w:val="24"/>
        </w:rPr>
        <w:t xml:space="preserve">annual </w:t>
      </w:r>
      <w:r w:rsidR="00BC47A6" w:rsidRPr="00B00F58">
        <w:rPr>
          <w:rFonts w:ascii="Times New Roman" w:hAnsi="Times New Roman" w:cs="Times New Roman"/>
          <w:sz w:val="24"/>
          <w:szCs w:val="24"/>
        </w:rPr>
        <w:t xml:space="preserve">ACC update. </w:t>
      </w:r>
      <w:r w:rsidR="0013178B">
        <w:rPr>
          <w:rFonts w:ascii="Times New Roman" w:hAnsi="Times New Roman" w:cs="Times New Roman"/>
          <w:sz w:val="24"/>
          <w:szCs w:val="24"/>
        </w:rPr>
        <w:t>Many programs require more than one year to plan, launch, develop a pipeline and see projects through to completion. Annual avoided cost updates</w:t>
      </w:r>
      <w:r w:rsidR="00942F1A">
        <w:rPr>
          <w:rFonts w:ascii="Times New Roman" w:hAnsi="Times New Roman" w:cs="Times New Roman"/>
          <w:sz w:val="24"/>
          <w:szCs w:val="24"/>
        </w:rPr>
        <w:t xml:space="preserve"> </w:t>
      </w:r>
      <w:r w:rsidR="00B2234F">
        <w:rPr>
          <w:rFonts w:ascii="Times New Roman" w:hAnsi="Times New Roman" w:cs="Times New Roman"/>
          <w:sz w:val="24"/>
          <w:szCs w:val="24"/>
        </w:rPr>
        <w:t>create</w:t>
      </w:r>
      <w:r w:rsidR="00942F1A">
        <w:rPr>
          <w:rFonts w:ascii="Times New Roman" w:hAnsi="Times New Roman" w:cs="Times New Roman"/>
          <w:sz w:val="24"/>
          <w:szCs w:val="24"/>
        </w:rPr>
        <w:t xml:space="preserve"> uncertainty that undermines long term program planning.</w:t>
      </w:r>
    </w:p>
    <w:p w14:paraId="35D6AA58" w14:textId="77777777" w:rsidR="0013178B" w:rsidRPr="00B00F58" w:rsidRDefault="0013178B" w:rsidP="00F54DB1">
      <w:pPr>
        <w:jc w:val="both"/>
        <w:rPr>
          <w:rFonts w:ascii="Times New Roman" w:hAnsi="Times New Roman" w:cs="Times New Roman"/>
          <w:sz w:val="24"/>
          <w:szCs w:val="24"/>
        </w:rPr>
      </w:pPr>
    </w:p>
    <w:p w14:paraId="3CEF8548" w14:textId="0623D0CF" w:rsidR="00D55A67" w:rsidRPr="00D92493" w:rsidRDefault="00D55A67" w:rsidP="00B84EF5">
      <w:pPr>
        <w:pStyle w:val="Heading3"/>
        <w:rPr>
          <w:rFonts w:ascii="Times New Roman" w:hAnsi="Times New Roman" w:cs="Times New Roman"/>
        </w:rPr>
      </w:pPr>
      <w:r w:rsidRPr="00D92493">
        <w:rPr>
          <w:rFonts w:ascii="Times New Roman" w:hAnsi="Times New Roman" w:cs="Times New Roman"/>
        </w:rPr>
        <w:lastRenderedPageBreak/>
        <w:t>Portfolio Strategies to Increase Cost-Effectiveness in 2021</w:t>
      </w:r>
    </w:p>
    <w:p w14:paraId="6D364EDC" w14:textId="48F44B76" w:rsidR="00E64464" w:rsidRPr="00B00F58" w:rsidRDefault="00E64464" w:rsidP="00B84EF5">
      <w:pPr>
        <w:jc w:val="both"/>
        <w:rPr>
          <w:rFonts w:ascii="Times New Roman" w:hAnsi="Times New Roman" w:cs="Times New Roman"/>
          <w:sz w:val="24"/>
          <w:szCs w:val="24"/>
        </w:rPr>
      </w:pPr>
      <w:r w:rsidRPr="00B00F58">
        <w:rPr>
          <w:rFonts w:ascii="Times New Roman" w:hAnsi="Times New Roman" w:cs="Times New Roman"/>
          <w:sz w:val="24"/>
          <w:szCs w:val="24"/>
        </w:rPr>
        <w:t>While no one can predict the extent of the COVID-19 situation and its impact as they are still unfolding, we are continuing to adapt and committed to serving our customers well during this uncertain time. MCE is more confident in meeting</w:t>
      </w:r>
      <w:r w:rsidR="0055539F" w:rsidRPr="00B00F58">
        <w:rPr>
          <w:rFonts w:ascii="Times New Roman" w:hAnsi="Times New Roman" w:cs="Times New Roman"/>
          <w:sz w:val="24"/>
          <w:szCs w:val="24"/>
        </w:rPr>
        <w:t xml:space="preserve"> the evaluated TRC requirement </w:t>
      </w:r>
      <w:r w:rsidR="00DF7BF3" w:rsidRPr="00B00F58">
        <w:rPr>
          <w:rFonts w:ascii="Times New Roman" w:hAnsi="Times New Roman" w:cs="Times New Roman"/>
          <w:sz w:val="24"/>
          <w:szCs w:val="24"/>
        </w:rPr>
        <w:t xml:space="preserve">of 1.0 </w:t>
      </w:r>
      <w:r w:rsidR="0055539F" w:rsidRPr="00B00F58">
        <w:rPr>
          <w:rFonts w:ascii="Times New Roman" w:hAnsi="Times New Roman" w:cs="Times New Roman"/>
          <w:sz w:val="24"/>
          <w:szCs w:val="24"/>
        </w:rPr>
        <w:t>due to the following reasons.</w:t>
      </w:r>
    </w:p>
    <w:p w14:paraId="5F277715" w14:textId="3D8BF8E8" w:rsidR="00476863" w:rsidRPr="00B00F58" w:rsidRDefault="00476863" w:rsidP="00476863">
      <w:pPr>
        <w:pStyle w:val="Heading4"/>
        <w:rPr>
          <w:rFonts w:ascii="Times New Roman" w:hAnsi="Times New Roman" w:cs="Times New Roman"/>
          <w:sz w:val="24"/>
          <w:szCs w:val="24"/>
        </w:rPr>
      </w:pPr>
      <w:r w:rsidRPr="00B00F58">
        <w:rPr>
          <w:rFonts w:ascii="Times New Roman" w:hAnsi="Times New Roman" w:cs="Times New Roman"/>
          <w:sz w:val="24"/>
          <w:szCs w:val="24"/>
        </w:rPr>
        <w:t>Program Launches and Ramp Up</w:t>
      </w:r>
    </w:p>
    <w:p w14:paraId="33B767D1" w14:textId="111CDB9D" w:rsidR="00E70103" w:rsidRPr="00B00F58" w:rsidRDefault="00476863" w:rsidP="00E70103">
      <w:pPr>
        <w:pStyle w:val="ListParagraph"/>
        <w:numPr>
          <w:ilvl w:val="0"/>
          <w:numId w:val="8"/>
        </w:numPr>
        <w:jc w:val="both"/>
        <w:rPr>
          <w:rFonts w:ascii="Times New Roman" w:hAnsi="Times New Roman" w:cs="Times New Roman"/>
          <w:sz w:val="24"/>
          <w:szCs w:val="24"/>
        </w:rPr>
      </w:pPr>
      <w:r w:rsidRPr="00B00F58">
        <w:rPr>
          <w:rFonts w:ascii="Times New Roman" w:hAnsi="Times New Roman" w:cs="Times New Roman"/>
          <w:sz w:val="24"/>
          <w:szCs w:val="24"/>
        </w:rPr>
        <w:t xml:space="preserve">MCE has launched and ramped up </w:t>
      </w:r>
      <w:r w:rsidR="00950B3F" w:rsidRPr="00B00F58">
        <w:rPr>
          <w:rFonts w:ascii="Times New Roman" w:hAnsi="Times New Roman" w:cs="Times New Roman"/>
          <w:sz w:val="24"/>
          <w:szCs w:val="24"/>
        </w:rPr>
        <w:t>five</w:t>
      </w:r>
      <w:r w:rsidRPr="00B00F58">
        <w:rPr>
          <w:rFonts w:ascii="Times New Roman" w:hAnsi="Times New Roman" w:cs="Times New Roman"/>
          <w:sz w:val="24"/>
          <w:szCs w:val="24"/>
        </w:rPr>
        <w:t xml:space="preserve"> new programs</w:t>
      </w:r>
      <w:r w:rsidR="00950B3F" w:rsidRPr="00B00F58">
        <w:rPr>
          <w:rFonts w:ascii="Times New Roman" w:hAnsi="Times New Roman" w:cs="Times New Roman"/>
          <w:sz w:val="24"/>
          <w:szCs w:val="24"/>
        </w:rPr>
        <w:t xml:space="preserve"> since Business Plan approval</w:t>
      </w:r>
      <w:r w:rsidR="00E70103" w:rsidRPr="00B00F58">
        <w:rPr>
          <w:rFonts w:ascii="Times New Roman" w:hAnsi="Times New Roman" w:cs="Times New Roman"/>
          <w:sz w:val="24"/>
          <w:szCs w:val="24"/>
        </w:rPr>
        <w:t xml:space="preserve"> and </w:t>
      </w:r>
      <w:r w:rsidRPr="00B00F58">
        <w:rPr>
          <w:rFonts w:ascii="Times New Roman" w:hAnsi="Times New Roman" w:cs="Times New Roman"/>
          <w:sz w:val="24"/>
          <w:szCs w:val="24"/>
        </w:rPr>
        <w:t>expect</w:t>
      </w:r>
      <w:r w:rsidR="00E70103" w:rsidRPr="00B00F58">
        <w:rPr>
          <w:rFonts w:ascii="Times New Roman" w:hAnsi="Times New Roman" w:cs="Times New Roman"/>
          <w:sz w:val="24"/>
          <w:szCs w:val="24"/>
        </w:rPr>
        <w:t>s</w:t>
      </w:r>
      <w:r w:rsidRPr="00B00F58">
        <w:rPr>
          <w:rFonts w:ascii="Times New Roman" w:hAnsi="Times New Roman" w:cs="Times New Roman"/>
          <w:sz w:val="24"/>
          <w:szCs w:val="24"/>
        </w:rPr>
        <w:t xml:space="preserve"> to generate savings in 2020 and 2021. Additionally, MCE’s agricultural, industrial, and commercial programs are expected to deliver cost-effective savings to help offset some of the less cost-effective programs in MCE’s portfolio.</w:t>
      </w:r>
    </w:p>
    <w:p w14:paraId="1B21DCC6" w14:textId="778C186D" w:rsidR="00DF7BF3" w:rsidRPr="00B00F58" w:rsidRDefault="00DF7BF3" w:rsidP="00E70103">
      <w:pPr>
        <w:pStyle w:val="ListParagraph"/>
        <w:numPr>
          <w:ilvl w:val="0"/>
          <w:numId w:val="8"/>
        </w:numPr>
        <w:jc w:val="both"/>
        <w:rPr>
          <w:rFonts w:ascii="Times New Roman" w:hAnsi="Times New Roman" w:cs="Times New Roman"/>
          <w:sz w:val="24"/>
          <w:szCs w:val="24"/>
        </w:rPr>
      </w:pPr>
      <w:r w:rsidRPr="00B00F58">
        <w:rPr>
          <w:rFonts w:ascii="Times New Roman" w:hAnsi="Times New Roman" w:cs="Times New Roman"/>
          <w:sz w:val="24"/>
          <w:szCs w:val="24"/>
        </w:rPr>
        <w:t xml:space="preserve">MCE is </w:t>
      </w:r>
      <w:r w:rsidR="00AE1F2F" w:rsidRPr="00B00F58">
        <w:rPr>
          <w:rFonts w:ascii="Times New Roman" w:hAnsi="Times New Roman" w:cs="Times New Roman"/>
          <w:sz w:val="24"/>
          <w:szCs w:val="24"/>
        </w:rPr>
        <w:t>preparing to roll out energy efficiency programs to MCE’s two newest communities Pleasant Hill and Vallejo.</w:t>
      </w:r>
    </w:p>
    <w:p w14:paraId="703E9CB4" w14:textId="5B5C9947" w:rsidR="00950B3F" w:rsidRPr="00B00F58" w:rsidRDefault="00950B3F" w:rsidP="00950B3F">
      <w:pPr>
        <w:pStyle w:val="Heading4"/>
        <w:rPr>
          <w:rFonts w:ascii="Times New Roman" w:hAnsi="Times New Roman" w:cs="Times New Roman"/>
          <w:sz w:val="24"/>
          <w:szCs w:val="24"/>
        </w:rPr>
      </w:pPr>
      <w:r w:rsidRPr="00B00F58">
        <w:rPr>
          <w:rFonts w:ascii="Times New Roman" w:hAnsi="Times New Roman" w:cs="Times New Roman"/>
          <w:sz w:val="24"/>
          <w:szCs w:val="24"/>
        </w:rPr>
        <w:t>New Implementation Strategies</w:t>
      </w:r>
    </w:p>
    <w:p w14:paraId="1C221575" w14:textId="7C9131BB" w:rsidR="00950B3F" w:rsidRPr="00B00F58" w:rsidRDefault="00950B3F" w:rsidP="00950B3F">
      <w:pPr>
        <w:pStyle w:val="ListParagraph"/>
        <w:numPr>
          <w:ilvl w:val="0"/>
          <w:numId w:val="8"/>
        </w:numPr>
        <w:rPr>
          <w:rFonts w:ascii="Times New Roman" w:hAnsi="Times New Roman" w:cs="Times New Roman"/>
          <w:sz w:val="24"/>
          <w:szCs w:val="24"/>
        </w:rPr>
      </w:pPr>
      <w:r w:rsidRPr="00B00F58">
        <w:rPr>
          <w:rFonts w:ascii="Times New Roman" w:hAnsi="Times New Roman" w:cs="Times New Roman"/>
          <w:sz w:val="24"/>
          <w:szCs w:val="24"/>
        </w:rPr>
        <w:t>The modifications to the former three-prong-test have paved a way for the inclusion of fuel substitution measures in energy efficiency portfolios. MCE is incorporating fuel substitution measures into its 2021 portfolio as a viable long-term strategy for California to meet its carbon reduction goal.</w:t>
      </w:r>
    </w:p>
    <w:p w14:paraId="1DA23C1F" w14:textId="65A2F94C" w:rsidR="00950B3F" w:rsidRPr="00B00F58" w:rsidRDefault="00950B3F" w:rsidP="00950B3F">
      <w:pPr>
        <w:pStyle w:val="ListParagraph"/>
        <w:numPr>
          <w:ilvl w:val="0"/>
          <w:numId w:val="8"/>
        </w:numPr>
        <w:rPr>
          <w:rFonts w:ascii="Times New Roman" w:hAnsi="Times New Roman" w:cs="Times New Roman"/>
          <w:sz w:val="24"/>
          <w:szCs w:val="24"/>
        </w:rPr>
      </w:pPr>
      <w:r w:rsidRPr="00B00F58">
        <w:rPr>
          <w:rFonts w:ascii="Times New Roman" w:hAnsi="Times New Roman" w:cs="Times New Roman"/>
          <w:sz w:val="24"/>
          <w:szCs w:val="24"/>
        </w:rPr>
        <w:t xml:space="preserve">Most custom and deemed energy efficiency programs focus on above code savings, using code and industry-standard practice (ISP) as baselines to determine savings. By using NMEC, MCE can focus on increasing the energy efficiency of existing buildings </w:t>
      </w:r>
      <w:r w:rsidR="00DF7BF3" w:rsidRPr="00B00F58">
        <w:rPr>
          <w:rFonts w:ascii="Times New Roman" w:hAnsi="Times New Roman" w:cs="Times New Roman"/>
          <w:sz w:val="24"/>
          <w:szCs w:val="24"/>
        </w:rPr>
        <w:t xml:space="preserve">in its Commercial sector to unlock to-code savings </w:t>
      </w:r>
      <w:r w:rsidRPr="00B00F58">
        <w:rPr>
          <w:rFonts w:ascii="Times New Roman" w:hAnsi="Times New Roman" w:cs="Times New Roman"/>
          <w:sz w:val="24"/>
          <w:szCs w:val="24"/>
        </w:rPr>
        <w:t>that are often left stranded.</w:t>
      </w:r>
      <w:r w:rsidR="00AE1F2F" w:rsidRPr="00B00F58">
        <w:rPr>
          <w:rFonts w:ascii="Times New Roman" w:hAnsi="Times New Roman" w:cs="Times New Roman"/>
          <w:sz w:val="24"/>
          <w:szCs w:val="24"/>
        </w:rPr>
        <w:t xml:space="preserve"> Additionally, this population-level NMEC component will align energy efficiency procurement with the program’s delivered net benefits, by incentivizing time-dependent savings, thoughtful measure selection, and customer targeting focused on load shape and demand profiles.</w:t>
      </w:r>
    </w:p>
    <w:p w14:paraId="19F6E506" w14:textId="0D9CA8B3" w:rsidR="00DF7BF3" w:rsidRPr="00B00F58" w:rsidRDefault="00DF7BF3" w:rsidP="00DF7BF3">
      <w:pPr>
        <w:pStyle w:val="ListParagraph"/>
        <w:numPr>
          <w:ilvl w:val="0"/>
          <w:numId w:val="8"/>
        </w:numPr>
        <w:rPr>
          <w:rFonts w:ascii="Times New Roman" w:hAnsi="Times New Roman" w:cs="Times New Roman"/>
          <w:sz w:val="24"/>
          <w:szCs w:val="24"/>
        </w:rPr>
      </w:pPr>
      <w:r w:rsidRPr="00B00F58">
        <w:rPr>
          <w:rFonts w:ascii="Times New Roman" w:hAnsi="Times New Roman" w:cs="Times New Roman"/>
          <w:sz w:val="24"/>
          <w:szCs w:val="24"/>
        </w:rPr>
        <w:t>MCE deployed Strategic Energy Management (SEM) and Behavioral Retro commissioning, and Operational (BROs) participation pathways in its energy efficiency programs. MCE designed these participation pathways to help large Industrial, Agricultural, and Commercial customers overcome the multiple barriers associated with cost-effective energy efficiency investments.</w:t>
      </w:r>
    </w:p>
    <w:p w14:paraId="7EABBB69" w14:textId="3E6D09D1" w:rsidR="00AE1F2F" w:rsidRPr="00B00F58" w:rsidRDefault="00DF7BF3" w:rsidP="00AE1F2F">
      <w:pPr>
        <w:pStyle w:val="ListParagraph"/>
        <w:numPr>
          <w:ilvl w:val="0"/>
          <w:numId w:val="8"/>
        </w:numPr>
        <w:rPr>
          <w:rFonts w:ascii="Times New Roman" w:hAnsi="Times New Roman" w:cs="Times New Roman"/>
          <w:sz w:val="24"/>
          <w:szCs w:val="24"/>
        </w:rPr>
      </w:pPr>
      <w:r w:rsidRPr="00B00F58">
        <w:rPr>
          <w:rFonts w:ascii="Times New Roman" w:hAnsi="Times New Roman" w:cs="Times New Roman"/>
          <w:sz w:val="24"/>
          <w:szCs w:val="24"/>
        </w:rPr>
        <w:t>MCE improved program coordination and referral systems with other partner programs to improve cost-effectiveness without limiting opportunities for customers.</w:t>
      </w:r>
    </w:p>
    <w:p w14:paraId="692DD070" w14:textId="443ADCCE" w:rsidR="00950B3F" w:rsidRPr="00B00F58" w:rsidRDefault="00950B3F" w:rsidP="0098404F">
      <w:pPr>
        <w:pStyle w:val="Heading4"/>
        <w:rPr>
          <w:rFonts w:ascii="Times New Roman" w:hAnsi="Times New Roman" w:cs="Times New Roman"/>
          <w:sz w:val="24"/>
          <w:szCs w:val="24"/>
        </w:rPr>
      </w:pPr>
      <w:r w:rsidRPr="00B00F58">
        <w:rPr>
          <w:rFonts w:ascii="Times New Roman" w:hAnsi="Times New Roman" w:cs="Times New Roman"/>
          <w:sz w:val="24"/>
          <w:szCs w:val="24"/>
        </w:rPr>
        <w:t>AMI Analytics</w:t>
      </w:r>
    </w:p>
    <w:p w14:paraId="70721EF8" w14:textId="39253AF1" w:rsidR="00AE1F2F" w:rsidRPr="00B00F58" w:rsidRDefault="00AE1F2F" w:rsidP="00AE1F2F">
      <w:pPr>
        <w:pStyle w:val="ListParagraph"/>
        <w:numPr>
          <w:ilvl w:val="0"/>
          <w:numId w:val="9"/>
        </w:numPr>
        <w:rPr>
          <w:rFonts w:ascii="Times New Roman" w:hAnsi="Times New Roman" w:cs="Times New Roman"/>
          <w:sz w:val="24"/>
          <w:szCs w:val="24"/>
        </w:rPr>
      </w:pPr>
      <w:r w:rsidRPr="00B00F58">
        <w:rPr>
          <w:rFonts w:ascii="Times New Roman" w:hAnsi="Times New Roman" w:cs="Times New Roman"/>
          <w:sz w:val="24"/>
          <w:szCs w:val="24"/>
        </w:rPr>
        <w:t>MCE is leveraging new AMI data flows and analytics tools to understand COVID impacts. With AMI data available from across our service area, and an effective project “start” date (when shelter in place orders took effect), MCE now has insights into the highly variable load shape and demand impacts that COVID has had on our nonresidential customers - in aggregate and by sector. Insights from the COVID analytics work will be applied to program implementation and planning.</w:t>
      </w:r>
    </w:p>
    <w:p w14:paraId="7D3C1EE1" w14:textId="05E3C6D5" w:rsidR="00B84EF5" w:rsidRPr="00D92493" w:rsidRDefault="00B84EF5" w:rsidP="00D55A67">
      <w:pPr>
        <w:pStyle w:val="Heading2"/>
        <w:rPr>
          <w:rFonts w:ascii="Times New Roman" w:hAnsi="Times New Roman" w:cs="Times New Roman"/>
        </w:rPr>
      </w:pPr>
      <w:r w:rsidRPr="00D92493">
        <w:rPr>
          <w:rFonts w:ascii="Times New Roman" w:hAnsi="Times New Roman" w:cs="Times New Roman"/>
        </w:rPr>
        <w:lastRenderedPageBreak/>
        <w:t>Proposed P</w:t>
      </w:r>
      <w:r w:rsidR="006939D4" w:rsidRPr="00D92493">
        <w:rPr>
          <w:rFonts w:ascii="Times New Roman" w:hAnsi="Times New Roman" w:cs="Times New Roman"/>
        </w:rPr>
        <w:t>ortfolio</w:t>
      </w:r>
      <w:r w:rsidRPr="00D92493">
        <w:rPr>
          <w:rFonts w:ascii="Times New Roman" w:hAnsi="Times New Roman" w:cs="Times New Roman"/>
        </w:rPr>
        <w:t xml:space="preserve"> and P</w:t>
      </w:r>
      <w:r w:rsidR="006939D4" w:rsidRPr="00D92493">
        <w:rPr>
          <w:rFonts w:ascii="Times New Roman" w:hAnsi="Times New Roman" w:cs="Times New Roman"/>
        </w:rPr>
        <w:t>rogram</w:t>
      </w:r>
      <w:r w:rsidRPr="00D92493">
        <w:rPr>
          <w:rFonts w:ascii="Times New Roman" w:hAnsi="Times New Roman" w:cs="Times New Roman"/>
        </w:rPr>
        <w:t xml:space="preserve"> Changes</w:t>
      </w:r>
    </w:p>
    <w:p w14:paraId="7DF1154F" w14:textId="77777777" w:rsidR="008E5F25" w:rsidRPr="00D92493" w:rsidRDefault="008E5F25" w:rsidP="008E5F25">
      <w:pPr>
        <w:pStyle w:val="Heading3"/>
        <w:rPr>
          <w:rFonts w:ascii="Times New Roman" w:hAnsi="Times New Roman" w:cs="Times New Roman"/>
        </w:rPr>
      </w:pPr>
      <w:r w:rsidRPr="00D92493">
        <w:rPr>
          <w:rFonts w:ascii="Times New Roman" w:hAnsi="Times New Roman" w:cs="Times New Roman"/>
        </w:rPr>
        <w:t>New Program to be Launched in 2021</w:t>
      </w:r>
    </w:p>
    <w:p w14:paraId="24CB7FFF" w14:textId="77777777" w:rsidR="008E5F25" w:rsidRPr="00B00F58" w:rsidRDefault="008E5F25" w:rsidP="008E5F25">
      <w:pPr>
        <w:rPr>
          <w:rFonts w:ascii="Times New Roman" w:hAnsi="Times New Roman" w:cs="Times New Roman"/>
          <w:sz w:val="24"/>
          <w:szCs w:val="24"/>
        </w:rPr>
      </w:pPr>
      <w:r w:rsidRPr="00B00F58">
        <w:rPr>
          <w:rFonts w:ascii="Times New Roman" w:hAnsi="Times New Roman" w:cs="Times New Roman"/>
          <w:sz w:val="24"/>
          <w:szCs w:val="24"/>
        </w:rPr>
        <w:t>MCE is not proposing new programs for 2021.</w:t>
      </w:r>
    </w:p>
    <w:p w14:paraId="0E4F8CDC" w14:textId="38D91294" w:rsidR="006939D4" w:rsidRDefault="006939D4" w:rsidP="006939D4">
      <w:pPr>
        <w:pStyle w:val="Heading3"/>
        <w:rPr>
          <w:rFonts w:ascii="Times New Roman" w:hAnsi="Times New Roman" w:cs="Times New Roman"/>
        </w:rPr>
      </w:pPr>
      <w:r w:rsidRPr="00D92493">
        <w:rPr>
          <w:rFonts w:ascii="Times New Roman" w:hAnsi="Times New Roman" w:cs="Times New Roman"/>
        </w:rPr>
        <w:t>Program</w:t>
      </w:r>
      <w:r w:rsidR="00B21EC9" w:rsidRPr="00D92493">
        <w:rPr>
          <w:rFonts w:ascii="Times New Roman" w:hAnsi="Times New Roman" w:cs="Times New Roman"/>
        </w:rPr>
        <w:t xml:space="preserve"> Cancellation</w:t>
      </w:r>
    </w:p>
    <w:p w14:paraId="57B46BED" w14:textId="77777777" w:rsidR="00651E26" w:rsidRPr="00651E26" w:rsidRDefault="00651E26" w:rsidP="00651E26">
      <w:pPr>
        <w:spacing w:after="0" w:line="240" w:lineRule="auto"/>
        <w:jc w:val="both"/>
        <w:rPr>
          <w:rFonts w:ascii="Times New Roman" w:eastAsia="Times New Roman" w:hAnsi="Times New Roman" w:cs="Times New Roman"/>
          <w:sz w:val="24"/>
          <w:szCs w:val="24"/>
        </w:rPr>
      </w:pPr>
      <w:r w:rsidRPr="00651E26">
        <w:rPr>
          <w:rFonts w:ascii="Times New Roman" w:eastAsia="Times New Roman" w:hAnsi="Times New Roman" w:cs="Times New Roman"/>
          <w:b/>
          <w:sz w:val="24"/>
          <w:szCs w:val="24"/>
          <w:u w:val="single"/>
        </w:rPr>
        <w:t>Multifamily Direct Install Program:</w:t>
      </w:r>
      <w:r w:rsidRPr="00651E26">
        <w:rPr>
          <w:rFonts w:ascii="Times New Roman" w:eastAsia="Times New Roman" w:hAnsi="Times New Roman" w:cs="Times New Roman"/>
          <w:sz w:val="24"/>
          <w:szCs w:val="24"/>
        </w:rPr>
        <w:t xml:space="preserve"> </w:t>
      </w:r>
    </w:p>
    <w:p w14:paraId="3F9D4EEB" w14:textId="4C09613A" w:rsidR="00651E26" w:rsidRPr="00651E26" w:rsidRDefault="00651E26" w:rsidP="00651E26">
      <w:pPr>
        <w:spacing w:after="0" w:line="240" w:lineRule="auto"/>
        <w:jc w:val="both"/>
        <w:rPr>
          <w:rFonts w:ascii="Times New Roman" w:eastAsia="Times New Roman" w:hAnsi="Times New Roman" w:cs="Times New Roman"/>
          <w:bCs/>
          <w:sz w:val="24"/>
          <w:szCs w:val="24"/>
        </w:rPr>
      </w:pPr>
      <w:r w:rsidRPr="00651E26">
        <w:rPr>
          <w:rFonts w:ascii="Times New Roman" w:eastAsia="Times New Roman" w:hAnsi="Times New Roman" w:cs="Times New Roman"/>
          <w:bCs/>
          <w:sz w:val="24"/>
          <w:szCs w:val="24"/>
        </w:rPr>
        <w:t>The Multifamily Direct Install program provide</w:t>
      </w:r>
      <w:r w:rsidR="00347CC9">
        <w:rPr>
          <w:rFonts w:ascii="Times New Roman" w:eastAsia="Times New Roman" w:hAnsi="Times New Roman" w:cs="Times New Roman"/>
          <w:bCs/>
          <w:sz w:val="24"/>
          <w:szCs w:val="24"/>
        </w:rPr>
        <w:t>d</w:t>
      </w:r>
      <w:r w:rsidRPr="00651E26">
        <w:rPr>
          <w:rFonts w:ascii="Times New Roman" w:eastAsia="Times New Roman" w:hAnsi="Times New Roman" w:cs="Times New Roman"/>
          <w:bCs/>
          <w:sz w:val="24"/>
          <w:szCs w:val="24"/>
        </w:rPr>
        <w:t xml:space="preserve"> no-cost EE measures to eligible homeowners and tenants in multifamily dwellings in MCE’s service area. This program target</w:t>
      </w:r>
      <w:r w:rsidR="00347CC9">
        <w:rPr>
          <w:rFonts w:ascii="Times New Roman" w:eastAsia="Times New Roman" w:hAnsi="Times New Roman" w:cs="Times New Roman"/>
          <w:bCs/>
          <w:sz w:val="24"/>
          <w:szCs w:val="24"/>
        </w:rPr>
        <w:t>ed</w:t>
      </w:r>
      <w:r w:rsidRPr="00651E26">
        <w:rPr>
          <w:rFonts w:ascii="Times New Roman" w:eastAsia="Times New Roman" w:hAnsi="Times New Roman" w:cs="Times New Roman"/>
          <w:bCs/>
          <w:sz w:val="24"/>
          <w:szCs w:val="24"/>
        </w:rPr>
        <w:t xml:space="preserve"> (but is not limited to) customers in Disadvantaged Communities (DACs) whose household income exceeds 200% of the Federal Poverty Guidelines (FPG). The target</w:t>
      </w:r>
      <w:r w:rsidR="00B00F58">
        <w:rPr>
          <w:rFonts w:ascii="Times New Roman" w:eastAsia="Times New Roman" w:hAnsi="Times New Roman" w:cs="Times New Roman"/>
          <w:bCs/>
          <w:sz w:val="24"/>
          <w:szCs w:val="24"/>
        </w:rPr>
        <w:t>ed</w:t>
      </w:r>
      <w:r w:rsidRPr="00651E26">
        <w:rPr>
          <w:rFonts w:ascii="Times New Roman" w:eastAsia="Times New Roman" w:hAnsi="Times New Roman" w:cs="Times New Roman"/>
          <w:bCs/>
          <w:sz w:val="24"/>
          <w:szCs w:val="24"/>
        </w:rPr>
        <w:t xml:space="preserve"> group’s income exceeds the limit to receive services through programs like PG&amp;E’s Energy Savings Assistance Program (ESA) and MCE’s Low-Income Families and Tenants (LIFT) Program, yet customers are still income constrained (lower middle-income). While there is no income cap to participate in the program, the program targets renters in particular neighborhoods to ensure that lower middle-income customers are reached. The goal is to introduce this market sector to the concepts of energy efficiency, provide upgrades that reduce household energy consumption and encourage a pathway toward deeper energy retrofits offered through existing and emerging market rate programs and technologies. EE measures include</w:t>
      </w:r>
      <w:r w:rsidR="00B00F58">
        <w:rPr>
          <w:rFonts w:ascii="Times New Roman" w:eastAsia="Times New Roman" w:hAnsi="Times New Roman" w:cs="Times New Roman"/>
          <w:bCs/>
          <w:sz w:val="24"/>
          <w:szCs w:val="24"/>
        </w:rPr>
        <w:t>d</w:t>
      </w:r>
      <w:r w:rsidRPr="00651E26">
        <w:rPr>
          <w:rFonts w:ascii="Times New Roman" w:eastAsia="Times New Roman" w:hAnsi="Times New Roman" w:cs="Times New Roman"/>
          <w:bCs/>
          <w:sz w:val="24"/>
          <w:szCs w:val="24"/>
        </w:rPr>
        <w:t xml:space="preserve"> low-flow showerheads (with and without thermostat), shower restriction valve (TSV), kitchen faucet aerators, and 11W screw-in LEDs. The program also offer</w:t>
      </w:r>
      <w:r w:rsidR="00B00F58">
        <w:rPr>
          <w:rFonts w:ascii="Times New Roman" w:eastAsia="Times New Roman" w:hAnsi="Times New Roman" w:cs="Times New Roman"/>
          <w:bCs/>
          <w:sz w:val="24"/>
          <w:szCs w:val="24"/>
        </w:rPr>
        <w:t>ed</w:t>
      </w:r>
      <w:r w:rsidRPr="00651E26">
        <w:rPr>
          <w:rFonts w:ascii="Times New Roman" w:eastAsia="Times New Roman" w:hAnsi="Times New Roman" w:cs="Times New Roman"/>
          <w:bCs/>
          <w:sz w:val="24"/>
          <w:szCs w:val="24"/>
        </w:rPr>
        <w:t xml:space="preserve"> a limited number of electric heat pump replacement for electric water heaters. MCE ended this program</w:t>
      </w:r>
      <w:r w:rsidRPr="00651E26">
        <w:rPr>
          <w:rFonts w:ascii="Times New Roman" w:eastAsia="Times New Roman" w:hAnsi="Times New Roman" w:cs="Times New Roman"/>
          <w:sz w:val="24"/>
          <w:szCs w:val="24"/>
        </w:rPr>
        <w:t xml:space="preserve"> as it was not found to be cost effective as a result low participation, limited deemed measure offerings due to workpapers expiring, and COVID impacts.</w:t>
      </w:r>
    </w:p>
    <w:p w14:paraId="10E975D3" w14:textId="77777777" w:rsidR="00651E26" w:rsidRPr="00651E26" w:rsidRDefault="00651E26" w:rsidP="00651E26">
      <w:pPr>
        <w:spacing w:after="0" w:line="240" w:lineRule="auto"/>
        <w:ind w:left="720"/>
        <w:jc w:val="both"/>
        <w:rPr>
          <w:rFonts w:ascii="Times New Roman" w:eastAsia="Times New Roman" w:hAnsi="Times New Roman" w:cs="Times New Roman"/>
          <w:sz w:val="24"/>
          <w:szCs w:val="24"/>
        </w:rPr>
      </w:pPr>
    </w:p>
    <w:p w14:paraId="6759DB12" w14:textId="77777777" w:rsidR="00651E26" w:rsidRPr="00651E26" w:rsidRDefault="00651E26" w:rsidP="00651E26">
      <w:pPr>
        <w:spacing w:after="0" w:line="240" w:lineRule="auto"/>
        <w:jc w:val="both"/>
        <w:rPr>
          <w:rFonts w:ascii="Times New Roman" w:eastAsia="Times New Roman" w:hAnsi="Times New Roman" w:cs="Times New Roman"/>
          <w:sz w:val="24"/>
          <w:szCs w:val="24"/>
        </w:rPr>
      </w:pPr>
      <w:r w:rsidRPr="00651E26">
        <w:rPr>
          <w:rFonts w:ascii="Times New Roman" w:eastAsia="Times New Roman" w:hAnsi="Times New Roman" w:cs="Times New Roman"/>
          <w:b/>
          <w:sz w:val="24"/>
          <w:szCs w:val="24"/>
          <w:u w:val="single"/>
        </w:rPr>
        <w:t>Single Family Seasonal Savings:</w:t>
      </w:r>
      <w:r w:rsidRPr="00651E26">
        <w:rPr>
          <w:rFonts w:ascii="Times New Roman" w:eastAsia="Times New Roman" w:hAnsi="Times New Roman" w:cs="Times New Roman"/>
          <w:sz w:val="24"/>
          <w:szCs w:val="24"/>
        </w:rPr>
        <w:t> </w:t>
      </w:r>
    </w:p>
    <w:p w14:paraId="58985A78" w14:textId="0B642C70" w:rsidR="00347CC9" w:rsidRDefault="00651E26" w:rsidP="00347CC9">
      <w:pPr>
        <w:spacing w:after="0" w:line="240" w:lineRule="auto"/>
        <w:jc w:val="both"/>
        <w:rPr>
          <w:rFonts w:ascii="Times New Roman" w:eastAsia="Times New Roman" w:hAnsi="Times New Roman" w:cs="Times New Roman"/>
          <w:sz w:val="24"/>
          <w:szCs w:val="24"/>
        </w:rPr>
      </w:pPr>
      <w:r w:rsidRPr="00651E26">
        <w:rPr>
          <w:rFonts w:ascii="Times New Roman" w:eastAsia="Times New Roman" w:hAnsi="Times New Roman" w:cs="Times New Roman"/>
          <w:sz w:val="24"/>
          <w:szCs w:val="24"/>
        </w:rPr>
        <w:t xml:space="preserve">This program offered customers the opportunity to make their cooling and heating schedules more efficient through a series of small adjustments to scheduled temperatures by a software algorithm. Customers were offered the program on their thermostat and/or through a phone app and must opt-in to participate. </w:t>
      </w:r>
      <w:r w:rsidR="00347CC9">
        <w:rPr>
          <w:rFonts w:ascii="Times New Roman" w:eastAsia="Times New Roman" w:hAnsi="Times New Roman" w:cs="Times New Roman"/>
          <w:sz w:val="24"/>
          <w:szCs w:val="24"/>
        </w:rPr>
        <w:t>MCE decided to end this program in 2019 after the ABAL was filed due to not being able to get a new contract in place.</w:t>
      </w:r>
    </w:p>
    <w:p w14:paraId="73FE8CC8" w14:textId="77777777" w:rsidR="00347CC9" w:rsidRPr="00347CC9" w:rsidRDefault="00347CC9" w:rsidP="00347CC9">
      <w:pPr>
        <w:spacing w:after="0" w:line="240" w:lineRule="auto"/>
        <w:jc w:val="both"/>
        <w:rPr>
          <w:rFonts w:ascii="Times New Roman" w:eastAsia="Times New Roman" w:hAnsi="Times New Roman" w:cs="Times New Roman"/>
          <w:sz w:val="24"/>
          <w:szCs w:val="24"/>
        </w:rPr>
      </w:pPr>
    </w:p>
    <w:p w14:paraId="24851925" w14:textId="0DA39BB0" w:rsidR="006939D4" w:rsidRPr="00D92493" w:rsidRDefault="006939D4" w:rsidP="006939D4">
      <w:pPr>
        <w:pStyle w:val="Heading3"/>
        <w:rPr>
          <w:rFonts w:ascii="Times New Roman" w:hAnsi="Times New Roman" w:cs="Times New Roman"/>
        </w:rPr>
      </w:pPr>
      <w:r w:rsidRPr="00D92493">
        <w:rPr>
          <w:rFonts w:ascii="Times New Roman" w:hAnsi="Times New Roman" w:cs="Times New Roman"/>
        </w:rPr>
        <w:t>Programs with Changes</w:t>
      </w:r>
    </w:p>
    <w:p w14:paraId="40E73F1C" w14:textId="77777777" w:rsidR="006939D4" w:rsidRPr="00D92493" w:rsidRDefault="006939D4" w:rsidP="006939D4">
      <w:pPr>
        <w:jc w:val="both"/>
        <w:rPr>
          <w:rFonts w:ascii="Times New Roman" w:hAnsi="Times New Roman" w:cs="Times New Roman"/>
          <w:sz w:val="24"/>
          <w:szCs w:val="24"/>
        </w:rPr>
      </w:pPr>
      <w:r w:rsidRPr="00D92493">
        <w:rPr>
          <w:rFonts w:ascii="Times New Roman" w:hAnsi="Times New Roman" w:cs="Times New Roman"/>
          <w:b/>
          <w:sz w:val="24"/>
          <w:szCs w:val="24"/>
          <w:u w:val="single"/>
        </w:rPr>
        <w:t>MCE02: Commercial Upgrade Program</w:t>
      </w:r>
      <w:r w:rsidRPr="00D92493">
        <w:rPr>
          <w:rFonts w:ascii="Times New Roman" w:hAnsi="Times New Roman" w:cs="Times New Roman"/>
          <w:sz w:val="24"/>
          <w:szCs w:val="24"/>
        </w:rPr>
        <w:t xml:space="preserve"> </w:t>
      </w:r>
    </w:p>
    <w:p w14:paraId="026CF9A8" w14:textId="77777777" w:rsidR="006939D4" w:rsidRPr="00D92493" w:rsidRDefault="006939D4" w:rsidP="006939D4">
      <w:pPr>
        <w:jc w:val="both"/>
        <w:rPr>
          <w:rFonts w:ascii="Times New Roman" w:hAnsi="Times New Roman" w:cs="Times New Roman"/>
          <w:bCs/>
          <w:sz w:val="24"/>
          <w:szCs w:val="24"/>
        </w:rPr>
      </w:pPr>
      <w:r w:rsidRPr="00D92493">
        <w:rPr>
          <w:rFonts w:ascii="Times New Roman" w:hAnsi="Times New Roman" w:cs="Times New Roman"/>
          <w:bCs/>
          <w:sz w:val="24"/>
          <w:szCs w:val="24"/>
        </w:rPr>
        <w:t xml:space="preserve">The Commercial Upgrade Program targets commercial customers in MCE's service area. Its primary objectives are to facilitate the uptake of high-quality EE projects, and to improve the technical capability, pricing and program experience of both customers and the local contractor community. The program aims to achieve these objectives by supporting customers and contractors in the development of their projects – including equipment specification, incentives and technical assessments – but also by providing a number of participation pathways that streamline the program experience and maximize customer benefit. The program is not restricted to a deemed measure list, or program-mandated business size or load requirements. Instead, the program is open to nearly any non-residential customer and provides varied participation pathways which include deemed, custom, Normalized-Metered Energy Consumption (NMEC) and Strategic Energy Management (SEM). The program contracts with multiple implementation partners in the delivery of this program. Common measures include interior and exterior LED luminaires and </w:t>
      </w:r>
      <w:r w:rsidRPr="00D92493">
        <w:rPr>
          <w:rFonts w:ascii="Times New Roman" w:hAnsi="Times New Roman" w:cs="Times New Roman"/>
          <w:bCs/>
          <w:sz w:val="24"/>
          <w:szCs w:val="24"/>
        </w:rPr>
        <w:lastRenderedPageBreak/>
        <w:t>lamps, networked lighting controls, connected thermostats, HVAC equipment, advanced rooftop controllers, ductless heat pumps, heat pump water heaters and other measures which may apply to customers in retail, office, and other non-residential building types.</w:t>
      </w:r>
    </w:p>
    <w:p w14:paraId="49BC7AAB" w14:textId="4196B903" w:rsidR="006939D4" w:rsidRDefault="006939D4" w:rsidP="006939D4">
      <w:pPr>
        <w:rPr>
          <w:rFonts w:ascii="Times New Roman" w:hAnsi="Times New Roman" w:cs="Times New Roman"/>
          <w:bCs/>
          <w:sz w:val="24"/>
          <w:szCs w:val="24"/>
        </w:rPr>
      </w:pPr>
      <w:r w:rsidRPr="00D92493">
        <w:rPr>
          <w:rFonts w:ascii="Times New Roman" w:hAnsi="Times New Roman" w:cs="Times New Roman"/>
          <w:bCs/>
          <w:sz w:val="24"/>
          <w:szCs w:val="24"/>
        </w:rPr>
        <w:t>MCE expects an expansion of the Commercial Upgrade Program in 2020 and 2021, primarily rooted in the development of population-level NMEC portfolios.</w:t>
      </w:r>
    </w:p>
    <w:p w14:paraId="4E4484A0" w14:textId="3CA487E8" w:rsidR="00A71685" w:rsidRPr="00A71685" w:rsidRDefault="00A71685" w:rsidP="00A71685">
      <w:pPr>
        <w:jc w:val="both"/>
        <w:rPr>
          <w:rFonts w:ascii="Times New Roman" w:hAnsi="Times New Roman" w:cs="Times New Roman"/>
          <w:b/>
          <w:sz w:val="24"/>
          <w:szCs w:val="24"/>
          <w:u w:val="single"/>
        </w:rPr>
      </w:pPr>
      <w:r w:rsidRPr="00A71685">
        <w:rPr>
          <w:rFonts w:ascii="Times New Roman" w:hAnsi="Times New Roman" w:cs="Times New Roman"/>
          <w:b/>
          <w:sz w:val="24"/>
          <w:szCs w:val="24"/>
          <w:u w:val="single"/>
        </w:rPr>
        <w:t>MCE07: Single</w:t>
      </w:r>
      <w:r>
        <w:rPr>
          <w:rFonts w:ascii="Times New Roman" w:hAnsi="Times New Roman" w:cs="Times New Roman"/>
          <w:b/>
          <w:sz w:val="24"/>
          <w:szCs w:val="24"/>
          <w:u w:val="single"/>
        </w:rPr>
        <w:t>-</w:t>
      </w:r>
      <w:r w:rsidRPr="00A71685">
        <w:rPr>
          <w:rFonts w:ascii="Times New Roman" w:hAnsi="Times New Roman" w:cs="Times New Roman"/>
          <w:b/>
          <w:sz w:val="24"/>
          <w:szCs w:val="24"/>
          <w:u w:val="single"/>
        </w:rPr>
        <w:t>Family Comprehensive</w:t>
      </w:r>
    </w:p>
    <w:p w14:paraId="5CCD370C" w14:textId="0EFEA96C" w:rsidR="00A71685" w:rsidRDefault="00A71685" w:rsidP="00A71685">
      <w:pPr>
        <w:spacing w:after="0" w:line="240" w:lineRule="auto"/>
        <w:jc w:val="both"/>
        <w:rPr>
          <w:rFonts w:ascii="Times New Roman" w:eastAsia="Times New Roman" w:hAnsi="Times New Roman" w:cs="Times New Roman"/>
          <w:bCs/>
          <w:sz w:val="24"/>
          <w:szCs w:val="24"/>
        </w:rPr>
      </w:pPr>
      <w:r w:rsidRPr="00A71685">
        <w:rPr>
          <w:rFonts w:ascii="Times New Roman" w:eastAsia="Times New Roman" w:hAnsi="Times New Roman" w:cs="Times New Roman"/>
          <w:bCs/>
          <w:sz w:val="24"/>
          <w:szCs w:val="24"/>
        </w:rPr>
        <w:t>In May 2020, MCE launched a downstream program for selected eligible customers to receive Home Energy Reports (HERs) at regular intervals to encourage energy- and money-saving behavioral changes. The program’s treatment group will receive a series of HERs and, if enrolled in the digital platform, digital energy budget reports and alerts, as well as access to a web portal where they can learn about additional savings potential. Customers have been enrolled into the program in compliance with the measurement and verification (M&amp;V) plan filed with the California Public Utilities Commission (CPUC) and all current CPUC behavioral NMEC program rules and requirements. The program will monitor participant eligibility on an ongoing basis, removing participants who no longer wish to participate or otherwise become ineligible to participate.</w:t>
      </w:r>
    </w:p>
    <w:p w14:paraId="5AB65B6A" w14:textId="20DDE0C7" w:rsidR="00A71685" w:rsidRDefault="00A71685" w:rsidP="00A71685">
      <w:pPr>
        <w:spacing w:after="0" w:line="240" w:lineRule="auto"/>
        <w:jc w:val="both"/>
        <w:rPr>
          <w:rFonts w:ascii="Times New Roman" w:eastAsia="Times New Roman" w:hAnsi="Times New Roman" w:cs="Times New Roman"/>
          <w:bCs/>
          <w:sz w:val="24"/>
          <w:szCs w:val="24"/>
        </w:rPr>
      </w:pPr>
    </w:p>
    <w:p w14:paraId="7B050203" w14:textId="1F343131" w:rsidR="00A71685" w:rsidRDefault="00A71685" w:rsidP="00A7168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MCE is expanding the SF Comprehensive program to include behavioral messaging to an additional 100 thousand customers.</w:t>
      </w:r>
    </w:p>
    <w:p w14:paraId="304FE4F1" w14:textId="040EB79D" w:rsidR="00A71685" w:rsidRDefault="00A71685" w:rsidP="00A71685">
      <w:pPr>
        <w:spacing w:after="0" w:line="240" w:lineRule="auto"/>
        <w:jc w:val="both"/>
        <w:rPr>
          <w:rFonts w:ascii="Times New Roman" w:eastAsia="Times New Roman" w:hAnsi="Times New Roman" w:cs="Times New Roman"/>
          <w:bCs/>
          <w:sz w:val="24"/>
          <w:szCs w:val="24"/>
        </w:rPr>
      </w:pPr>
    </w:p>
    <w:p w14:paraId="688078BF" w14:textId="77777777" w:rsidR="00A71685" w:rsidRPr="00A71685" w:rsidRDefault="00A71685" w:rsidP="00A71685">
      <w:pPr>
        <w:spacing w:after="0" w:line="240" w:lineRule="auto"/>
        <w:jc w:val="both"/>
        <w:rPr>
          <w:rFonts w:ascii="Times New Roman" w:eastAsia="Times New Roman" w:hAnsi="Times New Roman" w:cs="Times New Roman"/>
          <w:sz w:val="24"/>
          <w:szCs w:val="24"/>
        </w:rPr>
      </w:pPr>
      <w:r w:rsidRPr="00A71685">
        <w:rPr>
          <w:rFonts w:ascii="Times New Roman" w:eastAsia="Times New Roman" w:hAnsi="Times New Roman" w:cs="Times New Roman"/>
          <w:b/>
          <w:sz w:val="24"/>
          <w:szCs w:val="24"/>
          <w:u w:val="single"/>
        </w:rPr>
        <w:t>MCE16: Workforce, Education, and Training (“WE&amp;T”):</w:t>
      </w:r>
      <w:r w:rsidRPr="00A71685">
        <w:rPr>
          <w:rFonts w:ascii="Times New Roman" w:eastAsia="Times New Roman" w:hAnsi="Times New Roman" w:cs="Times New Roman"/>
          <w:sz w:val="24"/>
          <w:szCs w:val="24"/>
        </w:rPr>
        <w:t xml:space="preserve"> </w:t>
      </w:r>
    </w:p>
    <w:p w14:paraId="55B3E397" w14:textId="77777777" w:rsidR="00A71685" w:rsidRDefault="00A71685" w:rsidP="00A71685">
      <w:pPr>
        <w:spacing w:after="0" w:line="240" w:lineRule="auto"/>
        <w:jc w:val="both"/>
        <w:rPr>
          <w:rFonts w:ascii="Times New Roman" w:eastAsia="Times New Roman" w:hAnsi="Times New Roman" w:cs="Times New Roman"/>
          <w:bCs/>
          <w:sz w:val="24"/>
          <w:szCs w:val="24"/>
        </w:rPr>
      </w:pPr>
    </w:p>
    <w:p w14:paraId="0DEA3457" w14:textId="7CA15E84" w:rsidR="00A71685" w:rsidRPr="00A71685" w:rsidRDefault="00A71685" w:rsidP="00A71685">
      <w:pPr>
        <w:spacing w:after="0" w:line="240" w:lineRule="auto"/>
        <w:jc w:val="both"/>
        <w:rPr>
          <w:rFonts w:ascii="Times New Roman" w:eastAsia="Times New Roman" w:hAnsi="Times New Roman" w:cs="Times New Roman"/>
          <w:bCs/>
          <w:sz w:val="24"/>
          <w:szCs w:val="24"/>
        </w:rPr>
      </w:pPr>
      <w:r w:rsidRPr="00A71685">
        <w:rPr>
          <w:rFonts w:ascii="Times New Roman" w:eastAsia="Times New Roman" w:hAnsi="Times New Roman" w:cs="Times New Roman"/>
          <w:bCs/>
          <w:sz w:val="24"/>
          <w:szCs w:val="24"/>
        </w:rPr>
        <w:t xml:space="preserve">In May 2020, MCE’s WE&amp;T program was launched. The scope of work includes three elements: workforce engagement, MCE program-participating contractor engagement, and new workforce development. </w:t>
      </w:r>
    </w:p>
    <w:p w14:paraId="6CE6A367" w14:textId="77777777" w:rsidR="00A71685" w:rsidRPr="00A71685" w:rsidRDefault="00A71685" w:rsidP="00A71685">
      <w:pPr>
        <w:spacing w:after="0" w:line="240" w:lineRule="auto"/>
        <w:ind w:left="720"/>
        <w:jc w:val="both"/>
        <w:rPr>
          <w:rFonts w:ascii="Times New Roman" w:eastAsia="Times New Roman" w:hAnsi="Times New Roman" w:cs="Times New Roman"/>
          <w:bCs/>
          <w:sz w:val="24"/>
          <w:szCs w:val="24"/>
        </w:rPr>
      </w:pPr>
    </w:p>
    <w:p w14:paraId="6717904A" w14:textId="77777777" w:rsidR="00A71685" w:rsidRPr="00A71685" w:rsidRDefault="00A71685" w:rsidP="00A71685">
      <w:pPr>
        <w:spacing w:after="0" w:line="240" w:lineRule="auto"/>
        <w:jc w:val="both"/>
        <w:rPr>
          <w:rFonts w:ascii="Times New Roman" w:eastAsia="Times New Roman" w:hAnsi="Times New Roman" w:cs="Times New Roman"/>
          <w:bCs/>
          <w:sz w:val="24"/>
          <w:szCs w:val="24"/>
        </w:rPr>
      </w:pPr>
      <w:r w:rsidRPr="00A71685">
        <w:rPr>
          <w:rFonts w:ascii="Times New Roman" w:eastAsia="Times New Roman" w:hAnsi="Times New Roman" w:cs="Times New Roman"/>
          <w:bCs/>
          <w:sz w:val="24"/>
          <w:szCs w:val="24"/>
        </w:rPr>
        <w:t xml:space="preserve">Regarding workforce engagement, MCE and its program implementer will leverage existing relationships with industry groups to facilitate roundtable events that can increase the interest, and subsequent participation of residential contractor companies and their staff in high-performance building training. Outreach efforts will include participating contractors from disadvantaged communities and minority-focused groups to ensure diversity, equity, and inclusion. MCE will also leverage relationships with participating contractors and other vendors to gain insight into the barriers to electrification and high-performance building work. </w:t>
      </w:r>
    </w:p>
    <w:p w14:paraId="0E075A0D" w14:textId="77777777" w:rsidR="00A71685" w:rsidRPr="00A71685" w:rsidRDefault="00A71685" w:rsidP="00A71685">
      <w:pPr>
        <w:spacing w:after="0" w:line="240" w:lineRule="auto"/>
        <w:ind w:left="720"/>
        <w:jc w:val="both"/>
        <w:rPr>
          <w:rFonts w:ascii="Times New Roman" w:eastAsia="Times New Roman" w:hAnsi="Times New Roman" w:cs="Times New Roman"/>
          <w:bCs/>
          <w:sz w:val="24"/>
          <w:szCs w:val="24"/>
        </w:rPr>
      </w:pPr>
    </w:p>
    <w:p w14:paraId="4B165F2B" w14:textId="77777777" w:rsidR="00A71685" w:rsidRPr="00A71685" w:rsidRDefault="00A71685" w:rsidP="00A71685">
      <w:pPr>
        <w:spacing w:after="0" w:line="240" w:lineRule="auto"/>
        <w:jc w:val="both"/>
        <w:rPr>
          <w:rFonts w:ascii="Times New Roman" w:eastAsia="Times New Roman" w:hAnsi="Times New Roman" w:cs="Times New Roman"/>
          <w:bCs/>
          <w:sz w:val="24"/>
          <w:szCs w:val="24"/>
        </w:rPr>
      </w:pPr>
      <w:r w:rsidRPr="00A71685">
        <w:rPr>
          <w:rFonts w:ascii="Times New Roman" w:eastAsia="Times New Roman" w:hAnsi="Times New Roman" w:cs="Times New Roman"/>
          <w:bCs/>
          <w:sz w:val="24"/>
          <w:szCs w:val="24"/>
        </w:rPr>
        <w:t xml:space="preserve">Furthermore, MCE aims to provide contractors who participate in MCE programs with the fundamental building performance knowledge they need to understand how to deliver maximum value and performance within their trade and how their work can impact on the building systems or trades that they do not work on. MCE will provide participating contractors with field mentorships. Based on industry roundtables and field mentoring, MCE will establish a priority list of electrification topics for which there is an additional training need and will develop and deliver workshops for each of the identified topics. </w:t>
      </w:r>
    </w:p>
    <w:p w14:paraId="344DC22C" w14:textId="77777777" w:rsidR="00A71685" w:rsidRPr="00A71685" w:rsidRDefault="00A71685" w:rsidP="00A71685">
      <w:pPr>
        <w:spacing w:after="0" w:line="240" w:lineRule="auto"/>
        <w:ind w:left="720"/>
        <w:jc w:val="both"/>
        <w:rPr>
          <w:rFonts w:ascii="Times New Roman" w:eastAsia="Times New Roman" w:hAnsi="Times New Roman" w:cs="Times New Roman"/>
          <w:bCs/>
          <w:sz w:val="24"/>
          <w:szCs w:val="24"/>
        </w:rPr>
      </w:pPr>
    </w:p>
    <w:p w14:paraId="43A6AF24" w14:textId="261EEBC0" w:rsidR="00A71685" w:rsidRPr="00A71685" w:rsidRDefault="00A71685" w:rsidP="00A71685">
      <w:pPr>
        <w:spacing w:after="0" w:line="240" w:lineRule="auto"/>
        <w:jc w:val="both"/>
        <w:rPr>
          <w:rFonts w:ascii="Times New Roman" w:eastAsia="Times New Roman" w:hAnsi="Times New Roman" w:cs="Times New Roman"/>
          <w:bCs/>
          <w:sz w:val="24"/>
          <w:szCs w:val="24"/>
        </w:rPr>
      </w:pPr>
      <w:r w:rsidRPr="00A71685">
        <w:rPr>
          <w:rFonts w:ascii="Times New Roman" w:eastAsia="Times New Roman" w:hAnsi="Times New Roman" w:cs="Times New Roman"/>
          <w:bCs/>
          <w:sz w:val="24"/>
          <w:szCs w:val="24"/>
        </w:rPr>
        <w:t xml:space="preserve">Finally, MCE will prepare an internship program to provide job seekers home performance, energy efficiency, and safety with on-the-job training in their desired specialty. This program component </w:t>
      </w:r>
      <w:r w:rsidRPr="00A71685">
        <w:rPr>
          <w:rFonts w:ascii="Times New Roman" w:eastAsia="Times New Roman" w:hAnsi="Times New Roman" w:cs="Times New Roman"/>
          <w:bCs/>
          <w:sz w:val="24"/>
          <w:szCs w:val="24"/>
        </w:rPr>
        <w:lastRenderedPageBreak/>
        <w:t>will be based on feedback from industry roundtables, participating contractor field mentorships, and direct contractor outreach. The internship component is expected launch in 2021</w:t>
      </w:r>
    </w:p>
    <w:p w14:paraId="1213CD99" w14:textId="77777777" w:rsidR="00651E26" w:rsidRDefault="00651E26" w:rsidP="006939D4">
      <w:pPr>
        <w:pStyle w:val="Heading3"/>
        <w:rPr>
          <w:rFonts w:ascii="Times New Roman" w:hAnsi="Times New Roman" w:cs="Times New Roman"/>
        </w:rPr>
      </w:pPr>
    </w:p>
    <w:p w14:paraId="39EA6F9C" w14:textId="18F1544F" w:rsidR="00D55A67" w:rsidRPr="00D92493" w:rsidRDefault="00D55A67" w:rsidP="00D55A67">
      <w:pPr>
        <w:pStyle w:val="Heading2"/>
        <w:rPr>
          <w:rFonts w:ascii="Times New Roman" w:hAnsi="Times New Roman" w:cs="Times New Roman"/>
        </w:rPr>
      </w:pPr>
      <w:r w:rsidRPr="00D92493">
        <w:rPr>
          <w:rFonts w:ascii="Times New Roman" w:hAnsi="Times New Roman" w:cs="Times New Roman"/>
        </w:rPr>
        <w:t>Metrics</w:t>
      </w:r>
    </w:p>
    <w:p w14:paraId="10862C56" w14:textId="0B60E99F" w:rsidR="00D55A67" w:rsidRPr="00D92493" w:rsidRDefault="00D92493" w:rsidP="00D55A67">
      <w:pPr>
        <w:rPr>
          <w:bCs/>
          <w:sz w:val="24"/>
          <w:szCs w:val="24"/>
        </w:rPr>
      </w:pPr>
      <w:r w:rsidRPr="00D92493">
        <w:rPr>
          <w:rFonts w:ascii="Times New Roman" w:hAnsi="Times New Roman" w:cs="Times New Roman"/>
          <w:bCs/>
          <w:sz w:val="24"/>
          <w:szCs w:val="24"/>
        </w:rPr>
        <w:t xml:space="preserve">Pursuant to D.18-05-041, </w:t>
      </w:r>
      <w:r w:rsidR="00553381">
        <w:rPr>
          <w:rFonts w:ascii="Times New Roman" w:hAnsi="Times New Roman" w:cs="Times New Roman"/>
          <w:bCs/>
          <w:sz w:val="24"/>
          <w:szCs w:val="24"/>
        </w:rPr>
        <w:t>measured progress through 2019 for sector-level metrics can be found in MCE’s 2019 Annual Report Excel file.</w:t>
      </w:r>
      <w:r w:rsidR="00553381">
        <w:rPr>
          <w:rStyle w:val="FootnoteReference"/>
          <w:rFonts w:ascii="Times New Roman" w:hAnsi="Times New Roman" w:cs="Times New Roman"/>
          <w:bCs/>
          <w:sz w:val="24"/>
          <w:szCs w:val="24"/>
        </w:rPr>
        <w:footnoteReference w:id="16"/>
      </w:r>
    </w:p>
    <w:sectPr w:rsidR="00D55A67" w:rsidRPr="00D924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3C2A" w14:textId="77777777" w:rsidR="00FB27F1" w:rsidRDefault="00FB27F1" w:rsidP="00D55A67">
      <w:pPr>
        <w:spacing w:after="0" w:line="240" w:lineRule="auto"/>
      </w:pPr>
      <w:r>
        <w:separator/>
      </w:r>
    </w:p>
  </w:endnote>
  <w:endnote w:type="continuationSeparator" w:id="0">
    <w:p w14:paraId="7FC153B8" w14:textId="77777777" w:rsidR="00FB27F1" w:rsidRDefault="00FB27F1" w:rsidP="00D5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9FAB" w14:textId="77777777" w:rsidR="00F86912" w:rsidRDefault="00F86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C9BA" w14:textId="77777777" w:rsidR="00F86912" w:rsidRDefault="00F86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B385" w14:textId="77777777" w:rsidR="00F86912" w:rsidRDefault="00F86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EF2A" w14:textId="77777777" w:rsidR="00FB27F1" w:rsidRDefault="00FB27F1" w:rsidP="00D55A67">
      <w:pPr>
        <w:spacing w:after="0" w:line="240" w:lineRule="auto"/>
      </w:pPr>
      <w:r>
        <w:separator/>
      </w:r>
    </w:p>
  </w:footnote>
  <w:footnote w:type="continuationSeparator" w:id="0">
    <w:p w14:paraId="47F84FAB" w14:textId="77777777" w:rsidR="00FB27F1" w:rsidRDefault="00FB27F1" w:rsidP="00D55A67">
      <w:pPr>
        <w:spacing w:after="0" w:line="240" w:lineRule="auto"/>
      </w:pPr>
      <w:r>
        <w:continuationSeparator/>
      </w:r>
    </w:p>
  </w:footnote>
  <w:footnote w:id="1">
    <w:p w14:paraId="31B74D44" w14:textId="09EDE2BB" w:rsidR="00F86912" w:rsidRDefault="00F86912">
      <w:pPr>
        <w:pStyle w:val="FootnoteText"/>
      </w:pPr>
      <w:r>
        <w:rPr>
          <w:rStyle w:val="FootnoteReference"/>
        </w:rPr>
        <w:footnoteRef/>
      </w:r>
      <w:r>
        <w:t xml:space="preserve"> </w:t>
      </w:r>
      <w:r w:rsidRPr="00553381">
        <w:t>D.15-10-028, Ordering Paragraph (“OP”) 4 at p.123.</w:t>
      </w:r>
    </w:p>
  </w:footnote>
  <w:footnote w:id="2">
    <w:p w14:paraId="737C7691" w14:textId="15CD9675" w:rsidR="00F86912" w:rsidRDefault="00F86912">
      <w:pPr>
        <w:pStyle w:val="FootnoteText"/>
      </w:pPr>
      <w:r>
        <w:rPr>
          <w:rStyle w:val="FootnoteReference"/>
        </w:rPr>
        <w:footnoteRef/>
      </w:r>
      <w:r>
        <w:t xml:space="preserve"> </w:t>
      </w:r>
      <w:r w:rsidRPr="00553381">
        <w:t>D.18-05-041, OP 37, 40, 41, 44 at p. 190ff.</w:t>
      </w:r>
    </w:p>
  </w:footnote>
  <w:footnote w:id="3">
    <w:p w14:paraId="65DBD832" w14:textId="77777777" w:rsidR="00F86912" w:rsidRPr="00E7615B" w:rsidRDefault="00F86912" w:rsidP="00D55A67">
      <w:pPr>
        <w:pStyle w:val="FootnoteText"/>
        <w:rPr>
          <w:sz w:val="22"/>
          <w:szCs w:val="22"/>
        </w:rPr>
      </w:pPr>
      <w:r w:rsidRPr="00D45EDE">
        <w:rPr>
          <w:rStyle w:val="FootnoteReference"/>
          <w:rFonts w:eastAsiaTheme="majorEastAsia"/>
          <w:sz w:val="24"/>
          <w:szCs w:val="24"/>
        </w:rPr>
        <w:footnoteRef/>
      </w:r>
      <w:r w:rsidRPr="00D45EDE">
        <w:rPr>
          <w:sz w:val="24"/>
          <w:szCs w:val="24"/>
        </w:rPr>
        <w:t xml:space="preserve"> </w:t>
      </w:r>
      <w:r w:rsidRPr="00553381">
        <w:t>To date, MCE is the only community choice aggregator (“CCA”) to have requested energy efficiency funding under Code Section 381.1(a)-(d).</w:t>
      </w:r>
    </w:p>
  </w:footnote>
  <w:footnote w:id="4">
    <w:p w14:paraId="3E01DF24" w14:textId="77777777" w:rsidR="00F86912" w:rsidRPr="00E7615B" w:rsidRDefault="00F86912" w:rsidP="00D55A67">
      <w:pPr>
        <w:pStyle w:val="FootnoteText"/>
        <w:rPr>
          <w:sz w:val="22"/>
          <w:szCs w:val="22"/>
        </w:rPr>
      </w:pPr>
      <w:r w:rsidRPr="00E7615B">
        <w:rPr>
          <w:rStyle w:val="FootnoteReference"/>
          <w:rFonts w:eastAsiaTheme="majorEastAsia"/>
          <w:sz w:val="22"/>
          <w:szCs w:val="22"/>
        </w:rPr>
        <w:footnoteRef/>
      </w:r>
      <w:r w:rsidRPr="00E7615B">
        <w:rPr>
          <w:sz w:val="22"/>
          <w:szCs w:val="22"/>
        </w:rPr>
        <w:t xml:space="preserve"> </w:t>
      </w:r>
      <w:r w:rsidRPr="00553381">
        <w:t>D.12-11-015 at pp.45-6.</w:t>
      </w:r>
    </w:p>
  </w:footnote>
  <w:footnote w:id="5">
    <w:p w14:paraId="68DA2DE9" w14:textId="77777777"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t>D.12-11-015 at p. 46.</w:t>
      </w:r>
    </w:p>
  </w:footnote>
  <w:footnote w:id="6">
    <w:p w14:paraId="15202893" w14:textId="77777777"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t xml:space="preserve">D.14-01-033 at p. 14; </w:t>
      </w:r>
      <w:r w:rsidRPr="00553381">
        <w:rPr>
          <w:i/>
        </w:rPr>
        <w:t xml:space="preserve">see also </w:t>
      </w:r>
      <w:r w:rsidRPr="00553381">
        <w:t>D.14-10-046 at p. 120.</w:t>
      </w:r>
    </w:p>
  </w:footnote>
  <w:footnote w:id="7">
    <w:p w14:paraId="0DC15C95" w14:textId="77777777"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rPr>
          <w:i/>
        </w:rPr>
        <w:t>See</w:t>
      </w:r>
      <w:r w:rsidRPr="00553381">
        <w:t xml:space="preserve"> Application of Marin Clean Energy for Approval of its Energy Efficiency Business Plan (Application (“A.”) 17-01-017) filed January 17, 2017.</w:t>
      </w:r>
    </w:p>
  </w:footnote>
  <w:footnote w:id="8">
    <w:p w14:paraId="4E09770D" w14:textId="77777777"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t>D.18-05-041, OP 33 at p. 189.</w:t>
      </w:r>
    </w:p>
  </w:footnote>
  <w:footnote w:id="9">
    <w:p w14:paraId="0B685DA7" w14:textId="21A00339"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t>D.18-05-041 at p. 112. The Commission approved a total budget for MCE of $85,736,000 for PYs 2018-2025. This budget includes allocations for Evaluation Measurement and Verification (“EM &amp;V”).</w:t>
      </w:r>
    </w:p>
  </w:footnote>
  <w:footnote w:id="10">
    <w:p w14:paraId="75677AD6" w14:textId="77777777" w:rsidR="00F86912" w:rsidRPr="00AA7ED9" w:rsidRDefault="00F86912" w:rsidP="00D55A67">
      <w:pPr>
        <w:pStyle w:val="FootnoteText"/>
        <w:rPr>
          <w:sz w:val="22"/>
          <w:szCs w:val="22"/>
        </w:rPr>
      </w:pPr>
      <w:r w:rsidRPr="00AA7ED9">
        <w:rPr>
          <w:rStyle w:val="FootnoteReference"/>
          <w:rFonts w:eastAsiaTheme="majorEastAsia"/>
          <w:sz w:val="22"/>
          <w:szCs w:val="22"/>
        </w:rPr>
        <w:footnoteRef/>
      </w:r>
      <w:r w:rsidRPr="00AA7ED9">
        <w:rPr>
          <w:sz w:val="22"/>
          <w:szCs w:val="22"/>
        </w:rPr>
        <w:t xml:space="preserve"> </w:t>
      </w:r>
      <w:r w:rsidRPr="00553381">
        <w:t>D.18-05-041, OP 43 at pp. 191-92.</w:t>
      </w:r>
    </w:p>
  </w:footnote>
  <w:footnote w:id="11">
    <w:p w14:paraId="1DE0539D" w14:textId="77777777" w:rsidR="00F86912" w:rsidRPr="00D45EDE" w:rsidRDefault="00F86912" w:rsidP="00D55A67">
      <w:pPr>
        <w:pStyle w:val="FootnoteText"/>
        <w:rPr>
          <w:sz w:val="24"/>
          <w:szCs w:val="24"/>
        </w:rPr>
      </w:pPr>
      <w:r w:rsidRPr="00AA7ED9">
        <w:rPr>
          <w:rStyle w:val="FootnoteReference"/>
          <w:rFonts w:eastAsiaTheme="majorEastAsia"/>
          <w:sz w:val="22"/>
          <w:szCs w:val="22"/>
        </w:rPr>
        <w:footnoteRef/>
      </w:r>
      <w:r w:rsidRPr="00AA7ED9">
        <w:rPr>
          <w:sz w:val="22"/>
          <w:szCs w:val="22"/>
        </w:rPr>
        <w:t xml:space="preserve"> </w:t>
      </w:r>
      <w:r w:rsidRPr="00553381">
        <w:t>D.18-05-041, OP 43 at pp. 191-92.</w:t>
      </w:r>
    </w:p>
  </w:footnote>
  <w:footnote w:id="12">
    <w:p w14:paraId="0E25C678" w14:textId="7113CCEE" w:rsidR="00F86912" w:rsidRDefault="00F86912">
      <w:pPr>
        <w:pStyle w:val="FootnoteText"/>
      </w:pPr>
      <w:r>
        <w:rPr>
          <w:rStyle w:val="FootnoteReference"/>
        </w:rPr>
        <w:footnoteRef/>
      </w:r>
      <w:r>
        <w:t xml:space="preserve"> The uncommitted and unspent carryover balance reflects the total unspent and uncommitted funds from all previous program years that will be used to offset the 2021 fund transfers. More detail on this number can be found in MCE’s CEDARS filing. Because each ABAL is filed in Q3, this unspent uncommitted amount is an estimate for the year in which the ABAL is filed.</w:t>
      </w:r>
    </w:p>
  </w:footnote>
  <w:footnote w:id="13">
    <w:p w14:paraId="4E1AA63B" w14:textId="01620D5D" w:rsidR="00F86912" w:rsidRDefault="00F86912">
      <w:pPr>
        <w:pStyle w:val="FootnoteText"/>
      </w:pPr>
      <w:r>
        <w:rPr>
          <w:rStyle w:val="FootnoteReference"/>
        </w:rPr>
        <w:footnoteRef/>
      </w:r>
      <w:r>
        <w:t xml:space="preserve"> The amount of funds to be collected (budget recovery) for the Program Year.</w:t>
      </w:r>
    </w:p>
  </w:footnote>
  <w:footnote w:id="14">
    <w:p w14:paraId="293D00E4" w14:textId="44787C1F" w:rsidR="00F86912" w:rsidRDefault="00F86912">
      <w:pPr>
        <w:pStyle w:val="FootnoteText"/>
      </w:pPr>
      <w:r>
        <w:rPr>
          <w:rStyle w:val="FootnoteReference"/>
        </w:rPr>
        <w:footnoteRef/>
      </w:r>
      <w:r>
        <w:t xml:space="preserve"> Pursuant to OP 36 of D.18-05-041, gas budgets will be transferred to MCE on a quarterly basis.</w:t>
      </w:r>
    </w:p>
  </w:footnote>
  <w:footnote w:id="15">
    <w:p w14:paraId="39887E16" w14:textId="77777777" w:rsidR="00F86912" w:rsidRPr="00D45EDE" w:rsidRDefault="00F86912" w:rsidP="00D9244E">
      <w:pPr>
        <w:pStyle w:val="FootnoteText"/>
        <w:rPr>
          <w:sz w:val="24"/>
          <w:szCs w:val="24"/>
        </w:rPr>
      </w:pPr>
      <w:r w:rsidRPr="00D45EDE">
        <w:rPr>
          <w:rStyle w:val="FootnoteReference"/>
          <w:rFonts w:eastAsiaTheme="majorEastAsia"/>
          <w:sz w:val="24"/>
          <w:szCs w:val="24"/>
        </w:rPr>
        <w:footnoteRef/>
      </w:r>
      <w:r w:rsidRPr="00D45EDE">
        <w:rPr>
          <w:sz w:val="24"/>
          <w:szCs w:val="24"/>
        </w:rPr>
        <w:t xml:space="preserve"> </w:t>
      </w:r>
      <w:r w:rsidRPr="00553381">
        <w:t>D.18-05-041 at pp. 132-37.</w:t>
      </w:r>
    </w:p>
  </w:footnote>
  <w:footnote w:id="16">
    <w:p w14:paraId="1FEF377B" w14:textId="22B7D426" w:rsidR="00F86912" w:rsidRDefault="00F86912">
      <w:pPr>
        <w:pStyle w:val="FootnoteText"/>
      </w:pPr>
      <w:r>
        <w:rPr>
          <w:rStyle w:val="FootnoteReference"/>
        </w:rPr>
        <w:footnoteRef/>
      </w:r>
      <w:r>
        <w:t xml:space="preserve"> See MCE’s 2019 Annual Report Narrative and Excel at: https://eestats.cpuc.ca.gov/Views/Documents.aspx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D390" w14:textId="77777777" w:rsidR="00F86912" w:rsidRDefault="00F86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684427"/>
      <w:docPartObj>
        <w:docPartGallery w:val="Watermarks"/>
        <w:docPartUnique/>
      </w:docPartObj>
    </w:sdtPr>
    <w:sdtEndPr/>
    <w:sdtContent>
      <w:p w14:paraId="1C6630CF" w14:textId="61EB0963" w:rsidR="00F86912" w:rsidRDefault="00FB27F1">
        <w:pPr>
          <w:pStyle w:val="Header"/>
        </w:pPr>
        <w:r>
          <w:rPr>
            <w:noProof/>
          </w:rPr>
          <w:pict w14:anchorId="6F893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8335" w14:textId="77777777" w:rsidR="00F86912" w:rsidRDefault="00F86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E7C"/>
    <w:multiLevelType w:val="multilevel"/>
    <w:tmpl w:val="C354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477B9"/>
    <w:multiLevelType w:val="hybridMultilevel"/>
    <w:tmpl w:val="779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0C2E"/>
    <w:multiLevelType w:val="hybridMultilevel"/>
    <w:tmpl w:val="E43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A40C9"/>
    <w:multiLevelType w:val="hybridMultilevel"/>
    <w:tmpl w:val="2C70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51301"/>
    <w:multiLevelType w:val="hybridMultilevel"/>
    <w:tmpl w:val="88A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F35A3"/>
    <w:multiLevelType w:val="hybridMultilevel"/>
    <w:tmpl w:val="1E0C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C04E4"/>
    <w:multiLevelType w:val="hybridMultilevel"/>
    <w:tmpl w:val="BB4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57DF"/>
    <w:multiLevelType w:val="hybridMultilevel"/>
    <w:tmpl w:val="B5CC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30ACB"/>
    <w:multiLevelType w:val="hybridMultilevel"/>
    <w:tmpl w:val="9A8A4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67"/>
    <w:rsid w:val="00047867"/>
    <w:rsid w:val="00077AA0"/>
    <w:rsid w:val="000D55C1"/>
    <w:rsid w:val="000F64B1"/>
    <w:rsid w:val="0012294D"/>
    <w:rsid w:val="0013178B"/>
    <w:rsid w:val="001A5DCE"/>
    <w:rsid w:val="001F7725"/>
    <w:rsid w:val="00252231"/>
    <w:rsid w:val="002F503B"/>
    <w:rsid w:val="00307541"/>
    <w:rsid w:val="00335710"/>
    <w:rsid w:val="00347CC9"/>
    <w:rsid w:val="003B4649"/>
    <w:rsid w:val="003F1A8D"/>
    <w:rsid w:val="0043306F"/>
    <w:rsid w:val="00476863"/>
    <w:rsid w:val="004B355F"/>
    <w:rsid w:val="005119DB"/>
    <w:rsid w:val="00553381"/>
    <w:rsid w:val="0055539F"/>
    <w:rsid w:val="00560401"/>
    <w:rsid w:val="00610ECA"/>
    <w:rsid w:val="006272FC"/>
    <w:rsid w:val="00651E26"/>
    <w:rsid w:val="00671CB4"/>
    <w:rsid w:val="00682359"/>
    <w:rsid w:val="006939D4"/>
    <w:rsid w:val="006C3E0C"/>
    <w:rsid w:val="006D2166"/>
    <w:rsid w:val="006F2799"/>
    <w:rsid w:val="00706074"/>
    <w:rsid w:val="00723E80"/>
    <w:rsid w:val="0078549D"/>
    <w:rsid w:val="007B2A80"/>
    <w:rsid w:val="007E35E0"/>
    <w:rsid w:val="008A6FE7"/>
    <w:rsid w:val="008E239D"/>
    <w:rsid w:val="008E5F25"/>
    <w:rsid w:val="00942F1A"/>
    <w:rsid w:val="00950B3F"/>
    <w:rsid w:val="0098404F"/>
    <w:rsid w:val="009B7530"/>
    <w:rsid w:val="00A02003"/>
    <w:rsid w:val="00A37907"/>
    <w:rsid w:val="00A64F0D"/>
    <w:rsid w:val="00A7146B"/>
    <w:rsid w:val="00A71685"/>
    <w:rsid w:val="00A90EC8"/>
    <w:rsid w:val="00AA7ED9"/>
    <w:rsid w:val="00AC0DBC"/>
    <w:rsid w:val="00AD3183"/>
    <w:rsid w:val="00AE1F2F"/>
    <w:rsid w:val="00AF4974"/>
    <w:rsid w:val="00AF66CB"/>
    <w:rsid w:val="00B00F58"/>
    <w:rsid w:val="00B212A8"/>
    <w:rsid w:val="00B21EC9"/>
    <w:rsid w:val="00B2234F"/>
    <w:rsid w:val="00B43D43"/>
    <w:rsid w:val="00B56597"/>
    <w:rsid w:val="00B70FD0"/>
    <w:rsid w:val="00B74CED"/>
    <w:rsid w:val="00B84EF5"/>
    <w:rsid w:val="00BC47A6"/>
    <w:rsid w:val="00BE34CE"/>
    <w:rsid w:val="00BE4A52"/>
    <w:rsid w:val="00C36DC1"/>
    <w:rsid w:val="00C935B6"/>
    <w:rsid w:val="00D07795"/>
    <w:rsid w:val="00D55A67"/>
    <w:rsid w:val="00D9244E"/>
    <w:rsid w:val="00D92493"/>
    <w:rsid w:val="00DC351D"/>
    <w:rsid w:val="00DF7BF3"/>
    <w:rsid w:val="00E64464"/>
    <w:rsid w:val="00E65678"/>
    <w:rsid w:val="00E70103"/>
    <w:rsid w:val="00E7615B"/>
    <w:rsid w:val="00EB14AB"/>
    <w:rsid w:val="00EE480C"/>
    <w:rsid w:val="00F40D95"/>
    <w:rsid w:val="00F54DB1"/>
    <w:rsid w:val="00F74227"/>
    <w:rsid w:val="00F86912"/>
    <w:rsid w:val="00FB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7AD71"/>
  <w15:chartTrackingRefBased/>
  <w15:docId w15:val="{55C5469F-957E-444D-A19A-4BABAE50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A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4E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4D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67"/>
    <w:rPr>
      <w:rFonts w:ascii="Segoe UI" w:hAnsi="Segoe UI" w:cs="Segoe UI"/>
      <w:sz w:val="18"/>
      <w:szCs w:val="18"/>
    </w:rPr>
  </w:style>
  <w:style w:type="character" w:customStyle="1" w:styleId="Heading1Char">
    <w:name w:val="Heading 1 Char"/>
    <w:basedOn w:val="DefaultParagraphFont"/>
    <w:link w:val="Heading1"/>
    <w:uiPriority w:val="9"/>
    <w:rsid w:val="00D55A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5A6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rsid w:val="00D55A67"/>
    <w:pPr>
      <w:overflowPunct w:val="0"/>
      <w:autoSpaceDE w:val="0"/>
      <w:autoSpaceDN w:val="0"/>
      <w:adjustRightInd w:val="0"/>
      <w:spacing w:after="8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5A67"/>
    <w:rPr>
      <w:rFonts w:ascii="Times New Roman" w:eastAsia="Times New Roman" w:hAnsi="Times New Roman" w:cs="Times New Roman"/>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uiPriority w:val="99"/>
    <w:qFormat/>
    <w:rsid w:val="00D55A67"/>
    <w:rPr>
      <w:vertAlign w:val="superscript"/>
    </w:rPr>
  </w:style>
  <w:style w:type="table" w:styleId="TableGrid">
    <w:name w:val="Table Grid"/>
    <w:basedOn w:val="TableNormal"/>
    <w:uiPriority w:val="39"/>
    <w:rsid w:val="00D5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55A67"/>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B84E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4EF5"/>
    <w:pPr>
      <w:ind w:left="720"/>
      <w:contextualSpacing/>
    </w:pPr>
  </w:style>
  <w:style w:type="character" w:styleId="CommentReference">
    <w:name w:val="annotation reference"/>
    <w:rsid w:val="00B84EF5"/>
    <w:rPr>
      <w:sz w:val="16"/>
      <w:szCs w:val="16"/>
    </w:rPr>
  </w:style>
  <w:style w:type="paragraph" w:styleId="CommentText">
    <w:name w:val="annotation text"/>
    <w:basedOn w:val="Normal"/>
    <w:link w:val="CommentTextChar"/>
    <w:rsid w:val="00B84EF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4EF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0D55C1"/>
    <w:pPr>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D55C1"/>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54DB1"/>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8E239D"/>
    <w:pPr>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239D"/>
    <w:rPr>
      <w:rFonts w:ascii="Times New Roman" w:eastAsia="Times New Roman" w:hAnsi="Times New Roman" w:cs="Times New Roman"/>
      <w:b/>
      <w:bCs/>
      <w:sz w:val="20"/>
      <w:szCs w:val="20"/>
    </w:rPr>
  </w:style>
  <w:style w:type="character" w:styleId="Hyperlink">
    <w:name w:val="Hyperlink"/>
    <w:rsid w:val="00D92493"/>
    <w:rPr>
      <w:color w:val="0000FF"/>
      <w:u w:val="single"/>
    </w:rPr>
  </w:style>
  <w:style w:type="paragraph" w:styleId="Header">
    <w:name w:val="header"/>
    <w:basedOn w:val="Normal"/>
    <w:link w:val="HeaderChar"/>
    <w:uiPriority w:val="99"/>
    <w:unhideWhenUsed/>
    <w:rsid w:val="0072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80"/>
  </w:style>
  <w:style w:type="paragraph" w:styleId="Footer">
    <w:name w:val="footer"/>
    <w:basedOn w:val="Normal"/>
    <w:link w:val="FooterChar"/>
    <w:uiPriority w:val="99"/>
    <w:unhideWhenUsed/>
    <w:rsid w:val="0072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22926">
      <w:bodyDiv w:val="1"/>
      <w:marLeft w:val="0"/>
      <w:marRight w:val="0"/>
      <w:marTop w:val="0"/>
      <w:marBottom w:val="0"/>
      <w:divBdr>
        <w:top w:val="none" w:sz="0" w:space="0" w:color="auto"/>
        <w:left w:val="none" w:sz="0" w:space="0" w:color="auto"/>
        <w:bottom w:val="none" w:sz="0" w:space="0" w:color="auto"/>
        <w:right w:val="none" w:sz="0" w:space="0" w:color="auto"/>
      </w:divBdr>
    </w:div>
    <w:div w:id="13045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54D1-6202-4B1C-84FD-3234A3FA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Quashaun Vallery</dc:creator>
  <cp:keywords/>
  <dc:description/>
  <cp:lastModifiedBy>Jonathan Raab</cp:lastModifiedBy>
  <cp:revision>2</cp:revision>
  <dcterms:created xsi:type="dcterms:W3CDTF">2020-07-28T20:08:00Z</dcterms:created>
  <dcterms:modified xsi:type="dcterms:W3CDTF">2020-07-28T20:08:00Z</dcterms:modified>
</cp:coreProperties>
</file>