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9739" w14:textId="390648D5" w:rsidR="00665516" w:rsidRPr="00C42105" w:rsidRDefault="00AC4F49" w:rsidP="00A91008">
      <w:pPr>
        <w:pStyle w:val="Title"/>
        <w:rPr>
          <w:rFonts w:ascii="Calibri" w:hAnsi="Calibri"/>
          <w:sz w:val="52"/>
          <w:szCs w:val="52"/>
        </w:rPr>
      </w:pPr>
      <w:r w:rsidRPr="00C42105">
        <w:rPr>
          <w:rFonts w:ascii="Calibri" w:hAnsi="Calibri"/>
          <w:sz w:val="52"/>
          <w:szCs w:val="52"/>
        </w:rPr>
        <w:t xml:space="preserve">Energy Efficiency </w:t>
      </w:r>
      <w:r w:rsidR="00D4119D" w:rsidRPr="00C42105">
        <w:rPr>
          <w:rFonts w:ascii="Calibri" w:hAnsi="Calibri"/>
          <w:sz w:val="52"/>
          <w:szCs w:val="52"/>
        </w:rPr>
        <w:t>Equity Segment Definitions</w:t>
      </w:r>
      <w:r w:rsidR="00A22161" w:rsidRPr="00C42105">
        <w:rPr>
          <w:rFonts w:ascii="Calibri" w:hAnsi="Calibri"/>
          <w:sz w:val="52"/>
          <w:szCs w:val="52"/>
        </w:rPr>
        <w:t xml:space="preserve"> and Eligibility Background for Discussion</w:t>
      </w:r>
    </w:p>
    <w:p w14:paraId="4124E3C7" w14:textId="1237DD23" w:rsidR="00373D41" w:rsidRPr="00C42105" w:rsidRDefault="00373D41" w:rsidP="00373D41">
      <w:r w:rsidRPr="00C42105">
        <w:t>Updated 8/18/21</w:t>
      </w:r>
    </w:p>
    <w:p w14:paraId="4F19D291" w14:textId="4F5E228F" w:rsidR="00E1191B" w:rsidRPr="00C42105" w:rsidRDefault="00E1191B">
      <w:pPr>
        <w:rPr>
          <w:rFonts w:ascii="Calibri" w:hAnsi="Calibri"/>
          <w:i/>
          <w:iCs/>
        </w:rPr>
      </w:pPr>
      <w:r w:rsidRPr="00C42105">
        <w:rPr>
          <w:rFonts w:ascii="Calibri" w:hAnsi="Calibri"/>
          <w:i/>
          <w:iCs/>
        </w:rPr>
        <w:t>For EMWG Member consideration in advance of 8/18/21 meeting</w:t>
      </w:r>
    </w:p>
    <w:p w14:paraId="5708A2DA" w14:textId="519E209C" w:rsidR="00E1191B" w:rsidRPr="00C42105" w:rsidRDefault="00E1191B" w:rsidP="008D38CB">
      <w:pPr>
        <w:pStyle w:val="Heading1"/>
        <w:rPr>
          <w:rFonts w:ascii="Calibri" w:hAnsi="Calibri"/>
        </w:rPr>
      </w:pPr>
      <w:r w:rsidRPr="00C42105">
        <w:rPr>
          <w:rFonts w:ascii="Calibri" w:hAnsi="Calibri"/>
        </w:rPr>
        <w:t xml:space="preserve">Background </w:t>
      </w:r>
    </w:p>
    <w:p w14:paraId="61F952F6" w14:textId="06B28DEE" w:rsidR="00B06A55" w:rsidRPr="00C42105" w:rsidRDefault="00E1191B">
      <w:pPr>
        <w:rPr>
          <w:rFonts w:ascii="Calibri" w:hAnsi="Calibri"/>
          <w:sz w:val="22"/>
          <w:szCs w:val="22"/>
        </w:rPr>
      </w:pPr>
      <w:r w:rsidRPr="00C42105">
        <w:rPr>
          <w:rFonts w:ascii="Calibri" w:hAnsi="Calibri"/>
          <w:i/>
          <w:iCs/>
          <w:sz w:val="22"/>
          <w:szCs w:val="22"/>
        </w:rPr>
        <w:t>Impetus for this memo</w:t>
      </w:r>
      <w:r w:rsidRPr="00C42105">
        <w:rPr>
          <w:rFonts w:ascii="Calibri" w:hAnsi="Calibri"/>
          <w:sz w:val="22"/>
          <w:szCs w:val="22"/>
        </w:rPr>
        <w:t xml:space="preserve">: </w:t>
      </w:r>
      <w:r w:rsidR="008C79C3" w:rsidRPr="00C42105">
        <w:rPr>
          <w:rFonts w:ascii="Calibri" w:hAnsi="Calibri"/>
          <w:sz w:val="22"/>
          <w:szCs w:val="22"/>
        </w:rPr>
        <w:t xml:space="preserve">The </w:t>
      </w:r>
      <w:r w:rsidR="006936AB" w:rsidRPr="00C42105">
        <w:rPr>
          <w:rFonts w:ascii="Calibri" w:hAnsi="Calibri"/>
          <w:sz w:val="22"/>
          <w:szCs w:val="22"/>
        </w:rPr>
        <w:t>CAEECC Facilitation Team</w:t>
      </w:r>
      <w:r w:rsidR="008C79C3" w:rsidRPr="00C42105">
        <w:rPr>
          <w:rFonts w:ascii="Calibri" w:hAnsi="Calibri"/>
          <w:sz w:val="22"/>
          <w:szCs w:val="22"/>
        </w:rPr>
        <w:t xml:space="preserve"> and </w:t>
      </w:r>
      <w:r w:rsidR="006936AB" w:rsidRPr="00C42105">
        <w:rPr>
          <w:rFonts w:ascii="Calibri" w:hAnsi="Calibri"/>
          <w:sz w:val="22"/>
          <w:szCs w:val="22"/>
        </w:rPr>
        <w:t>Co-Chairs</w:t>
      </w:r>
      <w:r w:rsidR="008C79C3" w:rsidRPr="00C42105">
        <w:rPr>
          <w:rFonts w:ascii="Calibri" w:hAnsi="Calibri"/>
          <w:sz w:val="22"/>
          <w:szCs w:val="22"/>
        </w:rPr>
        <w:t xml:space="preserve"> recognized </w:t>
      </w:r>
      <w:r w:rsidR="001020AD" w:rsidRPr="00C42105">
        <w:rPr>
          <w:rFonts w:ascii="Calibri" w:hAnsi="Calibri"/>
          <w:sz w:val="22"/>
          <w:szCs w:val="22"/>
        </w:rPr>
        <w:t>the</w:t>
      </w:r>
      <w:r w:rsidR="008C79C3" w:rsidRPr="00C42105">
        <w:rPr>
          <w:rFonts w:ascii="Calibri" w:hAnsi="Calibri"/>
          <w:sz w:val="22"/>
          <w:szCs w:val="22"/>
        </w:rPr>
        <w:t xml:space="preserve"> need to</w:t>
      </w:r>
      <w:r w:rsidR="00AE0877" w:rsidRPr="00C42105">
        <w:rPr>
          <w:rFonts w:ascii="Calibri" w:hAnsi="Calibri"/>
          <w:sz w:val="22"/>
          <w:szCs w:val="22"/>
        </w:rPr>
        <w:t xml:space="preserve"> provide the Equity Metrics Working Group</w:t>
      </w:r>
      <w:r w:rsidR="00AD0758" w:rsidRPr="00C42105">
        <w:rPr>
          <w:rFonts w:ascii="Calibri" w:hAnsi="Calibri"/>
          <w:sz w:val="22"/>
          <w:szCs w:val="22"/>
        </w:rPr>
        <w:t xml:space="preserve"> (EMWG)</w:t>
      </w:r>
      <w:r w:rsidR="00AE0877" w:rsidRPr="00C42105">
        <w:rPr>
          <w:rFonts w:ascii="Calibri" w:hAnsi="Calibri"/>
          <w:sz w:val="22"/>
          <w:szCs w:val="22"/>
        </w:rPr>
        <w:t xml:space="preserve"> with key definitions</w:t>
      </w:r>
      <w:r w:rsidR="008C79C3" w:rsidRPr="00C42105">
        <w:rPr>
          <w:rFonts w:ascii="Calibri" w:hAnsi="Calibri"/>
          <w:sz w:val="22"/>
          <w:szCs w:val="22"/>
        </w:rPr>
        <w:t xml:space="preserve"> </w:t>
      </w:r>
      <w:r w:rsidR="00AE0877" w:rsidRPr="00C42105">
        <w:rPr>
          <w:rFonts w:ascii="Calibri" w:hAnsi="Calibri"/>
          <w:sz w:val="22"/>
          <w:szCs w:val="22"/>
        </w:rPr>
        <w:t>included in D.21-05-031</w:t>
      </w:r>
      <w:r w:rsidR="00AD0758" w:rsidRPr="00C42105">
        <w:rPr>
          <w:rFonts w:ascii="Calibri" w:hAnsi="Calibri"/>
          <w:sz w:val="22"/>
          <w:szCs w:val="22"/>
        </w:rPr>
        <w:t xml:space="preserve"> so that all members would be working from the same definitions when considering </w:t>
      </w:r>
      <w:r w:rsidR="00F22E2A" w:rsidRPr="00C42105">
        <w:rPr>
          <w:rFonts w:ascii="Calibri" w:hAnsi="Calibri"/>
          <w:sz w:val="22"/>
          <w:szCs w:val="22"/>
        </w:rPr>
        <w:t>E</w:t>
      </w:r>
      <w:r w:rsidR="00AD0758" w:rsidRPr="00C42105">
        <w:rPr>
          <w:rFonts w:ascii="Calibri" w:hAnsi="Calibri"/>
          <w:sz w:val="22"/>
          <w:szCs w:val="22"/>
        </w:rPr>
        <w:t xml:space="preserve">quity </w:t>
      </w:r>
      <w:r w:rsidR="00F22E2A" w:rsidRPr="00C42105">
        <w:rPr>
          <w:rFonts w:ascii="Calibri" w:hAnsi="Calibri"/>
          <w:sz w:val="22"/>
          <w:szCs w:val="22"/>
        </w:rPr>
        <w:t>O</w:t>
      </w:r>
      <w:r w:rsidR="00AD0758" w:rsidRPr="00C42105">
        <w:rPr>
          <w:rFonts w:ascii="Calibri" w:hAnsi="Calibri"/>
          <w:sz w:val="22"/>
          <w:szCs w:val="22"/>
        </w:rPr>
        <w:t xml:space="preserve">bjectives and </w:t>
      </w:r>
      <w:r w:rsidR="00F22E2A" w:rsidRPr="00C42105">
        <w:rPr>
          <w:rFonts w:ascii="Calibri" w:hAnsi="Calibri"/>
          <w:sz w:val="22"/>
          <w:szCs w:val="22"/>
        </w:rPr>
        <w:t>associated key M</w:t>
      </w:r>
      <w:r w:rsidR="00AD0758" w:rsidRPr="00C42105">
        <w:rPr>
          <w:rFonts w:ascii="Calibri" w:hAnsi="Calibri"/>
          <w:sz w:val="22"/>
          <w:szCs w:val="22"/>
        </w:rPr>
        <w:t>etrics</w:t>
      </w:r>
      <w:r w:rsidR="00AE0877" w:rsidRPr="00C42105">
        <w:rPr>
          <w:rFonts w:ascii="Calibri" w:hAnsi="Calibri"/>
          <w:sz w:val="22"/>
          <w:szCs w:val="22"/>
        </w:rPr>
        <w:t xml:space="preserve">. In addition, since </w:t>
      </w:r>
      <w:r w:rsidRPr="00C42105">
        <w:rPr>
          <w:rFonts w:ascii="Calibri" w:hAnsi="Calibri"/>
          <w:sz w:val="22"/>
          <w:szCs w:val="22"/>
        </w:rPr>
        <w:t>“underserved”</w:t>
      </w:r>
      <w:r w:rsidR="001020AD" w:rsidRPr="00C42105">
        <w:rPr>
          <w:rFonts w:ascii="Calibri" w:hAnsi="Calibri"/>
          <w:sz w:val="22"/>
          <w:szCs w:val="22"/>
        </w:rPr>
        <w:t xml:space="preserve"> </w:t>
      </w:r>
      <w:r w:rsidR="00AE0877" w:rsidRPr="00C42105">
        <w:rPr>
          <w:rFonts w:ascii="Calibri" w:hAnsi="Calibri"/>
          <w:sz w:val="22"/>
          <w:szCs w:val="22"/>
        </w:rPr>
        <w:t xml:space="preserve">was not defined in the above decision, this memo </w:t>
      </w:r>
      <w:r w:rsidR="006936AB" w:rsidRPr="00C42105">
        <w:rPr>
          <w:rFonts w:ascii="Calibri" w:hAnsi="Calibri"/>
          <w:sz w:val="22"/>
          <w:szCs w:val="22"/>
        </w:rPr>
        <w:t>put</w:t>
      </w:r>
      <w:r w:rsidR="00AE0877" w:rsidRPr="00C42105">
        <w:rPr>
          <w:rFonts w:ascii="Calibri" w:hAnsi="Calibri"/>
          <w:sz w:val="22"/>
          <w:szCs w:val="22"/>
        </w:rPr>
        <w:t>s</w:t>
      </w:r>
      <w:r w:rsidR="006936AB" w:rsidRPr="00C42105">
        <w:rPr>
          <w:rFonts w:ascii="Calibri" w:hAnsi="Calibri"/>
          <w:sz w:val="22"/>
          <w:szCs w:val="22"/>
        </w:rPr>
        <w:t xml:space="preserve"> forward </w:t>
      </w:r>
      <w:r w:rsidR="00AE0877" w:rsidRPr="00C42105">
        <w:rPr>
          <w:rFonts w:ascii="Calibri" w:hAnsi="Calibri"/>
          <w:sz w:val="22"/>
          <w:szCs w:val="22"/>
        </w:rPr>
        <w:t xml:space="preserve">options for consideration at the 8/18/21 EMWG meeting. </w:t>
      </w:r>
      <w:r w:rsidR="00A91008" w:rsidRPr="00C42105">
        <w:rPr>
          <w:rFonts w:ascii="Calibri" w:hAnsi="Calibri"/>
          <w:sz w:val="22"/>
          <w:szCs w:val="22"/>
        </w:rPr>
        <w:t xml:space="preserve">The key purpose of discussing these definitions (hard-to-reach, disadvantaged communities, underserved) is to understand who the target population is (and who is eligible) for programs within the newly created Equity segment. </w:t>
      </w:r>
    </w:p>
    <w:p w14:paraId="11FFC761" w14:textId="47A43FF5" w:rsidR="00E1191B" w:rsidRPr="00C42105" w:rsidRDefault="00E1191B">
      <w:pPr>
        <w:rPr>
          <w:rFonts w:ascii="Calibri" w:hAnsi="Calibri"/>
          <w:sz w:val="22"/>
          <w:szCs w:val="22"/>
        </w:rPr>
      </w:pPr>
    </w:p>
    <w:p w14:paraId="03366F34" w14:textId="2B43B5E5" w:rsidR="008D38CB" w:rsidRPr="00C42105" w:rsidRDefault="008D38CB">
      <w:pPr>
        <w:rPr>
          <w:rFonts w:ascii="Calibri" w:hAnsi="Calibri" w:cs="Times New Roman"/>
          <w:sz w:val="22"/>
          <w:szCs w:val="22"/>
        </w:rPr>
      </w:pPr>
      <w:r w:rsidRPr="00C42105">
        <w:rPr>
          <w:rFonts w:ascii="Calibri" w:hAnsi="Calibri" w:cs="Times New Roman"/>
          <w:i/>
          <w:iCs/>
          <w:sz w:val="22"/>
          <w:szCs w:val="22"/>
        </w:rPr>
        <w:t>Equity Segment Definition</w:t>
      </w:r>
      <w:r w:rsidRPr="00C42105">
        <w:rPr>
          <w:rFonts w:ascii="Calibri" w:hAnsi="Calibri" w:cs="Times New Roman"/>
          <w:sz w:val="22"/>
          <w:szCs w:val="22"/>
        </w:rPr>
        <w:t>: CPUC Decision 21-05-031</w:t>
      </w:r>
      <w:r w:rsidRPr="00C42105">
        <w:rPr>
          <w:rStyle w:val="FootnoteReference"/>
          <w:rFonts w:ascii="Calibri" w:hAnsi="Calibri" w:cs="Times New Roman"/>
          <w:sz w:val="22"/>
          <w:szCs w:val="22"/>
        </w:rPr>
        <w:footnoteReference w:id="1"/>
      </w:r>
      <w:r w:rsidRPr="00C42105">
        <w:rPr>
          <w:rFonts w:ascii="Calibri" w:eastAsia="Times New Roman" w:hAnsi="Calibri" w:cs="Times New Roman"/>
          <w:color w:val="000000"/>
          <w:sz w:val="22"/>
          <w:szCs w:val="22"/>
        </w:rPr>
        <w:t xml:space="preserve"> </w:t>
      </w:r>
      <w:r w:rsidRPr="00C42105">
        <w:rPr>
          <w:rFonts w:ascii="Calibri" w:hAnsi="Calibri" w:cs="Times New Roman"/>
          <w:sz w:val="22"/>
          <w:szCs w:val="22"/>
        </w:rPr>
        <w:t xml:space="preserve">defines </w:t>
      </w:r>
      <w:r w:rsidR="00247001" w:rsidRPr="00C42105">
        <w:rPr>
          <w:rFonts w:ascii="Calibri" w:hAnsi="Calibri" w:cs="Times New Roman"/>
          <w:sz w:val="22"/>
          <w:szCs w:val="22"/>
        </w:rPr>
        <w:t xml:space="preserve">the </w:t>
      </w:r>
      <w:r w:rsidRPr="00C42105">
        <w:rPr>
          <w:rFonts w:ascii="Calibri" w:hAnsi="Calibri" w:cs="Times New Roman"/>
          <w:sz w:val="22"/>
          <w:szCs w:val="22"/>
        </w:rPr>
        <w:t xml:space="preserve">Equity </w:t>
      </w:r>
      <w:r w:rsidR="00247001" w:rsidRPr="00C42105">
        <w:rPr>
          <w:rFonts w:ascii="Calibri" w:hAnsi="Calibri" w:cs="Times New Roman"/>
          <w:sz w:val="22"/>
          <w:szCs w:val="22"/>
        </w:rPr>
        <w:t xml:space="preserve">segment </w:t>
      </w:r>
      <w:r w:rsidRPr="00C42105">
        <w:rPr>
          <w:rFonts w:ascii="Calibri" w:hAnsi="Calibri" w:cs="Times New Roman"/>
          <w:sz w:val="22"/>
          <w:szCs w:val="22"/>
        </w:rPr>
        <w:t xml:space="preserve">as “programs with a primary purpose of providing energy efficiency to </w:t>
      </w:r>
      <w:r w:rsidRPr="00C42105">
        <w:rPr>
          <w:rFonts w:ascii="Calibri" w:hAnsi="Calibri" w:cs="Times New Roman"/>
          <w:b/>
          <w:bCs/>
          <w:sz w:val="22"/>
          <w:szCs w:val="22"/>
        </w:rPr>
        <w:t>hard-to-reach or underserved customers and disadvantaged communities</w:t>
      </w:r>
      <w:r w:rsidRPr="00C42105">
        <w:rPr>
          <w:rFonts w:ascii="Calibri" w:hAnsi="Calibri" w:cs="Times New Roman"/>
          <w:sz w:val="22"/>
          <w:szCs w:val="22"/>
        </w:rPr>
        <w:t xml:space="preserve"> in advancement of the Commission’s Environmental and Social Justice (ESJ) Action Plan. Improving access to energy efficiency for ESJ communities, as defined in the ESJ Action Plan, may provide corollary benefits such as increased comfort and safety, improved air quality, and more affordable utility bills, consistent with Goals 1, 2, and 5 in the ESJ Action Plan”.</w:t>
      </w:r>
      <w:r w:rsidRPr="00C42105">
        <w:rPr>
          <w:rStyle w:val="FootnoteReference"/>
          <w:rFonts w:ascii="Calibri" w:hAnsi="Calibri" w:cs="Times New Roman"/>
          <w:sz w:val="22"/>
          <w:szCs w:val="22"/>
        </w:rPr>
        <w:footnoteReference w:id="2"/>
      </w:r>
      <w:r w:rsidRPr="00C42105">
        <w:rPr>
          <w:rFonts w:ascii="Calibri" w:hAnsi="Calibri" w:cs="Times New Roman"/>
          <w:sz w:val="22"/>
          <w:szCs w:val="22"/>
        </w:rPr>
        <w:t xml:space="preserve"> Note that the Equity category is distinct from Energy Savings Assistance (ESA) programs so as to avoid overlap for program offerings that low-income populations </w:t>
      </w:r>
      <w:r w:rsidR="00FA7711" w:rsidRPr="00C42105">
        <w:rPr>
          <w:rFonts w:ascii="Calibri" w:hAnsi="Calibri" w:cs="Times New Roman"/>
          <w:sz w:val="22"/>
          <w:szCs w:val="22"/>
        </w:rPr>
        <w:t xml:space="preserve">(as defined by ESA) </w:t>
      </w:r>
      <w:r w:rsidRPr="00C42105">
        <w:rPr>
          <w:rFonts w:ascii="Calibri" w:hAnsi="Calibri" w:cs="Times New Roman"/>
          <w:sz w:val="22"/>
          <w:szCs w:val="22"/>
        </w:rPr>
        <w:t>could receive at no cost through existing channels.</w:t>
      </w:r>
      <w:r w:rsidRPr="00C42105">
        <w:rPr>
          <w:rStyle w:val="FootnoteReference"/>
          <w:rFonts w:ascii="Calibri" w:hAnsi="Calibri" w:cs="Times New Roman"/>
          <w:sz w:val="22"/>
          <w:szCs w:val="22"/>
        </w:rPr>
        <w:footnoteReference w:id="3"/>
      </w:r>
      <w:r w:rsidR="0025781F" w:rsidRPr="00C42105">
        <w:rPr>
          <w:rFonts w:ascii="Calibri" w:hAnsi="Calibri" w:cs="Times New Roman"/>
          <w:sz w:val="22"/>
          <w:szCs w:val="22"/>
        </w:rPr>
        <w:t xml:space="preserve"> </w:t>
      </w:r>
    </w:p>
    <w:p w14:paraId="4F1DDC96" w14:textId="77777777" w:rsidR="008D38CB" w:rsidRPr="00C42105" w:rsidRDefault="008D38CB">
      <w:pPr>
        <w:rPr>
          <w:rFonts w:ascii="Calibri" w:hAnsi="Calibri"/>
          <w:sz w:val="22"/>
          <w:szCs w:val="22"/>
        </w:rPr>
      </w:pPr>
    </w:p>
    <w:p w14:paraId="3319C683" w14:textId="43962778" w:rsidR="008D38CB" w:rsidRPr="00C42105" w:rsidRDefault="00E1191B" w:rsidP="00247001">
      <w:pPr>
        <w:rPr>
          <w:rFonts w:ascii="Calibri" w:eastAsia="Times New Roman" w:hAnsi="Calibri" w:cs="Times New Roman"/>
          <w:color w:val="000000"/>
          <w:sz w:val="22"/>
          <w:szCs w:val="22"/>
        </w:rPr>
      </w:pPr>
      <w:r w:rsidRPr="00C42105">
        <w:rPr>
          <w:rFonts w:ascii="Calibri" w:hAnsi="Calibri"/>
          <w:i/>
          <w:iCs/>
          <w:sz w:val="22"/>
          <w:szCs w:val="22"/>
        </w:rPr>
        <w:t>Context</w:t>
      </w:r>
      <w:r w:rsidRPr="00C42105">
        <w:rPr>
          <w:rFonts w:ascii="Calibri" w:hAnsi="Calibri"/>
          <w:sz w:val="22"/>
          <w:szCs w:val="22"/>
        </w:rPr>
        <w:t xml:space="preserve">: </w:t>
      </w:r>
      <w:r w:rsidR="00247001" w:rsidRPr="00C42105">
        <w:rPr>
          <w:rFonts w:ascii="Calibri" w:hAnsi="Calibri"/>
          <w:sz w:val="22"/>
          <w:szCs w:val="22"/>
        </w:rPr>
        <w:t>The Commission has previously defined hard-to-reach (detail</w:t>
      </w:r>
      <w:r w:rsidR="00D533E5" w:rsidRPr="00C42105">
        <w:rPr>
          <w:rFonts w:ascii="Calibri" w:hAnsi="Calibri"/>
          <w:sz w:val="22"/>
          <w:szCs w:val="22"/>
        </w:rPr>
        <w:t>s</w:t>
      </w:r>
      <w:r w:rsidR="00247001" w:rsidRPr="00C42105">
        <w:rPr>
          <w:rFonts w:ascii="Calibri" w:hAnsi="Calibri"/>
          <w:sz w:val="22"/>
          <w:szCs w:val="22"/>
        </w:rPr>
        <w:t xml:space="preserve"> below) and outlined the definition of disadvantaged community in D.</w:t>
      </w:r>
      <w:r w:rsidR="00B05A88" w:rsidRPr="00C42105">
        <w:rPr>
          <w:rFonts w:ascii="Calibri" w:hAnsi="Calibri"/>
          <w:sz w:val="22"/>
          <w:szCs w:val="22"/>
        </w:rPr>
        <w:t>18-05-041</w:t>
      </w:r>
      <w:r w:rsidR="00247001" w:rsidRPr="00C42105">
        <w:rPr>
          <w:rFonts w:ascii="Calibri" w:hAnsi="Calibri"/>
          <w:sz w:val="22"/>
          <w:szCs w:val="22"/>
        </w:rPr>
        <w:t>.</w:t>
      </w:r>
      <w:r w:rsidR="00B05A88" w:rsidRPr="00C42105">
        <w:rPr>
          <w:rStyle w:val="FootnoteReference"/>
          <w:rFonts w:ascii="Calibri" w:hAnsi="Calibri"/>
          <w:sz w:val="22"/>
          <w:szCs w:val="22"/>
        </w:rPr>
        <w:footnoteReference w:id="4"/>
      </w:r>
      <w:r w:rsidR="00B05A88" w:rsidRPr="00C42105">
        <w:rPr>
          <w:rFonts w:ascii="Calibri" w:hAnsi="Calibri"/>
          <w:sz w:val="22"/>
          <w:szCs w:val="22"/>
        </w:rPr>
        <w:t xml:space="preserve"> </w:t>
      </w:r>
      <w:r w:rsidR="00247001" w:rsidRPr="00C42105">
        <w:rPr>
          <w:rFonts w:ascii="Calibri" w:hAnsi="Calibri"/>
          <w:sz w:val="22"/>
          <w:szCs w:val="22"/>
        </w:rPr>
        <w:t xml:space="preserve"> However, </w:t>
      </w:r>
      <w:r w:rsidRPr="00C42105">
        <w:rPr>
          <w:rFonts w:ascii="Calibri" w:eastAsia="Times New Roman" w:hAnsi="Calibri" w:cs="Times New Roman"/>
          <w:color w:val="000000"/>
          <w:sz w:val="22"/>
          <w:szCs w:val="22"/>
        </w:rPr>
        <w:t>“</w:t>
      </w:r>
      <w:r w:rsidR="00B05A88" w:rsidRPr="00C42105">
        <w:rPr>
          <w:rFonts w:ascii="Calibri" w:eastAsia="Times New Roman" w:hAnsi="Calibri" w:cs="Times New Roman"/>
          <w:color w:val="000000"/>
          <w:sz w:val="22"/>
          <w:szCs w:val="22"/>
        </w:rPr>
        <w:t>u</w:t>
      </w:r>
      <w:r w:rsidRPr="00C42105">
        <w:rPr>
          <w:rFonts w:ascii="Calibri" w:eastAsia="Times New Roman" w:hAnsi="Calibri" w:cs="Times New Roman"/>
          <w:color w:val="000000"/>
          <w:sz w:val="22"/>
          <w:szCs w:val="22"/>
        </w:rPr>
        <w:t xml:space="preserve">nderserved” </w:t>
      </w:r>
      <w:r w:rsidR="00FA7711" w:rsidRPr="00C42105">
        <w:rPr>
          <w:rFonts w:ascii="Calibri" w:eastAsia="Times New Roman" w:hAnsi="Calibri" w:cs="Times New Roman"/>
          <w:color w:val="000000"/>
          <w:sz w:val="22"/>
          <w:szCs w:val="22"/>
        </w:rPr>
        <w:t xml:space="preserve">has not been </w:t>
      </w:r>
      <w:r w:rsidR="006936AB" w:rsidRPr="00C42105">
        <w:rPr>
          <w:rFonts w:ascii="Calibri" w:eastAsia="Times New Roman" w:hAnsi="Calibri" w:cs="Times New Roman"/>
          <w:color w:val="000000"/>
          <w:sz w:val="22"/>
          <w:szCs w:val="22"/>
        </w:rPr>
        <w:t>defined</w:t>
      </w:r>
      <w:r w:rsidRPr="00C42105">
        <w:rPr>
          <w:rFonts w:ascii="Calibri" w:eastAsia="Times New Roman" w:hAnsi="Calibri" w:cs="Times New Roman"/>
          <w:color w:val="000000"/>
          <w:sz w:val="22"/>
          <w:szCs w:val="22"/>
        </w:rPr>
        <w:t xml:space="preserve"> </w:t>
      </w:r>
      <w:r w:rsidR="008D38CB" w:rsidRPr="00C42105">
        <w:rPr>
          <w:rFonts w:ascii="Calibri" w:eastAsia="Times New Roman" w:hAnsi="Calibri" w:cs="Times New Roman"/>
          <w:color w:val="000000"/>
          <w:sz w:val="22"/>
          <w:szCs w:val="22"/>
        </w:rPr>
        <w:t>by the CPUC</w:t>
      </w:r>
      <w:r w:rsidR="006936AB" w:rsidRPr="00C42105">
        <w:rPr>
          <w:rFonts w:ascii="Calibri" w:eastAsia="Times New Roman" w:hAnsi="Calibri" w:cs="Times New Roman"/>
          <w:color w:val="000000"/>
          <w:sz w:val="22"/>
          <w:szCs w:val="22"/>
        </w:rPr>
        <w:t>. </w:t>
      </w:r>
      <w:r w:rsidR="008D38CB" w:rsidRPr="00C42105">
        <w:rPr>
          <w:rFonts w:ascii="Calibri" w:eastAsia="Times New Roman" w:hAnsi="Calibri" w:cs="Times New Roman"/>
          <w:color w:val="000000"/>
          <w:sz w:val="22"/>
          <w:szCs w:val="22"/>
        </w:rPr>
        <w:t xml:space="preserve"> </w:t>
      </w:r>
    </w:p>
    <w:p w14:paraId="54FBB25E" w14:textId="56F6A873" w:rsidR="008D38CB" w:rsidRPr="00C42105" w:rsidRDefault="008D38CB" w:rsidP="008D38CB">
      <w:pPr>
        <w:rPr>
          <w:rFonts w:ascii="Calibri" w:eastAsia="Times New Roman" w:hAnsi="Calibri" w:cs="Times New Roman"/>
          <w:color w:val="000000"/>
          <w:sz w:val="22"/>
          <w:szCs w:val="22"/>
        </w:rPr>
      </w:pPr>
    </w:p>
    <w:p w14:paraId="3C4324EC" w14:textId="2E02C2D7" w:rsidR="008D38CB" w:rsidRPr="00C42105" w:rsidRDefault="008D38CB" w:rsidP="00D533E5">
      <w:pPr>
        <w:rPr>
          <w:rFonts w:ascii="Calibri" w:eastAsia="Times New Roman" w:hAnsi="Calibri" w:cs="Times New Roman"/>
          <w:color w:val="000000"/>
          <w:sz w:val="22"/>
          <w:szCs w:val="22"/>
        </w:rPr>
      </w:pPr>
      <w:r w:rsidRPr="00C42105">
        <w:rPr>
          <w:rFonts w:ascii="Calibri" w:eastAsia="Times New Roman" w:hAnsi="Calibri" w:cs="Times New Roman"/>
          <w:color w:val="000000"/>
          <w:sz w:val="22"/>
          <w:szCs w:val="22"/>
        </w:rPr>
        <w:t>The CAEECC Underserved Working Group (UWG) scope was broadly written to include the possibility, but not requirement, of recommending a definition of “underserved”</w:t>
      </w:r>
      <w:r w:rsidR="00FA7711" w:rsidRPr="00C42105">
        <w:rPr>
          <w:rFonts w:ascii="Calibri" w:eastAsia="Times New Roman" w:hAnsi="Calibri" w:cs="Times New Roman"/>
          <w:color w:val="000000"/>
          <w:sz w:val="22"/>
          <w:szCs w:val="22"/>
        </w:rPr>
        <w:t>, depending on what the first phase of the effort revealed</w:t>
      </w:r>
      <w:r w:rsidRPr="00C42105">
        <w:rPr>
          <w:rFonts w:ascii="Calibri" w:eastAsia="Times New Roman" w:hAnsi="Calibri" w:cs="Times New Roman"/>
          <w:color w:val="000000"/>
          <w:sz w:val="22"/>
          <w:szCs w:val="22"/>
        </w:rPr>
        <w:t xml:space="preserve">. </w:t>
      </w:r>
      <w:r w:rsidR="00FA7711" w:rsidRPr="00C42105">
        <w:rPr>
          <w:rFonts w:ascii="Calibri" w:eastAsia="Times New Roman" w:hAnsi="Calibri" w:cs="Times New Roman"/>
          <w:color w:val="000000"/>
          <w:sz w:val="22"/>
          <w:szCs w:val="22"/>
        </w:rPr>
        <w:t xml:space="preserve">Due to </w:t>
      </w:r>
      <w:r w:rsidRPr="00C42105">
        <w:rPr>
          <w:rFonts w:ascii="Calibri" w:eastAsia="Times New Roman" w:hAnsi="Calibri" w:cs="Times New Roman"/>
          <w:color w:val="000000"/>
          <w:sz w:val="22"/>
          <w:szCs w:val="22"/>
        </w:rPr>
        <w:t xml:space="preserve">data limitations and subsequent mixed analytical findings, the WG </w:t>
      </w:r>
      <w:r w:rsidR="00FA7711" w:rsidRPr="00C42105">
        <w:rPr>
          <w:rFonts w:ascii="Calibri" w:eastAsia="Times New Roman" w:hAnsi="Calibri" w:cs="Times New Roman"/>
          <w:color w:val="000000"/>
          <w:sz w:val="22"/>
          <w:szCs w:val="22"/>
        </w:rPr>
        <w:t>decided not to continue with another phase of the work and therefor</w:t>
      </w:r>
      <w:r w:rsidR="007A4D56" w:rsidRPr="00C42105">
        <w:rPr>
          <w:rFonts w:ascii="Calibri" w:eastAsia="Times New Roman" w:hAnsi="Calibri" w:cs="Times New Roman"/>
          <w:color w:val="000000"/>
          <w:sz w:val="22"/>
          <w:szCs w:val="22"/>
        </w:rPr>
        <w:t xml:space="preserve">e </w:t>
      </w:r>
      <w:r w:rsidRPr="00C42105">
        <w:rPr>
          <w:rFonts w:ascii="Calibri" w:eastAsia="Times New Roman" w:hAnsi="Calibri" w:cs="Times New Roman"/>
          <w:color w:val="000000"/>
          <w:sz w:val="22"/>
          <w:szCs w:val="22"/>
        </w:rPr>
        <w:t xml:space="preserve">did not </w:t>
      </w:r>
      <w:r w:rsidR="00D533E5" w:rsidRPr="00C42105">
        <w:rPr>
          <w:rFonts w:ascii="Calibri" w:eastAsia="Times New Roman" w:hAnsi="Calibri" w:cs="Times New Roman"/>
          <w:color w:val="000000"/>
          <w:sz w:val="22"/>
          <w:szCs w:val="22"/>
        </w:rPr>
        <w:t>propos</w:t>
      </w:r>
      <w:r w:rsidR="007A4D56" w:rsidRPr="00C42105">
        <w:rPr>
          <w:rFonts w:ascii="Calibri" w:eastAsia="Times New Roman" w:hAnsi="Calibri" w:cs="Times New Roman"/>
          <w:color w:val="000000"/>
          <w:sz w:val="22"/>
          <w:szCs w:val="22"/>
        </w:rPr>
        <w:t>e</w:t>
      </w:r>
      <w:r w:rsidR="00D533E5" w:rsidRPr="00C42105">
        <w:rPr>
          <w:rFonts w:ascii="Calibri" w:eastAsia="Times New Roman" w:hAnsi="Calibri" w:cs="Times New Roman"/>
          <w:color w:val="000000"/>
          <w:sz w:val="22"/>
          <w:szCs w:val="22"/>
        </w:rPr>
        <w:t xml:space="preserve"> </w:t>
      </w:r>
      <w:r w:rsidRPr="00C42105">
        <w:rPr>
          <w:rFonts w:ascii="Calibri" w:eastAsia="Times New Roman" w:hAnsi="Calibri" w:cs="Times New Roman"/>
          <w:color w:val="000000"/>
          <w:sz w:val="22"/>
          <w:szCs w:val="22"/>
        </w:rPr>
        <w:t>a definition.</w:t>
      </w:r>
      <w:r w:rsidR="00D533E5" w:rsidRPr="00C42105">
        <w:rPr>
          <w:rFonts w:ascii="Calibri" w:eastAsia="Times New Roman" w:hAnsi="Calibri" w:cs="Times New Roman"/>
          <w:color w:val="000000"/>
          <w:sz w:val="22"/>
          <w:szCs w:val="22"/>
        </w:rPr>
        <w:t xml:space="preserve"> </w:t>
      </w:r>
      <w:r w:rsidRPr="00C42105">
        <w:rPr>
          <w:rFonts w:ascii="Calibri" w:eastAsia="Times New Roman" w:hAnsi="Calibri" w:cs="Times New Roman"/>
          <w:color w:val="000000"/>
          <w:sz w:val="22"/>
          <w:szCs w:val="22"/>
        </w:rPr>
        <w:t xml:space="preserve">Thus, the Equity Metrics Working Group </w:t>
      </w:r>
      <w:r w:rsidR="00D533E5" w:rsidRPr="00C42105">
        <w:rPr>
          <w:rFonts w:ascii="Calibri" w:eastAsia="Times New Roman" w:hAnsi="Calibri" w:cs="Times New Roman"/>
          <w:color w:val="000000"/>
          <w:sz w:val="22"/>
          <w:szCs w:val="22"/>
        </w:rPr>
        <w:t xml:space="preserve">will need to consider options to define “underserved” with respect to identifying objectives and metrics for the equity segment of the forthcoming energy efficiency portfolios. </w:t>
      </w:r>
    </w:p>
    <w:p w14:paraId="462A816A" w14:textId="67B3A063" w:rsidR="008D38CB" w:rsidRPr="00C42105" w:rsidRDefault="008D38CB" w:rsidP="008D38CB">
      <w:pPr>
        <w:rPr>
          <w:rFonts w:ascii="Calibri" w:eastAsia="Times New Roman" w:hAnsi="Calibri" w:cs="Times New Roman"/>
          <w:color w:val="000000"/>
          <w:sz w:val="22"/>
          <w:szCs w:val="22"/>
        </w:rPr>
      </w:pPr>
    </w:p>
    <w:p w14:paraId="433EA11D" w14:textId="6B583EF6" w:rsidR="008D38CB" w:rsidRPr="00C42105" w:rsidRDefault="008D38CB" w:rsidP="00CF2349">
      <w:pPr>
        <w:contextualSpacing/>
        <w:rPr>
          <w:rFonts w:ascii="Calibri" w:hAnsi="Calibri"/>
          <w:sz w:val="22"/>
          <w:szCs w:val="22"/>
        </w:rPr>
      </w:pPr>
      <w:r w:rsidRPr="00C42105">
        <w:rPr>
          <w:rFonts w:ascii="Calibri" w:hAnsi="Calibri"/>
          <w:i/>
          <w:iCs/>
          <w:sz w:val="22"/>
          <w:szCs w:val="22"/>
        </w:rPr>
        <w:t>Organization</w:t>
      </w:r>
      <w:r w:rsidRPr="00C42105">
        <w:rPr>
          <w:rFonts w:ascii="Calibri" w:hAnsi="Calibri"/>
          <w:sz w:val="22"/>
          <w:szCs w:val="22"/>
        </w:rPr>
        <w:t xml:space="preserve">: This memo contains </w:t>
      </w:r>
      <w:r w:rsidR="00373D41" w:rsidRPr="00C42105">
        <w:rPr>
          <w:rFonts w:ascii="Calibri" w:hAnsi="Calibri"/>
          <w:sz w:val="22"/>
          <w:szCs w:val="22"/>
        </w:rPr>
        <w:t xml:space="preserve">four </w:t>
      </w:r>
      <w:r w:rsidR="00B74C9D" w:rsidRPr="00C42105">
        <w:rPr>
          <w:rFonts w:ascii="Calibri" w:hAnsi="Calibri"/>
          <w:sz w:val="22"/>
          <w:szCs w:val="22"/>
        </w:rPr>
        <w:t>sections</w:t>
      </w:r>
      <w:r w:rsidRPr="00C42105">
        <w:rPr>
          <w:rFonts w:ascii="Calibri" w:hAnsi="Calibri"/>
          <w:sz w:val="22"/>
          <w:szCs w:val="22"/>
        </w:rPr>
        <w:t>:</w:t>
      </w:r>
    </w:p>
    <w:p w14:paraId="16F2FB72" w14:textId="47AEF82C" w:rsidR="008D38CB" w:rsidRPr="00C42105" w:rsidRDefault="00745CF0" w:rsidP="00CF2349">
      <w:pPr>
        <w:pStyle w:val="ListParagraph"/>
        <w:numPr>
          <w:ilvl w:val="0"/>
          <w:numId w:val="18"/>
        </w:numPr>
        <w:contextualSpacing/>
        <w:rPr>
          <w:rFonts w:ascii="Calibri" w:hAnsi="Calibri"/>
          <w:sz w:val="22"/>
          <w:szCs w:val="22"/>
        </w:rPr>
      </w:pPr>
      <w:r w:rsidRPr="00C42105">
        <w:rPr>
          <w:rFonts w:ascii="Calibri" w:hAnsi="Calibri"/>
          <w:sz w:val="22"/>
          <w:szCs w:val="22"/>
        </w:rPr>
        <w:lastRenderedPageBreak/>
        <w:t xml:space="preserve">CPUC </w:t>
      </w:r>
      <w:r w:rsidR="00F22E2A" w:rsidRPr="00C42105">
        <w:rPr>
          <w:rFonts w:ascii="Calibri" w:hAnsi="Calibri"/>
          <w:sz w:val="22"/>
          <w:szCs w:val="22"/>
        </w:rPr>
        <w:t>hard-to-reach (</w:t>
      </w:r>
      <w:r w:rsidRPr="00C42105">
        <w:rPr>
          <w:rFonts w:ascii="Calibri" w:hAnsi="Calibri"/>
          <w:sz w:val="22"/>
          <w:szCs w:val="22"/>
        </w:rPr>
        <w:t>HTR</w:t>
      </w:r>
      <w:r w:rsidR="00F22E2A" w:rsidRPr="00C42105">
        <w:rPr>
          <w:rFonts w:ascii="Calibri" w:hAnsi="Calibri"/>
          <w:sz w:val="22"/>
          <w:szCs w:val="22"/>
        </w:rPr>
        <w:t>)</w:t>
      </w:r>
      <w:r w:rsidRPr="00C42105">
        <w:rPr>
          <w:rFonts w:ascii="Calibri" w:hAnsi="Calibri"/>
          <w:sz w:val="22"/>
          <w:szCs w:val="22"/>
        </w:rPr>
        <w:t xml:space="preserve"> Definition</w:t>
      </w:r>
    </w:p>
    <w:p w14:paraId="63B714A5" w14:textId="042FFC86" w:rsidR="00F22E2A" w:rsidRPr="00C42105" w:rsidRDefault="00F22E2A" w:rsidP="00CF2349">
      <w:pPr>
        <w:pStyle w:val="ListParagraph"/>
        <w:numPr>
          <w:ilvl w:val="0"/>
          <w:numId w:val="18"/>
        </w:numPr>
        <w:contextualSpacing/>
        <w:rPr>
          <w:rFonts w:ascii="Calibri" w:hAnsi="Calibri"/>
          <w:sz w:val="22"/>
          <w:szCs w:val="22"/>
        </w:rPr>
      </w:pPr>
      <w:r w:rsidRPr="00C42105">
        <w:rPr>
          <w:rFonts w:ascii="Calibri" w:hAnsi="Calibri"/>
          <w:sz w:val="22"/>
          <w:szCs w:val="22"/>
        </w:rPr>
        <w:t>Disadvantaged community (</w:t>
      </w:r>
      <w:r w:rsidR="00745CF0" w:rsidRPr="00C42105">
        <w:rPr>
          <w:rFonts w:ascii="Calibri" w:hAnsi="Calibri"/>
          <w:sz w:val="22"/>
          <w:szCs w:val="22"/>
        </w:rPr>
        <w:t>DAC</w:t>
      </w:r>
      <w:r w:rsidRPr="00C42105">
        <w:rPr>
          <w:rFonts w:ascii="Calibri" w:hAnsi="Calibri"/>
          <w:sz w:val="22"/>
          <w:szCs w:val="22"/>
        </w:rPr>
        <w:t>)</w:t>
      </w:r>
      <w:r w:rsidR="00745CF0" w:rsidRPr="00C42105">
        <w:rPr>
          <w:rFonts w:ascii="Calibri" w:hAnsi="Calibri"/>
          <w:sz w:val="22"/>
          <w:szCs w:val="22"/>
        </w:rPr>
        <w:t xml:space="preserve"> Definitio</w:t>
      </w:r>
      <w:r w:rsidRPr="00C42105">
        <w:rPr>
          <w:rFonts w:ascii="Calibri" w:hAnsi="Calibri"/>
          <w:sz w:val="22"/>
          <w:szCs w:val="22"/>
        </w:rPr>
        <w:t>n</w:t>
      </w:r>
    </w:p>
    <w:p w14:paraId="595B2BF2" w14:textId="4C258C2E" w:rsidR="00E1191B" w:rsidRPr="00C42105" w:rsidRDefault="00AE61FB" w:rsidP="00CF2349">
      <w:pPr>
        <w:pStyle w:val="ListParagraph"/>
        <w:numPr>
          <w:ilvl w:val="0"/>
          <w:numId w:val="18"/>
        </w:numPr>
        <w:rPr>
          <w:color w:val="000000"/>
        </w:rPr>
      </w:pPr>
      <w:r w:rsidRPr="00C42105">
        <w:rPr>
          <w:rFonts w:ascii="Calibri" w:hAnsi="Calibri"/>
          <w:sz w:val="22"/>
          <w:szCs w:val="22"/>
        </w:rPr>
        <w:t>Proposals for Defining “Underserved”</w:t>
      </w:r>
    </w:p>
    <w:p w14:paraId="577F9527" w14:textId="4AB6A767" w:rsidR="00A22161" w:rsidRPr="00C42105" w:rsidRDefault="00A22161" w:rsidP="00CF2349">
      <w:pPr>
        <w:pStyle w:val="ListParagraph"/>
        <w:numPr>
          <w:ilvl w:val="0"/>
          <w:numId w:val="18"/>
        </w:numPr>
        <w:rPr>
          <w:color w:val="000000"/>
        </w:rPr>
      </w:pPr>
      <w:r w:rsidRPr="00C42105">
        <w:rPr>
          <w:rFonts w:ascii="Calibri" w:hAnsi="Calibri"/>
          <w:sz w:val="22"/>
          <w:szCs w:val="22"/>
        </w:rPr>
        <w:t>Background for Eligibility Discussion</w:t>
      </w:r>
    </w:p>
    <w:p w14:paraId="4BFC62DB" w14:textId="0D3A1C1B" w:rsidR="00745CF0" w:rsidRPr="00C42105" w:rsidRDefault="00745CF0" w:rsidP="00745CF0">
      <w:pPr>
        <w:pStyle w:val="Heading1"/>
        <w:rPr>
          <w:rFonts w:ascii="Calibri" w:hAnsi="Calibri"/>
        </w:rPr>
      </w:pPr>
      <w:r w:rsidRPr="00C42105">
        <w:rPr>
          <w:rFonts w:ascii="Calibri" w:eastAsia="Times New Roman" w:hAnsi="Calibri"/>
        </w:rPr>
        <w:t>CPUC Hard-to-Reach (HTR) Definition</w:t>
      </w:r>
      <w:r w:rsidR="00FD55B8" w:rsidRPr="00C42105">
        <w:rPr>
          <w:rFonts w:ascii="Calibri" w:eastAsia="Times New Roman" w:hAnsi="Calibri"/>
        </w:rPr>
        <w:t xml:space="preserve"> </w:t>
      </w:r>
    </w:p>
    <w:p w14:paraId="794AE47E" w14:textId="196150F8" w:rsidR="00210464" w:rsidRPr="00C42105" w:rsidRDefault="00210464" w:rsidP="00210464">
      <w:pPr>
        <w:pStyle w:val="xxmsonormal"/>
        <w:shd w:val="clear" w:color="auto" w:fill="FFFFFF"/>
        <w:spacing w:before="0" w:beforeAutospacing="0" w:after="0" w:afterAutospacing="0"/>
        <w:rPr>
          <w:rFonts w:ascii="Calibri" w:hAnsi="Calibri"/>
          <w:b/>
          <w:bCs/>
          <w:color w:val="000000"/>
          <w:sz w:val="22"/>
          <w:szCs w:val="22"/>
        </w:rPr>
      </w:pPr>
      <w:r w:rsidRPr="00C42105">
        <w:rPr>
          <w:rFonts w:ascii="Calibri" w:hAnsi="Calibri"/>
          <w:b/>
          <w:bCs/>
          <w:color w:val="000000"/>
          <w:sz w:val="22"/>
          <w:szCs w:val="22"/>
        </w:rPr>
        <w:t>D.18-05-041 define</w:t>
      </w:r>
      <w:r w:rsidR="009B6F4C" w:rsidRPr="00C42105">
        <w:rPr>
          <w:rFonts w:ascii="Calibri" w:hAnsi="Calibri"/>
          <w:b/>
          <w:bCs/>
          <w:color w:val="000000"/>
          <w:sz w:val="22"/>
          <w:szCs w:val="22"/>
        </w:rPr>
        <w:t>s</w:t>
      </w:r>
      <w:r w:rsidRPr="00C42105">
        <w:rPr>
          <w:rFonts w:ascii="Calibri" w:hAnsi="Calibri"/>
          <w:b/>
          <w:bCs/>
          <w:color w:val="000000"/>
          <w:sz w:val="22"/>
          <w:szCs w:val="22"/>
        </w:rPr>
        <w:t xml:space="preserve"> HTR in Section 2.5.2, p.41 as follows:</w:t>
      </w:r>
    </w:p>
    <w:p w14:paraId="463BA194" w14:textId="00314381" w:rsidR="00E1191B" w:rsidRPr="00C42105" w:rsidRDefault="00E1191B" w:rsidP="00E1191B">
      <w:pPr>
        <w:pStyle w:val="xxmsonormal"/>
        <w:shd w:val="clear" w:color="auto" w:fill="FFFFFF"/>
        <w:spacing w:before="0" w:beforeAutospacing="0" w:after="0" w:afterAutospacing="0"/>
        <w:rPr>
          <w:rFonts w:ascii="Calibri" w:hAnsi="Calibri"/>
          <w:color w:val="000000"/>
          <w:sz w:val="22"/>
          <w:szCs w:val="22"/>
        </w:rPr>
      </w:pPr>
      <w:r w:rsidRPr="00C42105">
        <w:rPr>
          <w:rFonts w:ascii="Calibri" w:hAnsi="Calibri"/>
          <w:color w:val="000000"/>
          <w:sz w:val="22"/>
          <w:szCs w:val="22"/>
        </w:rPr>
        <w:t> </w:t>
      </w:r>
    </w:p>
    <w:p w14:paraId="78B28AF8" w14:textId="404033E1" w:rsidR="00E1191B" w:rsidRPr="00C42105" w:rsidRDefault="00922072" w:rsidP="00E1191B">
      <w:pPr>
        <w:pStyle w:val="xxmsonormal"/>
        <w:shd w:val="clear" w:color="auto" w:fill="FFFFFF"/>
        <w:spacing w:before="0" w:beforeAutospacing="0" w:after="0" w:afterAutospacing="0"/>
        <w:rPr>
          <w:rFonts w:ascii="Calibri" w:hAnsi="Calibri"/>
          <w:color w:val="000000"/>
          <w:sz w:val="22"/>
          <w:szCs w:val="22"/>
        </w:rPr>
      </w:pPr>
      <w:r w:rsidRPr="00C42105">
        <w:rPr>
          <w:rFonts w:ascii="Calibri" w:hAnsi="Calibri"/>
          <w:color w:val="000000"/>
          <w:sz w:val="22"/>
          <w:szCs w:val="22"/>
        </w:rPr>
        <w:t>“</w:t>
      </w:r>
      <w:r w:rsidR="00E1191B" w:rsidRPr="00C42105">
        <w:rPr>
          <w:rFonts w:ascii="Calibri" w:hAnsi="Calibri"/>
          <w:color w:val="000000"/>
          <w:sz w:val="22"/>
          <w:szCs w:val="22"/>
        </w:rPr>
        <w:t>Specific criteria were developed by staff</w:t>
      </w:r>
      <w:r w:rsidR="00E1191B" w:rsidRPr="00C42105">
        <w:rPr>
          <w:rFonts w:ascii="Calibri" w:hAnsi="Calibri"/>
          <w:color w:val="000000"/>
          <w:sz w:val="22"/>
          <w:szCs w:val="22"/>
          <w:bdr w:val="none" w:sz="0" w:space="0" w:color="auto" w:frame="1"/>
        </w:rPr>
        <w:t> to </w:t>
      </w:r>
      <w:r w:rsidR="00E1191B" w:rsidRPr="00C42105">
        <w:rPr>
          <w:rFonts w:ascii="Calibri" w:hAnsi="Calibri"/>
          <w:color w:val="000000"/>
          <w:sz w:val="22"/>
          <w:szCs w:val="22"/>
        </w:rPr>
        <w:t>be used in classifying a customer as</w:t>
      </w:r>
      <w:r w:rsidR="00E1191B" w:rsidRPr="00C42105">
        <w:rPr>
          <w:rFonts w:ascii="Calibri" w:hAnsi="Calibri"/>
          <w:color w:val="000000"/>
          <w:sz w:val="22"/>
          <w:szCs w:val="22"/>
          <w:bdr w:val="none" w:sz="0" w:space="0" w:color="auto" w:frame="1"/>
        </w:rPr>
        <w:t> hard</w:t>
      </w:r>
      <w:r w:rsidR="00E1191B" w:rsidRPr="00C42105">
        <w:rPr>
          <w:rFonts w:ascii="Calibri" w:hAnsi="Calibri"/>
          <w:color w:val="000000"/>
          <w:sz w:val="22"/>
          <w:szCs w:val="22"/>
        </w:rPr>
        <w:t>-</w:t>
      </w:r>
      <w:r w:rsidR="00E1191B" w:rsidRPr="00C42105">
        <w:rPr>
          <w:rFonts w:ascii="Calibri" w:hAnsi="Calibri"/>
          <w:color w:val="000000"/>
          <w:sz w:val="22"/>
          <w:szCs w:val="22"/>
          <w:bdr w:val="none" w:sz="0" w:space="0" w:color="auto" w:frame="1"/>
        </w:rPr>
        <w:t>to</w:t>
      </w:r>
      <w:r w:rsidR="00E1191B" w:rsidRPr="00C42105">
        <w:rPr>
          <w:rFonts w:ascii="Calibri" w:hAnsi="Calibri"/>
          <w:color w:val="000000"/>
          <w:sz w:val="22"/>
          <w:szCs w:val="22"/>
        </w:rPr>
        <w:t>-</w:t>
      </w:r>
      <w:r w:rsidR="00E1191B" w:rsidRPr="00C42105">
        <w:rPr>
          <w:rFonts w:ascii="Calibri" w:hAnsi="Calibri"/>
          <w:color w:val="000000"/>
          <w:sz w:val="22"/>
          <w:szCs w:val="22"/>
          <w:bdr w:val="none" w:sz="0" w:space="0" w:color="auto" w:frame="1"/>
        </w:rPr>
        <w:t>reach</w:t>
      </w:r>
      <w:r w:rsidR="00E1191B" w:rsidRPr="00C42105">
        <w:rPr>
          <w:rFonts w:ascii="Calibri" w:hAnsi="Calibri"/>
          <w:color w:val="000000"/>
          <w:sz w:val="22"/>
          <w:szCs w:val="22"/>
          <w:shd w:val="clear" w:color="auto" w:fill="FFFFFF"/>
        </w:rPr>
        <w:t>. </w:t>
      </w:r>
      <w:r w:rsidR="00E1191B" w:rsidRPr="00C42105">
        <w:rPr>
          <w:rFonts w:ascii="Calibri" w:hAnsi="Calibri"/>
          <w:color w:val="000000"/>
          <w:sz w:val="22"/>
          <w:szCs w:val="22"/>
          <w:u w:val="single"/>
          <w:shd w:val="clear" w:color="auto" w:fill="FFFFFF"/>
        </w:rPr>
        <w:t>Two criteria are considered sufficient if one of the criteria met is the geographic criteria defined below.</w:t>
      </w:r>
      <w:r w:rsidR="00E1191B" w:rsidRPr="00C42105">
        <w:rPr>
          <w:rFonts w:ascii="Calibri" w:hAnsi="Calibri"/>
          <w:color w:val="000000"/>
          <w:sz w:val="22"/>
          <w:szCs w:val="22"/>
          <w:bdr w:val="none" w:sz="0" w:space="0" w:color="auto" w:frame="1"/>
        </w:rPr>
        <w:t> </w:t>
      </w:r>
      <w:r w:rsidR="00E1191B" w:rsidRPr="00C42105">
        <w:rPr>
          <w:rFonts w:ascii="Calibri" w:hAnsi="Calibri"/>
          <w:color w:val="000000"/>
          <w:sz w:val="22"/>
          <w:szCs w:val="22"/>
        </w:rPr>
        <w:t xml:space="preserve">There </w:t>
      </w:r>
      <w:proofErr w:type="gramStart"/>
      <w:r w:rsidR="00E1191B" w:rsidRPr="00C42105">
        <w:rPr>
          <w:rFonts w:ascii="Calibri" w:hAnsi="Calibri"/>
          <w:color w:val="000000"/>
          <w:sz w:val="22"/>
          <w:szCs w:val="22"/>
        </w:rPr>
        <w:t>are</w:t>
      </w:r>
      <w:proofErr w:type="gramEnd"/>
      <w:r w:rsidR="00E1191B" w:rsidRPr="00C42105">
        <w:rPr>
          <w:rFonts w:ascii="Calibri" w:hAnsi="Calibri"/>
          <w:color w:val="000000"/>
          <w:sz w:val="22"/>
          <w:szCs w:val="22"/>
        </w:rPr>
        <w:t xml:space="preserve"> common as well as separate criteria when defining</w:t>
      </w:r>
      <w:r w:rsidR="00E1191B" w:rsidRPr="00C42105">
        <w:rPr>
          <w:rFonts w:ascii="Calibri" w:hAnsi="Calibri"/>
          <w:color w:val="000000"/>
          <w:sz w:val="22"/>
          <w:szCs w:val="22"/>
          <w:bdr w:val="none" w:sz="0" w:space="0" w:color="auto" w:frame="1"/>
        </w:rPr>
        <w:t> hard</w:t>
      </w:r>
      <w:r w:rsidR="00E1191B" w:rsidRPr="00C42105">
        <w:rPr>
          <w:rFonts w:ascii="Calibri" w:hAnsi="Calibri"/>
          <w:color w:val="000000"/>
          <w:sz w:val="22"/>
          <w:szCs w:val="22"/>
        </w:rPr>
        <w:t>-</w:t>
      </w:r>
      <w:r w:rsidR="00E1191B" w:rsidRPr="00C42105">
        <w:rPr>
          <w:rFonts w:ascii="Calibri" w:hAnsi="Calibri"/>
          <w:color w:val="000000"/>
          <w:sz w:val="22"/>
          <w:szCs w:val="22"/>
          <w:bdr w:val="none" w:sz="0" w:space="0" w:color="auto" w:frame="1"/>
        </w:rPr>
        <w:t>to</w:t>
      </w:r>
      <w:r w:rsidR="00E1191B" w:rsidRPr="00C42105">
        <w:rPr>
          <w:rFonts w:ascii="Calibri" w:hAnsi="Calibri"/>
          <w:color w:val="000000"/>
          <w:sz w:val="22"/>
          <w:szCs w:val="22"/>
        </w:rPr>
        <w:t>-</w:t>
      </w:r>
      <w:r w:rsidR="00E1191B" w:rsidRPr="00C42105">
        <w:rPr>
          <w:rFonts w:ascii="Calibri" w:hAnsi="Calibri"/>
          <w:color w:val="000000"/>
          <w:sz w:val="22"/>
          <w:szCs w:val="22"/>
          <w:bdr w:val="none" w:sz="0" w:space="0" w:color="auto" w:frame="1"/>
        </w:rPr>
        <w:t>reach </w:t>
      </w:r>
      <w:r w:rsidR="00E1191B" w:rsidRPr="00C42105">
        <w:rPr>
          <w:rFonts w:ascii="Calibri" w:hAnsi="Calibri"/>
          <w:color w:val="000000"/>
          <w:sz w:val="22"/>
          <w:szCs w:val="22"/>
        </w:rPr>
        <w:t>for residential versus small business customers. The barriers common</w:t>
      </w:r>
      <w:r w:rsidR="00E1191B" w:rsidRPr="00C42105">
        <w:rPr>
          <w:rFonts w:ascii="Calibri" w:hAnsi="Calibri"/>
          <w:color w:val="000000"/>
          <w:sz w:val="22"/>
          <w:szCs w:val="22"/>
          <w:bdr w:val="none" w:sz="0" w:space="0" w:color="auto" w:frame="1"/>
        </w:rPr>
        <w:t> to </w:t>
      </w:r>
      <w:r w:rsidR="00E1191B" w:rsidRPr="00C42105">
        <w:rPr>
          <w:rFonts w:ascii="Calibri" w:hAnsi="Calibri"/>
          <w:color w:val="000000"/>
          <w:sz w:val="22"/>
          <w:szCs w:val="22"/>
        </w:rPr>
        <w:t>both include: </w:t>
      </w:r>
    </w:p>
    <w:p w14:paraId="748A54FC" w14:textId="77777777" w:rsidR="00E1191B" w:rsidRPr="00C42105" w:rsidRDefault="00E1191B" w:rsidP="00E1191B">
      <w:pPr>
        <w:pStyle w:val="xxmsonormal"/>
        <w:shd w:val="clear" w:color="auto" w:fill="FFFFFF"/>
        <w:spacing w:before="0" w:beforeAutospacing="0" w:after="0" w:afterAutospacing="0"/>
        <w:rPr>
          <w:rFonts w:ascii="Calibri" w:hAnsi="Calibri"/>
          <w:color w:val="000000"/>
          <w:sz w:val="22"/>
          <w:szCs w:val="22"/>
        </w:rPr>
      </w:pPr>
      <w:r w:rsidRPr="00C42105">
        <w:rPr>
          <w:rFonts w:ascii="Calibri" w:hAnsi="Calibri"/>
          <w:color w:val="000000"/>
          <w:sz w:val="22"/>
          <w:szCs w:val="22"/>
        </w:rPr>
        <w:t> </w:t>
      </w:r>
    </w:p>
    <w:p w14:paraId="79EB425A" w14:textId="77777777" w:rsidR="00E1191B" w:rsidRPr="00C42105" w:rsidRDefault="00E1191B" w:rsidP="00C26FD4">
      <w:pPr>
        <w:pStyle w:val="xxmsonormal"/>
        <w:numPr>
          <w:ilvl w:val="1"/>
          <w:numId w:val="11"/>
        </w:numPr>
        <w:shd w:val="clear" w:color="auto" w:fill="FFFFFF"/>
        <w:tabs>
          <w:tab w:val="clear" w:pos="1440"/>
          <w:tab w:val="num" w:pos="1080"/>
        </w:tabs>
        <w:spacing w:before="0" w:beforeAutospacing="0" w:after="0" w:afterAutospacing="0"/>
        <w:ind w:left="1080"/>
        <w:rPr>
          <w:rFonts w:ascii="Calibri" w:hAnsi="Calibri"/>
          <w:color w:val="000000"/>
          <w:sz w:val="22"/>
          <w:szCs w:val="22"/>
        </w:rPr>
      </w:pPr>
      <w:r w:rsidRPr="00C42105">
        <w:rPr>
          <w:rFonts w:ascii="Calibri" w:hAnsi="Calibri"/>
          <w:color w:val="000000"/>
          <w:sz w:val="22"/>
          <w:szCs w:val="22"/>
        </w:rPr>
        <w:t>Those customers who do not have easy access</w:t>
      </w:r>
      <w:r w:rsidRPr="00C42105">
        <w:rPr>
          <w:rFonts w:ascii="Calibri" w:hAnsi="Calibri"/>
          <w:color w:val="000000"/>
          <w:sz w:val="22"/>
          <w:szCs w:val="22"/>
          <w:bdr w:val="none" w:sz="0" w:space="0" w:color="auto" w:frame="1"/>
        </w:rPr>
        <w:t> to </w:t>
      </w:r>
      <w:r w:rsidRPr="00C42105">
        <w:rPr>
          <w:rFonts w:ascii="Calibri" w:hAnsi="Calibri"/>
          <w:color w:val="000000"/>
          <w:sz w:val="22"/>
          <w:szCs w:val="22"/>
        </w:rPr>
        <w:t>program information or generally do not participate in energy efficiency programs due</w:t>
      </w:r>
      <w:r w:rsidRPr="00C42105">
        <w:rPr>
          <w:rFonts w:ascii="Calibri" w:hAnsi="Calibri"/>
          <w:color w:val="000000"/>
          <w:sz w:val="22"/>
          <w:szCs w:val="22"/>
          <w:bdr w:val="none" w:sz="0" w:space="0" w:color="auto" w:frame="1"/>
        </w:rPr>
        <w:t> to </w:t>
      </w:r>
      <w:r w:rsidRPr="00C42105">
        <w:rPr>
          <w:rFonts w:ascii="Calibri" w:hAnsi="Calibri"/>
          <w:color w:val="000000"/>
          <w:sz w:val="22"/>
          <w:szCs w:val="22"/>
        </w:rPr>
        <w:t>a combination of language, business size, geographic, and lease (split incentive) barriers. These barriers</w:t>
      </w:r>
      <w:r w:rsidRPr="00C42105">
        <w:rPr>
          <w:rFonts w:ascii="Calibri" w:hAnsi="Calibri"/>
          <w:color w:val="000000"/>
          <w:sz w:val="22"/>
          <w:szCs w:val="22"/>
          <w:bdr w:val="none" w:sz="0" w:space="0" w:color="auto" w:frame="1"/>
        </w:rPr>
        <w:t> to </w:t>
      </w:r>
      <w:r w:rsidRPr="00C42105">
        <w:rPr>
          <w:rFonts w:ascii="Calibri" w:hAnsi="Calibri"/>
          <w:color w:val="000000"/>
          <w:sz w:val="22"/>
          <w:szCs w:val="22"/>
        </w:rPr>
        <w:t>consider include: </w:t>
      </w:r>
    </w:p>
    <w:p w14:paraId="515D6BCF" w14:textId="77777777" w:rsidR="00E1191B" w:rsidRPr="00C42105" w:rsidRDefault="00E1191B" w:rsidP="00C26FD4">
      <w:pPr>
        <w:pStyle w:val="xxmsonormal"/>
        <w:numPr>
          <w:ilvl w:val="2"/>
          <w:numId w:val="12"/>
        </w:numPr>
        <w:shd w:val="clear" w:color="auto" w:fill="FFFFFF"/>
        <w:tabs>
          <w:tab w:val="clear" w:pos="2160"/>
          <w:tab w:val="num" w:pos="1800"/>
        </w:tabs>
        <w:spacing w:before="0" w:beforeAutospacing="0" w:after="0" w:afterAutospacing="0"/>
        <w:ind w:left="1800"/>
        <w:rPr>
          <w:rFonts w:ascii="Calibri" w:hAnsi="Calibri"/>
          <w:color w:val="000000"/>
          <w:sz w:val="22"/>
          <w:szCs w:val="22"/>
        </w:rPr>
      </w:pPr>
      <w:r w:rsidRPr="00C42105">
        <w:rPr>
          <w:rFonts w:ascii="Calibri" w:hAnsi="Calibri"/>
          <w:color w:val="000000"/>
          <w:sz w:val="22"/>
          <w:szCs w:val="22"/>
        </w:rPr>
        <w:t>Language</w:t>
      </w:r>
      <w:r w:rsidRPr="00C42105">
        <w:rPr>
          <w:rFonts w:ascii="Calibri" w:hAnsi="Calibri"/>
          <w:i/>
          <w:iCs/>
          <w:color w:val="000000"/>
          <w:sz w:val="22"/>
          <w:szCs w:val="22"/>
          <w:bdr w:val="none" w:sz="0" w:space="0" w:color="auto" w:frame="1"/>
        </w:rPr>
        <w:t> </w:t>
      </w:r>
      <w:r w:rsidRPr="00C42105">
        <w:rPr>
          <w:rFonts w:ascii="Calibri" w:hAnsi="Calibri"/>
          <w:i/>
          <w:iCs/>
          <w:color w:val="000000"/>
          <w:sz w:val="22"/>
          <w:szCs w:val="22"/>
        </w:rPr>
        <w:t>–</w:t>
      </w:r>
      <w:r w:rsidRPr="00C42105">
        <w:rPr>
          <w:rFonts w:ascii="Calibri" w:hAnsi="Calibri"/>
          <w:color w:val="000000"/>
          <w:sz w:val="22"/>
          <w:szCs w:val="22"/>
          <w:bdr w:val="none" w:sz="0" w:space="0" w:color="auto" w:frame="1"/>
        </w:rPr>
        <w:t> </w:t>
      </w:r>
      <w:r w:rsidRPr="00C42105">
        <w:rPr>
          <w:rFonts w:ascii="Calibri" w:hAnsi="Calibri"/>
          <w:color w:val="000000"/>
          <w:sz w:val="22"/>
          <w:szCs w:val="22"/>
        </w:rPr>
        <w:t>Primary language spoken is other than English, and/or </w:t>
      </w:r>
    </w:p>
    <w:p w14:paraId="07FDBA72" w14:textId="7CF76E79" w:rsidR="00E1191B" w:rsidRPr="00C42105" w:rsidRDefault="00E1191B" w:rsidP="00C26FD4">
      <w:pPr>
        <w:pStyle w:val="xxmsonormal"/>
        <w:numPr>
          <w:ilvl w:val="2"/>
          <w:numId w:val="12"/>
        </w:numPr>
        <w:shd w:val="clear" w:color="auto" w:fill="FFFFFF"/>
        <w:tabs>
          <w:tab w:val="clear" w:pos="2160"/>
          <w:tab w:val="num" w:pos="1800"/>
        </w:tabs>
        <w:spacing w:before="0" w:beforeAutospacing="0" w:after="0" w:afterAutospacing="0"/>
        <w:ind w:left="1800"/>
        <w:rPr>
          <w:rFonts w:ascii="Calibri" w:hAnsi="Calibri"/>
          <w:color w:val="000000"/>
          <w:sz w:val="22"/>
          <w:szCs w:val="22"/>
        </w:rPr>
      </w:pPr>
      <w:r w:rsidRPr="00C42105">
        <w:rPr>
          <w:rFonts w:ascii="Calibri" w:hAnsi="Calibri"/>
          <w:color w:val="000000"/>
          <w:sz w:val="22"/>
          <w:szCs w:val="22"/>
        </w:rPr>
        <w:t>Geographic</w:t>
      </w:r>
      <w:r w:rsidRPr="00C42105">
        <w:rPr>
          <w:rFonts w:ascii="Calibri" w:hAnsi="Calibri"/>
          <w:i/>
          <w:iCs/>
          <w:color w:val="000000"/>
          <w:sz w:val="22"/>
          <w:szCs w:val="22"/>
          <w:bdr w:val="none" w:sz="0" w:space="0" w:color="auto" w:frame="1"/>
        </w:rPr>
        <w:t> </w:t>
      </w:r>
      <w:r w:rsidRPr="00C42105">
        <w:rPr>
          <w:rFonts w:ascii="Calibri" w:hAnsi="Calibri"/>
          <w:i/>
          <w:iCs/>
          <w:color w:val="000000"/>
          <w:sz w:val="22"/>
          <w:szCs w:val="22"/>
        </w:rPr>
        <w:t>–</w:t>
      </w:r>
      <w:r w:rsidRPr="00C42105">
        <w:rPr>
          <w:rFonts w:ascii="Calibri" w:hAnsi="Calibri"/>
          <w:i/>
          <w:iCs/>
          <w:color w:val="000000"/>
          <w:sz w:val="22"/>
          <w:szCs w:val="22"/>
          <w:bdr w:val="none" w:sz="0" w:space="0" w:color="auto" w:frame="1"/>
        </w:rPr>
        <w:t> </w:t>
      </w:r>
      <w:r w:rsidRPr="00C42105">
        <w:rPr>
          <w:rFonts w:ascii="Calibri" w:hAnsi="Calibri"/>
          <w:color w:val="000000"/>
          <w:sz w:val="22"/>
          <w:szCs w:val="22"/>
        </w:rPr>
        <w:t>Businesses or homes in areas other than the United States Office of Management and Budget Combined Statistical Areas of the San Francisco Bay Area, the Greater Los Angeles Area and the Greater Sacramento Area or the Office of Management and Budget metropolitan statistical areas of San Diego County. </w:t>
      </w:r>
    </w:p>
    <w:p w14:paraId="2BE65D84" w14:textId="77777777" w:rsidR="00E1191B" w:rsidRPr="00C42105" w:rsidRDefault="00E1191B" w:rsidP="00C26FD4">
      <w:pPr>
        <w:pStyle w:val="xxmsonormal"/>
        <w:numPr>
          <w:ilvl w:val="1"/>
          <w:numId w:val="13"/>
        </w:numPr>
        <w:shd w:val="clear" w:color="auto" w:fill="FFFFFF"/>
        <w:tabs>
          <w:tab w:val="clear" w:pos="1440"/>
          <w:tab w:val="num" w:pos="1080"/>
        </w:tabs>
        <w:spacing w:before="0" w:beforeAutospacing="0" w:after="0" w:afterAutospacing="0"/>
        <w:ind w:left="1080"/>
        <w:rPr>
          <w:rFonts w:ascii="Calibri" w:hAnsi="Calibri"/>
          <w:color w:val="000000"/>
          <w:sz w:val="22"/>
          <w:szCs w:val="22"/>
        </w:rPr>
      </w:pPr>
      <w:r w:rsidRPr="00C42105">
        <w:rPr>
          <w:rFonts w:ascii="Calibri" w:hAnsi="Calibri"/>
          <w:color w:val="000000"/>
          <w:sz w:val="22"/>
          <w:szCs w:val="22"/>
        </w:rPr>
        <w:t>For small business added criteria</w:t>
      </w:r>
      <w:r w:rsidRPr="00C42105">
        <w:rPr>
          <w:rFonts w:ascii="Calibri" w:hAnsi="Calibri"/>
          <w:color w:val="000000"/>
          <w:sz w:val="22"/>
          <w:szCs w:val="22"/>
          <w:bdr w:val="none" w:sz="0" w:space="0" w:color="auto" w:frame="1"/>
        </w:rPr>
        <w:t> to </w:t>
      </w:r>
      <w:r w:rsidRPr="00C42105">
        <w:rPr>
          <w:rFonts w:ascii="Calibri" w:hAnsi="Calibri"/>
          <w:color w:val="000000"/>
          <w:sz w:val="22"/>
          <w:szCs w:val="22"/>
        </w:rPr>
        <w:t>the above</w:t>
      </w:r>
      <w:r w:rsidRPr="00C42105">
        <w:rPr>
          <w:rFonts w:ascii="Calibri" w:hAnsi="Calibri"/>
          <w:color w:val="000000"/>
          <w:sz w:val="22"/>
          <w:szCs w:val="22"/>
          <w:bdr w:val="none" w:sz="0" w:space="0" w:color="auto" w:frame="1"/>
        </w:rPr>
        <w:t> to </w:t>
      </w:r>
      <w:r w:rsidRPr="00C42105">
        <w:rPr>
          <w:rFonts w:ascii="Calibri" w:hAnsi="Calibri"/>
          <w:color w:val="000000"/>
          <w:sz w:val="22"/>
          <w:szCs w:val="22"/>
        </w:rPr>
        <w:t>consider: </w:t>
      </w:r>
    </w:p>
    <w:p w14:paraId="3F9E49F9" w14:textId="3B560428" w:rsidR="00E1191B" w:rsidRPr="00C42105" w:rsidRDefault="00E1191B" w:rsidP="00C26FD4">
      <w:pPr>
        <w:pStyle w:val="xxmsonormal"/>
        <w:numPr>
          <w:ilvl w:val="2"/>
          <w:numId w:val="14"/>
        </w:numPr>
        <w:shd w:val="clear" w:color="auto" w:fill="FFFFFF"/>
        <w:tabs>
          <w:tab w:val="clear" w:pos="2160"/>
          <w:tab w:val="num" w:pos="1800"/>
        </w:tabs>
        <w:spacing w:before="0" w:beforeAutospacing="0" w:after="0" w:afterAutospacing="0"/>
        <w:ind w:left="1800"/>
        <w:rPr>
          <w:rFonts w:ascii="Calibri" w:hAnsi="Calibri"/>
          <w:color w:val="000000"/>
          <w:sz w:val="22"/>
          <w:szCs w:val="22"/>
        </w:rPr>
      </w:pPr>
      <w:r w:rsidRPr="00C42105">
        <w:rPr>
          <w:rFonts w:ascii="Calibri" w:hAnsi="Calibri"/>
          <w:color w:val="000000"/>
          <w:sz w:val="22"/>
          <w:szCs w:val="22"/>
        </w:rPr>
        <w:t>Business Size</w:t>
      </w:r>
      <w:r w:rsidRPr="00C42105">
        <w:rPr>
          <w:rFonts w:ascii="Calibri" w:hAnsi="Calibri"/>
          <w:i/>
          <w:iCs/>
          <w:color w:val="000000"/>
          <w:sz w:val="22"/>
          <w:szCs w:val="22"/>
          <w:bdr w:val="none" w:sz="0" w:space="0" w:color="auto" w:frame="1"/>
        </w:rPr>
        <w:t> </w:t>
      </w:r>
      <w:r w:rsidRPr="00C42105">
        <w:rPr>
          <w:rFonts w:ascii="Calibri" w:hAnsi="Calibri"/>
          <w:i/>
          <w:iCs/>
          <w:color w:val="000000"/>
          <w:sz w:val="22"/>
          <w:szCs w:val="22"/>
        </w:rPr>
        <w:t>–</w:t>
      </w:r>
      <w:r w:rsidRPr="00C42105">
        <w:rPr>
          <w:rFonts w:ascii="Calibri" w:hAnsi="Calibri"/>
          <w:i/>
          <w:iCs/>
          <w:color w:val="000000"/>
          <w:sz w:val="22"/>
          <w:szCs w:val="22"/>
          <w:bdr w:val="none" w:sz="0" w:space="0" w:color="auto" w:frame="1"/>
        </w:rPr>
        <w:t> </w:t>
      </w:r>
      <w:r w:rsidRPr="00C42105">
        <w:rPr>
          <w:rFonts w:ascii="Calibri" w:hAnsi="Calibri"/>
          <w:color w:val="000000"/>
          <w:sz w:val="22"/>
          <w:szCs w:val="22"/>
        </w:rPr>
        <w:t xml:space="preserve">Less than ten employees and/or classified as Very Small (Customers whose annual electric demand is less than 20kW, or whose annual gas consumption is less than 10,000 </w:t>
      </w:r>
      <w:proofErr w:type="gramStart"/>
      <w:r w:rsidRPr="00C42105">
        <w:rPr>
          <w:rFonts w:ascii="Calibri" w:hAnsi="Calibri"/>
          <w:color w:val="000000"/>
          <w:sz w:val="22"/>
          <w:szCs w:val="22"/>
        </w:rPr>
        <w:t>therm</w:t>
      </w:r>
      <w:proofErr w:type="gramEnd"/>
      <w:r w:rsidRPr="00C42105">
        <w:rPr>
          <w:rFonts w:ascii="Calibri" w:hAnsi="Calibri"/>
          <w:color w:val="000000"/>
          <w:sz w:val="22"/>
          <w:szCs w:val="22"/>
        </w:rPr>
        <w:t>, or both), and/or </w:t>
      </w:r>
    </w:p>
    <w:p w14:paraId="3688B810" w14:textId="77777777" w:rsidR="00E1191B" w:rsidRPr="00C42105" w:rsidRDefault="00E1191B" w:rsidP="00C26FD4">
      <w:pPr>
        <w:pStyle w:val="xxmsonormal"/>
        <w:numPr>
          <w:ilvl w:val="2"/>
          <w:numId w:val="14"/>
        </w:numPr>
        <w:shd w:val="clear" w:color="auto" w:fill="FFFFFF"/>
        <w:tabs>
          <w:tab w:val="clear" w:pos="2160"/>
          <w:tab w:val="num" w:pos="1800"/>
        </w:tabs>
        <w:spacing w:before="0" w:beforeAutospacing="0" w:after="0" w:afterAutospacing="0"/>
        <w:ind w:left="1800"/>
        <w:rPr>
          <w:rFonts w:ascii="Calibri" w:hAnsi="Calibri"/>
          <w:color w:val="000000"/>
          <w:sz w:val="22"/>
          <w:szCs w:val="22"/>
        </w:rPr>
      </w:pPr>
      <w:r w:rsidRPr="00C42105">
        <w:rPr>
          <w:rFonts w:ascii="Calibri" w:hAnsi="Calibri"/>
          <w:color w:val="000000"/>
          <w:sz w:val="22"/>
          <w:szCs w:val="22"/>
        </w:rPr>
        <w:t>Leased or Rented Facilities</w:t>
      </w:r>
      <w:r w:rsidRPr="00C42105">
        <w:rPr>
          <w:rFonts w:ascii="Calibri" w:hAnsi="Calibri"/>
          <w:i/>
          <w:iCs/>
          <w:color w:val="000000"/>
          <w:sz w:val="22"/>
          <w:szCs w:val="22"/>
          <w:bdr w:val="none" w:sz="0" w:space="0" w:color="auto" w:frame="1"/>
        </w:rPr>
        <w:t> </w:t>
      </w:r>
      <w:r w:rsidRPr="00C42105">
        <w:rPr>
          <w:rFonts w:ascii="Calibri" w:hAnsi="Calibri"/>
          <w:i/>
          <w:iCs/>
          <w:color w:val="000000"/>
          <w:sz w:val="22"/>
          <w:szCs w:val="22"/>
        </w:rPr>
        <w:t>–</w:t>
      </w:r>
      <w:r w:rsidRPr="00C42105">
        <w:rPr>
          <w:rFonts w:ascii="Calibri" w:hAnsi="Calibri"/>
          <w:i/>
          <w:iCs/>
          <w:color w:val="000000"/>
          <w:sz w:val="22"/>
          <w:szCs w:val="22"/>
          <w:bdr w:val="none" w:sz="0" w:space="0" w:color="auto" w:frame="1"/>
        </w:rPr>
        <w:t> </w:t>
      </w:r>
      <w:r w:rsidRPr="00C42105">
        <w:rPr>
          <w:rFonts w:ascii="Calibri" w:hAnsi="Calibri"/>
          <w:color w:val="000000"/>
          <w:sz w:val="22"/>
          <w:szCs w:val="22"/>
        </w:rPr>
        <w:t>Investments in improvements</w:t>
      </w:r>
      <w:r w:rsidRPr="00C42105">
        <w:rPr>
          <w:rFonts w:ascii="Calibri" w:hAnsi="Calibri"/>
          <w:color w:val="000000"/>
          <w:sz w:val="22"/>
          <w:szCs w:val="22"/>
          <w:bdr w:val="none" w:sz="0" w:space="0" w:color="auto" w:frame="1"/>
        </w:rPr>
        <w:t> to </w:t>
      </w:r>
      <w:r w:rsidRPr="00C42105">
        <w:rPr>
          <w:rFonts w:ascii="Calibri" w:hAnsi="Calibri"/>
          <w:color w:val="000000"/>
          <w:sz w:val="22"/>
          <w:szCs w:val="22"/>
        </w:rPr>
        <w:t>a facility rented or leased by a participating business customer </w:t>
      </w:r>
    </w:p>
    <w:p w14:paraId="360A1927" w14:textId="77777777" w:rsidR="00E1191B" w:rsidRPr="00C42105" w:rsidRDefault="00E1191B" w:rsidP="00C26FD4">
      <w:pPr>
        <w:pStyle w:val="xxmsonormal"/>
        <w:numPr>
          <w:ilvl w:val="1"/>
          <w:numId w:val="15"/>
        </w:numPr>
        <w:shd w:val="clear" w:color="auto" w:fill="FFFFFF"/>
        <w:tabs>
          <w:tab w:val="clear" w:pos="1440"/>
          <w:tab w:val="num" w:pos="1080"/>
        </w:tabs>
        <w:spacing w:before="0" w:beforeAutospacing="0" w:after="0" w:afterAutospacing="0"/>
        <w:ind w:left="1080"/>
        <w:rPr>
          <w:rFonts w:ascii="Calibri" w:hAnsi="Calibri"/>
          <w:color w:val="000000"/>
          <w:sz w:val="22"/>
          <w:szCs w:val="22"/>
        </w:rPr>
      </w:pPr>
      <w:r w:rsidRPr="00C42105">
        <w:rPr>
          <w:rFonts w:ascii="Calibri" w:hAnsi="Calibri"/>
          <w:color w:val="000000"/>
          <w:sz w:val="22"/>
          <w:szCs w:val="22"/>
        </w:rPr>
        <w:t>For residential added criteria</w:t>
      </w:r>
      <w:r w:rsidRPr="00C42105">
        <w:rPr>
          <w:rFonts w:ascii="Calibri" w:hAnsi="Calibri"/>
          <w:color w:val="000000"/>
          <w:sz w:val="22"/>
          <w:szCs w:val="22"/>
          <w:bdr w:val="none" w:sz="0" w:space="0" w:color="auto" w:frame="1"/>
        </w:rPr>
        <w:t> to </w:t>
      </w:r>
      <w:r w:rsidRPr="00C42105">
        <w:rPr>
          <w:rFonts w:ascii="Calibri" w:hAnsi="Calibri"/>
          <w:color w:val="000000"/>
          <w:sz w:val="22"/>
          <w:szCs w:val="22"/>
        </w:rPr>
        <w:t>the above</w:t>
      </w:r>
      <w:r w:rsidRPr="00C42105">
        <w:rPr>
          <w:rFonts w:ascii="Calibri" w:hAnsi="Calibri"/>
          <w:color w:val="000000"/>
          <w:sz w:val="22"/>
          <w:szCs w:val="22"/>
          <w:bdr w:val="none" w:sz="0" w:space="0" w:color="auto" w:frame="1"/>
        </w:rPr>
        <w:t> to </w:t>
      </w:r>
      <w:r w:rsidRPr="00C42105">
        <w:rPr>
          <w:rFonts w:ascii="Calibri" w:hAnsi="Calibri"/>
          <w:color w:val="000000"/>
          <w:sz w:val="22"/>
          <w:szCs w:val="22"/>
        </w:rPr>
        <w:t>consider: </w:t>
      </w:r>
    </w:p>
    <w:p w14:paraId="3D50AFCF" w14:textId="7A131640" w:rsidR="00E1191B" w:rsidRPr="00C42105" w:rsidRDefault="00E1191B" w:rsidP="00745CF0">
      <w:pPr>
        <w:pStyle w:val="xxmsonormal"/>
        <w:numPr>
          <w:ilvl w:val="2"/>
          <w:numId w:val="16"/>
        </w:numPr>
        <w:shd w:val="clear" w:color="auto" w:fill="FFFFFF"/>
        <w:tabs>
          <w:tab w:val="clear" w:pos="2160"/>
          <w:tab w:val="num" w:pos="1800"/>
        </w:tabs>
        <w:spacing w:before="0" w:beforeAutospacing="0" w:after="0" w:afterAutospacing="0"/>
        <w:ind w:left="1800"/>
        <w:rPr>
          <w:rFonts w:ascii="Calibri" w:hAnsi="Calibri"/>
          <w:color w:val="000000"/>
          <w:sz w:val="22"/>
          <w:szCs w:val="22"/>
        </w:rPr>
      </w:pPr>
      <w:r w:rsidRPr="00C42105">
        <w:rPr>
          <w:rFonts w:ascii="Calibri" w:hAnsi="Calibri"/>
          <w:color w:val="000000"/>
          <w:sz w:val="22"/>
          <w:szCs w:val="22"/>
        </w:rPr>
        <w:t>Income</w:t>
      </w:r>
      <w:r w:rsidRPr="00C42105">
        <w:rPr>
          <w:rFonts w:ascii="Calibri" w:hAnsi="Calibri"/>
          <w:i/>
          <w:iCs/>
          <w:color w:val="000000"/>
          <w:sz w:val="22"/>
          <w:szCs w:val="22"/>
          <w:bdr w:val="none" w:sz="0" w:space="0" w:color="auto" w:frame="1"/>
        </w:rPr>
        <w:t> </w:t>
      </w:r>
      <w:r w:rsidRPr="00C42105">
        <w:rPr>
          <w:rFonts w:ascii="Calibri" w:hAnsi="Calibri"/>
          <w:i/>
          <w:iCs/>
          <w:color w:val="000000"/>
          <w:sz w:val="22"/>
          <w:szCs w:val="22"/>
        </w:rPr>
        <w:t>–</w:t>
      </w:r>
      <w:r w:rsidRPr="00C42105">
        <w:rPr>
          <w:rFonts w:ascii="Calibri" w:hAnsi="Calibri"/>
          <w:color w:val="000000"/>
          <w:sz w:val="22"/>
          <w:szCs w:val="22"/>
          <w:bdr w:val="none" w:sz="0" w:space="0" w:color="auto" w:frame="1"/>
        </w:rPr>
        <w:t> </w:t>
      </w:r>
      <w:r w:rsidRPr="00C42105">
        <w:rPr>
          <w:rFonts w:ascii="Calibri" w:hAnsi="Calibri"/>
          <w:color w:val="000000"/>
          <w:sz w:val="22"/>
          <w:szCs w:val="22"/>
        </w:rPr>
        <w:t>Those customers who qualify for the California Alternative Rates for Energy (CARE) or the Family Electric Rate Assistance Program (FERA), and/or </w:t>
      </w:r>
    </w:p>
    <w:p w14:paraId="3DE7F340" w14:textId="399DA5E8" w:rsidR="00922072" w:rsidRPr="00C42105" w:rsidRDefault="00922072" w:rsidP="00922072">
      <w:pPr>
        <w:pStyle w:val="xxmsonormal"/>
        <w:numPr>
          <w:ilvl w:val="2"/>
          <w:numId w:val="16"/>
        </w:numPr>
        <w:shd w:val="clear" w:color="auto" w:fill="FFFFFF"/>
        <w:tabs>
          <w:tab w:val="clear" w:pos="2160"/>
          <w:tab w:val="num" w:pos="1800"/>
        </w:tabs>
        <w:ind w:left="1800"/>
        <w:rPr>
          <w:rFonts w:ascii="Calibri" w:hAnsi="Calibri"/>
          <w:color w:val="000000"/>
          <w:sz w:val="22"/>
          <w:szCs w:val="22"/>
        </w:rPr>
      </w:pPr>
      <w:r w:rsidRPr="00C42105">
        <w:rPr>
          <w:rFonts w:ascii="Calibri" w:hAnsi="Calibri"/>
          <w:color w:val="000000"/>
          <w:sz w:val="22"/>
          <w:szCs w:val="22"/>
        </w:rPr>
        <w:t xml:space="preserve">Housing Type </w:t>
      </w:r>
      <w:r w:rsidRPr="00C42105">
        <w:rPr>
          <w:rFonts w:ascii="Calibri" w:hAnsi="Calibri"/>
          <w:i/>
          <w:iCs/>
          <w:color w:val="000000"/>
          <w:sz w:val="22"/>
          <w:szCs w:val="22"/>
        </w:rPr>
        <w:t xml:space="preserve">– </w:t>
      </w:r>
      <w:r w:rsidRPr="00C42105">
        <w:rPr>
          <w:rFonts w:ascii="Calibri" w:hAnsi="Calibri"/>
          <w:color w:val="000000"/>
          <w:sz w:val="22"/>
          <w:szCs w:val="22"/>
        </w:rPr>
        <w:t>Multi-family and Mobile Home Tenants (rent and lease)</w:t>
      </w:r>
      <w:r w:rsidR="00C80824" w:rsidRPr="00C42105">
        <w:rPr>
          <w:rFonts w:ascii="Calibri" w:hAnsi="Calibri"/>
          <w:color w:val="000000"/>
          <w:sz w:val="22"/>
          <w:szCs w:val="22"/>
        </w:rPr>
        <w:t>”</w:t>
      </w:r>
      <w:r w:rsidRPr="00C42105">
        <w:rPr>
          <w:rFonts w:ascii="Calibri" w:hAnsi="Calibri"/>
          <w:color w:val="000000"/>
          <w:sz w:val="22"/>
          <w:szCs w:val="22"/>
        </w:rPr>
        <w:t xml:space="preserve"> </w:t>
      </w:r>
    </w:p>
    <w:p w14:paraId="14A14507" w14:textId="06D574FD" w:rsidR="00814305" w:rsidRPr="00C42105" w:rsidRDefault="00814305" w:rsidP="00814305">
      <w:pPr>
        <w:pStyle w:val="xxmsonormal"/>
        <w:shd w:val="clear" w:color="auto" w:fill="FFFFFF"/>
        <w:spacing w:before="0" w:beforeAutospacing="0" w:after="0" w:afterAutospacing="0"/>
        <w:rPr>
          <w:rFonts w:ascii="Calibri" w:hAnsi="Calibri"/>
          <w:color w:val="000000"/>
          <w:sz w:val="22"/>
          <w:szCs w:val="22"/>
        </w:rPr>
      </w:pPr>
      <w:r w:rsidRPr="00C42105">
        <w:rPr>
          <w:rFonts w:ascii="Calibri" w:hAnsi="Calibri"/>
          <w:color w:val="000000"/>
          <w:sz w:val="22"/>
          <w:szCs w:val="22"/>
        </w:rPr>
        <w:t>The</w:t>
      </w:r>
      <w:r w:rsidR="00C80824" w:rsidRPr="00C42105">
        <w:rPr>
          <w:rFonts w:ascii="Calibri" w:hAnsi="Calibri"/>
          <w:color w:val="000000"/>
          <w:sz w:val="22"/>
          <w:szCs w:val="22"/>
        </w:rPr>
        <w:t xml:space="preserve"> Commission </w:t>
      </w:r>
      <w:r w:rsidRPr="00C42105">
        <w:rPr>
          <w:rFonts w:ascii="Calibri" w:hAnsi="Calibri"/>
          <w:color w:val="000000"/>
          <w:sz w:val="22"/>
          <w:szCs w:val="22"/>
        </w:rPr>
        <w:t>also approved one modification to the definition above, which is to include CalEPA’s definition of disadvantaged communities in the geographic criteria listed above</w:t>
      </w:r>
      <w:r w:rsidR="00C80824" w:rsidRPr="00C42105">
        <w:rPr>
          <w:rFonts w:ascii="Calibri" w:hAnsi="Calibri"/>
          <w:color w:val="000000"/>
          <w:sz w:val="22"/>
          <w:szCs w:val="22"/>
        </w:rPr>
        <w:t>:</w:t>
      </w:r>
    </w:p>
    <w:p w14:paraId="37E9522E" w14:textId="23B9F2DC" w:rsidR="00745CF0" w:rsidRPr="00C42105" w:rsidRDefault="00814305" w:rsidP="000F6F6B">
      <w:pPr>
        <w:pStyle w:val="xxmsonormal"/>
        <w:shd w:val="clear" w:color="auto" w:fill="FFFFFF"/>
        <w:spacing w:before="0" w:beforeAutospacing="0" w:after="0" w:afterAutospacing="0"/>
        <w:ind w:left="450" w:right="630"/>
      </w:pPr>
      <w:r w:rsidRPr="00C42105">
        <w:rPr>
          <w:rFonts w:ascii="Calibri" w:hAnsi="Calibri"/>
          <w:color w:val="000000"/>
          <w:sz w:val="22"/>
          <w:szCs w:val="22"/>
        </w:rPr>
        <w:t xml:space="preserve"> </w:t>
      </w:r>
      <w:r w:rsidR="00C80824" w:rsidRPr="00C42105">
        <w:rPr>
          <w:rFonts w:ascii="Calibri" w:hAnsi="Calibri"/>
          <w:color w:val="000000"/>
          <w:sz w:val="22"/>
          <w:szCs w:val="22"/>
        </w:rPr>
        <w:t>“In response to comments on the proposed decision, we acknowledge the hard-to-reach definition in Resolution G-3497 may be overly narrow, although we maintain that the definition in the Policy Manual is overly broad. MCE offers a specific modification to Resolution G-3497, which is to include disadvantaged communities (as designated by CalEPA) in the geographic criteria for hard-to-reach customers. Given the overlap in socioeconomic characteristics of both classifications and their closely related policy objectives, we find it reasonable to adopt MCE’s recommended modification.”</w:t>
      </w:r>
      <w:r w:rsidR="009E74B1" w:rsidRPr="00C42105">
        <w:rPr>
          <w:rStyle w:val="FootnoteReference"/>
          <w:rFonts w:ascii="Calibri" w:hAnsi="Calibri"/>
          <w:color w:val="000000"/>
          <w:sz w:val="22"/>
          <w:szCs w:val="22"/>
        </w:rPr>
        <w:footnoteReference w:id="5"/>
      </w:r>
    </w:p>
    <w:p w14:paraId="3294198C" w14:textId="2FA69DDE" w:rsidR="00745CF0" w:rsidRPr="00C42105" w:rsidRDefault="00745CF0" w:rsidP="00CE3D38">
      <w:pPr>
        <w:pStyle w:val="Heading1"/>
        <w:rPr>
          <w:rFonts w:ascii="Calibri" w:hAnsi="Calibri"/>
        </w:rPr>
      </w:pPr>
      <w:r w:rsidRPr="00C42105">
        <w:rPr>
          <w:rFonts w:ascii="Calibri" w:hAnsi="Calibri"/>
        </w:rPr>
        <w:lastRenderedPageBreak/>
        <w:t xml:space="preserve">Disadvantaged Communities (DAC) Definition </w:t>
      </w:r>
    </w:p>
    <w:p w14:paraId="5CE88BF0" w14:textId="075839F1" w:rsidR="00F440EF" w:rsidRPr="00C42105" w:rsidRDefault="00F440EF" w:rsidP="00E1497A">
      <w:pPr>
        <w:keepNext/>
        <w:rPr>
          <w:rFonts w:ascii="Calibri" w:eastAsia="Times New Roman" w:hAnsi="Calibri" w:cs="Times New Roman"/>
          <w:b/>
          <w:bCs/>
          <w:color w:val="000000"/>
          <w:sz w:val="22"/>
          <w:szCs w:val="22"/>
        </w:rPr>
      </w:pPr>
      <w:r w:rsidRPr="00C42105">
        <w:rPr>
          <w:rFonts w:ascii="Calibri" w:eastAsia="Times New Roman" w:hAnsi="Calibri" w:cs="Times New Roman"/>
          <w:b/>
          <w:bCs/>
          <w:color w:val="000000"/>
          <w:sz w:val="22"/>
          <w:szCs w:val="22"/>
        </w:rPr>
        <w:t>D.18-05-041 define</w:t>
      </w:r>
      <w:r w:rsidR="009B3C54" w:rsidRPr="00C42105">
        <w:rPr>
          <w:rFonts w:ascii="Calibri" w:eastAsia="Times New Roman" w:hAnsi="Calibri" w:cs="Times New Roman"/>
          <w:b/>
          <w:bCs/>
          <w:color w:val="000000"/>
          <w:sz w:val="22"/>
          <w:szCs w:val="22"/>
        </w:rPr>
        <w:t>s</w:t>
      </w:r>
      <w:r w:rsidRPr="00C42105">
        <w:rPr>
          <w:rFonts w:ascii="Calibri" w:eastAsia="Times New Roman" w:hAnsi="Calibri" w:cs="Times New Roman"/>
          <w:b/>
          <w:bCs/>
          <w:color w:val="000000"/>
          <w:sz w:val="22"/>
          <w:szCs w:val="22"/>
        </w:rPr>
        <w:t xml:space="preserve"> DAC in section 2.5.1</w:t>
      </w:r>
      <w:r w:rsidR="00210464" w:rsidRPr="00C42105">
        <w:rPr>
          <w:rFonts w:ascii="Calibri" w:eastAsia="Times New Roman" w:hAnsi="Calibri" w:cs="Times New Roman"/>
          <w:b/>
          <w:bCs/>
          <w:color w:val="000000"/>
          <w:sz w:val="22"/>
          <w:szCs w:val="22"/>
        </w:rPr>
        <w:t xml:space="preserve">, </w:t>
      </w:r>
      <w:r w:rsidRPr="00C42105">
        <w:rPr>
          <w:rFonts w:ascii="Calibri" w:eastAsia="Times New Roman" w:hAnsi="Calibri" w:cs="Times New Roman"/>
          <w:b/>
          <w:bCs/>
          <w:color w:val="000000"/>
          <w:sz w:val="22"/>
          <w:szCs w:val="22"/>
        </w:rPr>
        <w:t>p.39 as follows:</w:t>
      </w:r>
    </w:p>
    <w:p w14:paraId="627A27BE" w14:textId="4EEE35F6" w:rsidR="00745CF0" w:rsidRPr="00C42105" w:rsidRDefault="00745CF0" w:rsidP="00E1497A">
      <w:pPr>
        <w:keepNext/>
        <w:rPr>
          <w:rFonts w:ascii="Calibri" w:hAnsi="Calibri"/>
          <w:b/>
          <w:bCs/>
          <w:sz w:val="22"/>
          <w:szCs w:val="22"/>
        </w:rPr>
      </w:pPr>
    </w:p>
    <w:p w14:paraId="23B22EF9" w14:textId="19B3ECD6" w:rsidR="00F440EF" w:rsidRPr="00C42105" w:rsidRDefault="00F440EF" w:rsidP="00E1497A">
      <w:pPr>
        <w:pStyle w:val="Default"/>
        <w:keepNext/>
        <w:rPr>
          <w:rFonts w:ascii="Calibri" w:hAnsi="Calibri"/>
          <w:sz w:val="22"/>
          <w:szCs w:val="22"/>
        </w:rPr>
      </w:pPr>
      <w:r w:rsidRPr="00C42105">
        <w:rPr>
          <w:rFonts w:ascii="Calibri" w:hAnsi="Calibri"/>
          <w:sz w:val="22"/>
          <w:szCs w:val="22"/>
        </w:rPr>
        <w:t xml:space="preserve">“Pursuant to Section 39711 of the Health and Safety Code, the California Environmental Protection Agency (CalEPA) developed a means for identifying disadvantaged communities, which may include, but are not limited to: </w:t>
      </w:r>
    </w:p>
    <w:p w14:paraId="1CC6E554" w14:textId="77777777" w:rsidR="00C26FD4" w:rsidRPr="00C42105" w:rsidRDefault="00F440EF" w:rsidP="00C26FD4">
      <w:pPr>
        <w:pStyle w:val="Default"/>
        <w:ind w:left="720"/>
        <w:rPr>
          <w:rFonts w:ascii="Calibri" w:hAnsi="Calibri"/>
          <w:sz w:val="22"/>
          <w:szCs w:val="22"/>
        </w:rPr>
      </w:pPr>
      <w:r w:rsidRPr="00C42105">
        <w:rPr>
          <w:rFonts w:ascii="Calibri" w:hAnsi="Calibri"/>
          <w:sz w:val="22"/>
          <w:szCs w:val="22"/>
        </w:rPr>
        <w:t xml:space="preserve">(1) Areas disproportionately affected by environmental pollution and other hazards that can lead to negative public health effects, exposure, or environmental degradation. </w:t>
      </w:r>
    </w:p>
    <w:p w14:paraId="6E206BFE" w14:textId="1CC3C0C4" w:rsidR="00F440EF" w:rsidRPr="00C42105" w:rsidRDefault="00F440EF" w:rsidP="00C26FD4">
      <w:pPr>
        <w:pStyle w:val="Default"/>
        <w:ind w:left="720"/>
        <w:rPr>
          <w:rFonts w:ascii="Calibri" w:hAnsi="Calibri" w:cstheme="minorBidi"/>
          <w:color w:val="auto"/>
          <w:sz w:val="22"/>
          <w:szCs w:val="22"/>
        </w:rPr>
      </w:pPr>
      <w:r w:rsidRPr="00C42105">
        <w:rPr>
          <w:rFonts w:ascii="Calibri" w:hAnsi="Calibri" w:cstheme="minorBidi"/>
          <w:color w:val="auto"/>
          <w:sz w:val="22"/>
          <w:szCs w:val="22"/>
        </w:rPr>
        <w:t xml:space="preserve">(2) Areas with concentrations of people that are of low income, high unemployment, low levels of homeownership, high rent burden, sensitive populations, or low levels of educational attainment. </w:t>
      </w:r>
    </w:p>
    <w:p w14:paraId="4A6BC909" w14:textId="77777777" w:rsidR="00F440EF" w:rsidRPr="00C42105" w:rsidRDefault="00F440EF" w:rsidP="00F440EF">
      <w:pPr>
        <w:pStyle w:val="Default"/>
        <w:rPr>
          <w:rFonts w:ascii="Calibri" w:hAnsi="Calibri" w:cstheme="minorBidi"/>
          <w:color w:val="auto"/>
          <w:sz w:val="22"/>
          <w:szCs w:val="22"/>
        </w:rPr>
      </w:pPr>
    </w:p>
    <w:p w14:paraId="6CDBF34B" w14:textId="1D75C74E" w:rsidR="00F440EF" w:rsidRPr="00C42105" w:rsidRDefault="00F440EF" w:rsidP="00F440EF">
      <w:pPr>
        <w:pStyle w:val="Default"/>
        <w:rPr>
          <w:rFonts w:ascii="Calibri" w:hAnsi="Calibri" w:cstheme="minorBidi"/>
          <w:color w:val="auto"/>
          <w:sz w:val="22"/>
          <w:szCs w:val="22"/>
        </w:rPr>
      </w:pPr>
      <w:r w:rsidRPr="00C42105">
        <w:rPr>
          <w:rFonts w:ascii="Calibri" w:hAnsi="Calibri" w:cstheme="minorBidi"/>
          <w:color w:val="auto"/>
          <w:sz w:val="22"/>
          <w:szCs w:val="22"/>
        </w:rPr>
        <w:t>The CalEnviroScreen Tool utilizes a number of indicators to develop a composite “score,” which ranks a given census tract’s overall burden across the variety of indicators relative to all other census tracts’ scores. Indicators include both Pollution Burden indicators (exposure to ozone concentrations, particulate matter (PM) 2.5 concentrations, diesel PM emissions, drinking water contaminants, pesticide use, toxic releases from facilities, traffic density; and environmental effects of cleanup sites, groundwater threats, hazardous waste generators and facilities, impaired water bodies, and solid waste sites and facilities) and Population Characteristic indicators (higher pollution vulnerability due to asthma, cardiovascular disease, or low birth weight infants, educational attainment, housing burden, linguistic isolation, poverty, and unemployment).</w:t>
      </w:r>
    </w:p>
    <w:p w14:paraId="368A395A" w14:textId="77777777" w:rsidR="00F440EF" w:rsidRPr="00C42105" w:rsidRDefault="00F440EF" w:rsidP="00F440EF">
      <w:pPr>
        <w:pStyle w:val="Default"/>
        <w:rPr>
          <w:rFonts w:ascii="Calibri" w:hAnsi="Calibri" w:cstheme="minorBidi"/>
          <w:sz w:val="22"/>
          <w:szCs w:val="22"/>
        </w:rPr>
      </w:pPr>
    </w:p>
    <w:p w14:paraId="6066D96A" w14:textId="7EC625F6" w:rsidR="00F440EF" w:rsidRPr="00C42105" w:rsidRDefault="00F440EF" w:rsidP="00F440EF">
      <w:pPr>
        <w:pStyle w:val="Default"/>
        <w:rPr>
          <w:rFonts w:ascii="Calibri" w:hAnsi="Calibri" w:cstheme="minorBidi"/>
          <w:sz w:val="22"/>
          <w:szCs w:val="22"/>
        </w:rPr>
      </w:pPr>
      <w:r w:rsidRPr="00C42105">
        <w:rPr>
          <w:rFonts w:ascii="Calibri" w:hAnsi="Calibri" w:cstheme="minorBidi"/>
          <w:sz w:val="22"/>
          <w:szCs w:val="22"/>
        </w:rPr>
        <w:t xml:space="preserve">CalEPA, pursuant to Health and Safety Code Section 39711, defines disadvantaged communities as those census tracts scoring in the top 25 percent of census tracts statewide on the set of 20 different indicators in CalEnviroScreen. As part of its definition of disadvantaged communities, CalEPA also finds that an additional 22 census tracts that score in the highest five percent of </w:t>
      </w:r>
      <w:proofErr w:type="spellStart"/>
      <w:r w:rsidRPr="00C42105">
        <w:rPr>
          <w:rFonts w:ascii="Calibri" w:hAnsi="Calibri" w:cstheme="minorBidi"/>
          <w:sz w:val="22"/>
          <w:szCs w:val="22"/>
        </w:rPr>
        <w:t>CalEnviroScreen’s</w:t>
      </w:r>
      <w:proofErr w:type="spellEnd"/>
      <w:r w:rsidRPr="00C42105">
        <w:rPr>
          <w:rFonts w:ascii="Calibri" w:hAnsi="Calibri" w:cstheme="minorBidi"/>
          <w:sz w:val="22"/>
          <w:szCs w:val="22"/>
        </w:rPr>
        <w:t xml:space="preserve"> Pollution Burden indicator, but that do not have an overall CalEnviroScreen score in the top 25 percent because of unreliable socioeconomic or health data, are also defined as disadvantaged communities.</w:t>
      </w:r>
      <w:r w:rsidR="002B618F" w:rsidRPr="00C42105">
        <w:rPr>
          <w:rFonts w:ascii="Calibri" w:hAnsi="Calibri" w:cstheme="minorBidi"/>
          <w:sz w:val="22"/>
          <w:szCs w:val="22"/>
        </w:rPr>
        <w:t>”</w:t>
      </w:r>
      <w:r w:rsidRPr="00C42105">
        <w:rPr>
          <w:rFonts w:ascii="Calibri" w:hAnsi="Calibri" w:cstheme="minorBidi"/>
          <w:sz w:val="22"/>
          <w:szCs w:val="22"/>
        </w:rPr>
        <w:t xml:space="preserve"> </w:t>
      </w:r>
    </w:p>
    <w:p w14:paraId="2DF92EF6" w14:textId="227F1FD5" w:rsidR="00FD55B8" w:rsidRPr="00C42105" w:rsidRDefault="00FD55B8" w:rsidP="00F440EF">
      <w:pPr>
        <w:rPr>
          <w:rFonts w:ascii="Calibri" w:hAnsi="Calibri"/>
          <w:sz w:val="26"/>
          <w:szCs w:val="26"/>
        </w:rPr>
      </w:pPr>
    </w:p>
    <w:p w14:paraId="7E1D44F3" w14:textId="01F5011B" w:rsidR="00FD55B8" w:rsidRPr="00C42105" w:rsidRDefault="00FD55B8" w:rsidP="00FD55B8">
      <w:pPr>
        <w:pStyle w:val="Heading1"/>
        <w:rPr>
          <w:rFonts w:ascii="Calibri" w:eastAsiaTheme="minorHAnsi" w:hAnsi="Calibri" w:cstheme="minorBidi"/>
          <w:color w:val="auto"/>
          <w:sz w:val="24"/>
          <w:szCs w:val="24"/>
        </w:rPr>
      </w:pPr>
      <w:r w:rsidRPr="00C42105">
        <w:rPr>
          <w:rFonts w:ascii="Calibri" w:eastAsia="Times New Roman" w:hAnsi="Calibri"/>
        </w:rPr>
        <w:t>Proposals for Defining Underserved</w:t>
      </w:r>
    </w:p>
    <w:p w14:paraId="2B98E20E" w14:textId="205A152A" w:rsidR="00FD55B8" w:rsidRPr="00C42105" w:rsidRDefault="00582AF7" w:rsidP="00D90330">
      <w:pPr>
        <w:rPr>
          <w:rFonts w:ascii="Calibri" w:eastAsia="Times New Roman" w:hAnsi="Calibri" w:cs="Times New Roman"/>
          <w:color w:val="000000"/>
          <w:sz w:val="22"/>
          <w:szCs w:val="22"/>
        </w:rPr>
      </w:pPr>
      <w:r w:rsidRPr="00C42105">
        <w:rPr>
          <w:rFonts w:ascii="Calibri" w:eastAsia="Times New Roman" w:hAnsi="Calibri" w:cs="Times New Roman"/>
          <w:color w:val="000000"/>
          <w:sz w:val="22"/>
          <w:szCs w:val="22"/>
        </w:rPr>
        <w:t xml:space="preserve">As noted above, </w:t>
      </w:r>
      <w:r w:rsidR="00D90330" w:rsidRPr="00C42105">
        <w:rPr>
          <w:rFonts w:ascii="Calibri" w:eastAsia="Times New Roman" w:hAnsi="Calibri" w:cs="Times New Roman"/>
          <w:color w:val="000000"/>
          <w:sz w:val="22"/>
          <w:szCs w:val="22"/>
        </w:rPr>
        <w:t xml:space="preserve">while the term </w:t>
      </w:r>
      <w:r w:rsidRPr="00C42105">
        <w:rPr>
          <w:rFonts w:ascii="Calibri" w:eastAsia="Times New Roman" w:hAnsi="Calibri" w:cs="Times New Roman"/>
          <w:color w:val="000000"/>
          <w:sz w:val="22"/>
          <w:szCs w:val="22"/>
        </w:rPr>
        <w:t xml:space="preserve">“underserved” has not </w:t>
      </w:r>
      <w:r w:rsidR="00D90330" w:rsidRPr="00C42105">
        <w:rPr>
          <w:rFonts w:ascii="Calibri" w:eastAsia="Times New Roman" w:hAnsi="Calibri" w:cs="Times New Roman"/>
          <w:color w:val="000000"/>
          <w:sz w:val="22"/>
          <w:szCs w:val="22"/>
        </w:rPr>
        <w:t xml:space="preserve">yet </w:t>
      </w:r>
      <w:r w:rsidRPr="00C42105">
        <w:rPr>
          <w:rFonts w:ascii="Calibri" w:eastAsia="Times New Roman" w:hAnsi="Calibri" w:cs="Times New Roman"/>
          <w:color w:val="000000"/>
          <w:sz w:val="22"/>
          <w:szCs w:val="22"/>
        </w:rPr>
        <w:t>been defined</w:t>
      </w:r>
      <w:r w:rsidR="00D90330" w:rsidRPr="00C42105">
        <w:rPr>
          <w:rFonts w:ascii="Calibri" w:eastAsia="Times New Roman" w:hAnsi="Calibri" w:cs="Times New Roman"/>
          <w:color w:val="000000"/>
          <w:sz w:val="22"/>
          <w:szCs w:val="22"/>
        </w:rPr>
        <w:t>,</w:t>
      </w:r>
      <w:r w:rsidRPr="00C42105">
        <w:rPr>
          <w:rFonts w:ascii="Calibri" w:eastAsia="Times New Roman" w:hAnsi="Calibri" w:cs="Times New Roman"/>
          <w:color w:val="000000"/>
          <w:sz w:val="22"/>
          <w:szCs w:val="22"/>
        </w:rPr>
        <w:t xml:space="preserve"> it is included in the definition describing the </w:t>
      </w:r>
      <w:r w:rsidR="00F22E2A" w:rsidRPr="00C42105">
        <w:rPr>
          <w:rFonts w:ascii="Calibri" w:eastAsia="Times New Roman" w:hAnsi="Calibri" w:cs="Times New Roman"/>
          <w:color w:val="000000"/>
          <w:sz w:val="22"/>
          <w:szCs w:val="22"/>
        </w:rPr>
        <w:t>newly created E</w:t>
      </w:r>
      <w:r w:rsidRPr="00C42105">
        <w:rPr>
          <w:rFonts w:ascii="Calibri" w:eastAsia="Times New Roman" w:hAnsi="Calibri" w:cs="Times New Roman"/>
          <w:color w:val="000000"/>
          <w:sz w:val="22"/>
          <w:szCs w:val="22"/>
        </w:rPr>
        <w:t>quity segment.</w:t>
      </w:r>
      <w:r w:rsidR="00D90330" w:rsidRPr="00C42105">
        <w:rPr>
          <w:rFonts w:ascii="Calibri" w:eastAsia="Times New Roman" w:hAnsi="Calibri" w:cs="Times New Roman"/>
          <w:color w:val="000000"/>
          <w:sz w:val="22"/>
          <w:szCs w:val="22"/>
        </w:rPr>
        <w:t xml:space="preserve"> To address this gap, t</w:t>
      </w:r>
      <w:r w:rsidR="00FD55B8" w:rsidRPr="00C42105">
        <w:rPr>
          <w:rFonts w:ascii="Calibri" w:eastAsia="Times New Roman" w:hAnsi="Calibri" w:cs="Times New Roman"/>
          <w:color w:val="000000"/>
          <w:sz w:val="22"/>
          <w:szCs w:val="22"/>
        </w:rPr>
        <w:t xml:space="preserve">he following two options </w:t>
      </w:r>
      <w:r w:rsidR="00FC1AB8" w:rsidRPr="00C42105">
        <w:rPr>
          <w:rFonts w:ascii="Calibri" w:eastAsia="Times New Roman" w:hAnsi="Calibri" w:cs="Times New Roman"/>
          <w:color w:val="000000"/>
          <w:sz w:val="22"/>
          <w:szCs w:val="22"/>
        </w:rPr>
        <w:t xml:space="preserve">to define </w:t>
      </w:r>
      <w:r w:rsidR="00F017C1" w:rsidRPr="00C42105">
        <w:rPr>
          <w:rFonts w:ascii="Calibri" w:eastAsia="Times New Roman" w:hAnsi="Calibri" w:cs="Times New Roman"/>
          <w:color w:val="000000"/>
          <w:sz w:val="22"/>
          <w:szCs w:val="22"/>
        </w:rPr>
        <w:t xml:space="preserve">“underserved” </w:t>
      </w:r>
      <w:r w:rsidR="00D90330" w:rsidRPr="00C42105">
        <w:rPr>
          <w:rFonts w:ascii="Calibri" w:eastAsia="Times New Roman" w:hAnsi="Calibri" w:cs="Times New Roman"/>
          <w:color w:val="000000"/>
          <w:sz w:val="22"/>
          <w:szCs w:val="22"/>
        </w:rPr>
        <w:t xml:space="preserve">are presented </w:t>
      </w:r>
      <w:r w:rsidR="00FD55B8" w:rsidRPr="00C42105">
        <w:rPr>
          <w:rFonts w:ascii="Calibri" w:eastAsia="Times New Roman" w:hAnsi="Calibri" w:cs="Times New Roman"/>
          <w:color w:val="000000"/>
          <w:sz w:val="22"/>
          <w:szCs w:val="22"/>
        </w:rPr>
        <w:t>for the WG</w:t>
      </w:r>
      <w:r w:rsidR="00F017C1" w:rsidRPr="00C42105">
        <w:rPr>
          <w:rFonts w:ascii="Calibri" w:eastAsia="Times New Roman" w:hAnsi="Calibri" w:cs="Times New Roman"/>
          <w:color w:val="000000"/>
          <w:sz w:val="22"/>
          <w:szCs w:val="22"/>
        </w:rPr>
        <w:t xml:space="preserve"> </w:t>
      </w:r>
      <w:r w:rsidR="00FC1AB8" w:rsidRPr="00C42105">
        <w:rPr>
          <w:rFonts w:ascii="Calibri" w:eastAsia="Times New Roman" w:hAnsi="Calibri" w:cs="Times New Roman"/>
          <w:color w:val="000000"/>
          <w:sz w:val="22"/>
          <w:szCs w:val="22"/>
        </w:rPr>
        <w:t>to consider</w:t>
      </w:r>
      <w:r w:rsidR="00F017C1" w:rsidRPr="00C42105">
        <w:rPr>
          <w:rFonts w:ascii="Calibri" w:eastAsia="Times New Roman" w:hAnsi="Calibri" w:cs="Times New Roman"/>
          <w:color w:val="000000"/>
          <w:sz w:val="22"/>
          <w:szCs w:val="22"/>
        </w:rPr>
        <w:t>. Additional options are welcome</w:t>
      </w:r>
      <w:r w:rsidR="00FC1AB8" w:rsidRPr="00C42105">
        <w:rPr>
          <w:rFonts w:ascii="Calibri" w:eastAsia="Times New Roman" w:hAnsi="Calibri" w:cs="Times New Roman"/>
          <w:color w:val="000000"/>
          <w:sz w:val="22"/>
          <w:szCs w:val="22"/>
        </w:rPr>
        <w:t>d</w:t>
      </w:r>
      <w:r w:rsidR="00F017C1" w:rsidRPr="00C42105">
        <w:rPr>
          <w:rFonts w:ascii="Calibri" w:eastAsia="Times New Roman" w:hAnsi="Calibri" w:cs="Times New Roman"/>
          <w:color w:val="000000"/>
          <w:sz w:val="22"/>
          <w:szCs w:val="22"/>
        </w:rPr>
        <w:t xml:space="preserve"> to be </w:t>
      </w:r>
      <w:r w:rsidR="00FC1AB8" w:rsidRPr="00C42105">
        <w:rPr>
          <w:rFonts w:ascii="Calibri" w:eastAsia="Times New Roman" w:hAnsi="Calibri" w:cs="Times New Roman"/>
          <w:color w:val="000000"/>
          <w:sz w:val="22"/>
          <w:szCs w:val="22"/>
        </w:rPr>
        <w:t xml:space="preserve">raised for consideration </w:t>
      </w:r>
      <w:r w:rsidR="00F017C1" w:rsidRPr="00C42105">
        <w:rPr>
          <w:rFonts w:ascii="Calibri" w:eastAsia="Times New Roman" w:hAnsi="Calibri" w:cs="Times New Roman"/>
          <w:color w:val="000000"/>
          <w:sz w:val="22"/>
          <w:szCs w:val="22"/>
        </w:rPr>
        <w:t xml:space="preserve">at </w:t>
      </w:r>
      <w:r w:rsidR="009B6F4C" w:rsidRPr="00C42105">
        <w:rPr>
          <w:rFonts w:ascii="Calibri" w:eastAsia="Times New Roman" w:hAnsi="Calibri" w:cs="Times New Roman"/>
          <w:color w:val="000000"/>
          <w:sz w:val="22"/>
          <w:szCs w:val="22"/>
        </w:rPr>
        <w:t xml:space="preserve">or before </w:t>
      </w:r>
      <w:r w:rsidR="00F017C1" w:rsidRPr="00C42105">
        <w:rPr>
          <w:rFonts w:ascii="Calibri" w:eastAsia="Times New Roman" w:hAnsi="Calibri" w:cs="Times New Roman"/>
          <w:color w:val="000000"/>
          <w:sz w:val="22"/>
          <w:szCs w:val="22"/>
        </w:rPr>
        <w:t xml:space="preserve">the </w:t>
      </w:r>
      <w:r w:rsidR="00FC1AB8" w:rsidRPr="00C42105">
        <w:rPr>
          <w:rFonts w:ascii="Calibri" w:eastAsia="Times New Roman" w:hAnsi="Calibri" w:cs="Times New Roman"/>
          <w:color w:val="000000"/>
          <w:sz w:val="22"/>
          <w:szCs w:val="22"/>
        </w:rPr>
        <w:t xml:space="preserve">8/18 </w:t>
      </w:r>
      <w:r w:rsidR="00F017C1" w:rsidRPr="00C42105">
        <w:rPr>
          <w:rFonts w:ascii="Calibri" w:eastAsia="Times New Roman" w:hAnsi="Calibri" w:cs="Times New Roman"/>
          <w:color w:val="000000"/>
          <w:sz w:val="22"/>
          <w:szCs w:val="22"/>
        </w:rPr>
        <w:t xml:space="preserve">EMWG meeting. </w:t>
      </w:r>
      <w:r w:rsidR="00FD55B8" w:rsidRPr="00C42105">
        <w:rPr>
          <w:rFonts w:ascii="Calibri" w:eastAsia="Times New Roman" w:hAnsi="Calibri" w:cs="Times New Roman"/>
          <w:color w:val="000000"/>
          <w:sz w:val="22"/>
          <w:szCs w:val="22"/>
        </w:rPr>
        <w:t xml:space="preserve"> </w:t>
      </w:r>
    </w:p>
    <w:p w14:paraId="1FB9140C" w14:textId="15FD7F38" w:rsidR="00373D41" w:rsidRPr="00C42105" w:rsidRDefault="00373D41" w:rsidP="00CE3D38">
      <w:pPr>
        <w:spacing w:before="80" w:after="80"/>
        <w:rPr>
          <w:rFonts w:ascii="Calibri" w:eastAsia="Times New Roman" w:hAnsi="Calibri" w:cs="Calibri"/>
          <w:color w:val="000000"/>
          <w:sz w:val="22"/>
          <w:szCs w:val="22"/>
        </w:rPr>
      </w:pPr>
      <w:r w:rsidRPr="00C42105">
        <w:rPr>
          <w:rFonts w:ascii="Calibri" w:eastAsia="Times New Roman" w:hAnsi="Calibri" w:cs="Times New Roman"/>
          <w:b/>
          <w:bCs/>
          <w:color w:val="000000"/>
          <w:sz w:val="22"/>
          <w:szCs w:val="22"/>
          <w:u w:val="single"/>
        </w:rPr>
        <w:t xml:space="preserve">Initial </w:t>
      </w:r>
      <w:r w:rsidR="00FD55B8" w:rsidRPr="00C42105">
        <w:rPr>
          <w:rFonts w:ascii="Calibri" w:eastAsia="Times New Roman" w:hAnsi="Calibri" w:cs="Times New Roman"/>
          <w:b/>
          <w:bCs/>
          <w:color w:val="000000"/>
          <w:sz w:val="22"/>
          <w:szCs w:val="22"/>
          <w:u w:val="single"/>
        </w:rPr>
        <w:t xml:space="preserve">Option 1: Use the </w:t>
      </w:r>
      <w:r w:rsidR="004E4A4A" w:rsidRPr="00C42105">
        <w:rPr>
          <w:rFonts w:ascii="Calibri" w:eastAsia="Times New Roman" w:hAnsi="Calibri" w:cs="Times New Roman"/>
          <w:b/>
          <w:bCs/>
          <w:color w:val="000000"/>
          <w:sz w:val="22"/>
          <w:szCs w:val="22"/>
          <w:u w:val="single"/>
        </w:rPr>
        <w:t>d</w:t>
      </w:r>
      <w:r w:rsidR="00FD55B8" w:rsidRPr="00C42105">
        <w:rPr>
          <w:rFonts w:ascii="Calibri" w:eastAsia="Times New Roman" w:hAnsi="Calibri" w:cs="Times New Roman"/>
          <w:b/>
          <w:bCs/>
          <w:color w:val="000000"/>
          <w:sz w:val="22"/>
          <w:szCs w:val="22"/>
          <w:u w:val="single"/>
        </w:rPr>
        <w:t xml:space="preserve">efinition </w:t>
      </w:r>
      <w:r w:rsidR="004E4A4A" w:rsidRPr="00C42105">
        <w:rPr>
          <w:rFonts w:ascii="Calibri" w:eastAsia="Times New Roman" w:hAnsi="Calibri" w:cs="Times New Roman"/>
          <w:b/>
          <w:bCs/>
          <w:color w:val="000000"/>
          <w:sz w:val="22"/>
          <w:szCs w:val="22"/>
          <w:u w:val="single"/>
        </w:rPr>
        <w:t xml:space="preserve">of communities that are underserved </w:t>
      </w:r>
      <w:r w:rsidR="00FD55B8" w:rsidRPr="00C42105">
        <w:rPr>
          <w:rFonts w:ascii="Calibri" w:eastAsia="Times New Roman" w:hAnsi="Calibri" w:cs="Times New Roman"/>
          <w:b/>
          <w:bCs/>
          <w:color w:val="000000"/>
          <w:sz w:val="22"/>
          <w:szCs w:val="22"/>
          <w:u w:val="single"/>
        </w:rPr>
        <w:t>from the</w:t>
      </w:r>
      <w:r w:rsidR="00FC1AB8" w:rsidRPr="00C42105">
        <w:rPr>
          <w:rFonts w:ascii="Calibri" w:hAnsi="Calibri"/>
          <w:b/>
          <w:bCs/>
          <w:color w:val="000000"/>
          <w:sz w:val="22"/>
          <w:szCs w:val="22"/>
          <w:u w:val="single"/>
        </w:rPr>
        <w:t xml:space="preserve"> CPUC</w:t>
      </w:r>
      <w:r w:rsidR="00FD55B8" w:rsidRPr="00C42105">
        <w:rPr>
          <w:rFonts w:ascii="Calibri" w:eastAsia="Times New Roman" w:hAnsi="Calibri" w:cs="Times New Roman"/>
          <w:b/>
          <w:bCs/>
          <w:color w:val="000000"/>
          <w:sz w:val="22"/>
          <w:szCs w:val="22"/>
          <w:u w:val="single"/>
        </w:rPr>
        <w:t xml:space="preserve"> E</w:t>
      </w:r>
      <w:r w:rsidR="00FC1AB8" w:rsidRPr="00C42105">
        <w:rPr>
          <w:rFonts w:ascii="Calibri" w:hAnsi="Calibri"/>
          <w:b/>
          <w:bCs/>
          <w:color w:val="000000"/>
          <w:sz w:val="22"/>
          <w:szCs w:val="22"/>
          <w:u w:val="single"/>
        </w:rPr>
        <w:t xml:space="preserve">nvironmental and </w:t>
      </w:r>
      <w:r w:rsidR="00FD55B8" w:rsidRPr="00C42105">
        <w:rPr>
          <w:rFonts w:ascii="Calibri" w:eastAsia="Times New Roman" w:hAnsi="Calibri" w:cs="Times New Roman"/>
          <w:b/>
          <w:bCs/>
          <w:color w:val="000000"/>
          <w:sz w:val="22"/>
          <w:szCs w:val="22"/>
          <w:u w:val="single"/>
        </w:rPr>
        <w:t>S</w:t>
      </w:r>
      <w:r w:rsidR="00FC1AB8" w:rsidRPr="00C42105">
        <w:rPr>
          <w:rFonts w:ascii="Calibri" w:hAnsi="Calibri"/>
          <w:b/>
          <w:bCs/>
          <w:color w:val="000000"/>
          <w:sz w:val="22"/>
          <w:szCs w:val="22"/>
          <w:u w:val="single"/>
        </w:rPr>
        <w:t xml:space="preserve">ocial </w:t>
      </w:r>
      <w:r w:rsidR="00FD55B8" w:rsidRPr="00C42105">
        <w:rPr>
          <w:rFonts w:ascii="Calibri" w:eastAsia="Times New Roman" w:hAnsi="Calibri" w:cs="Times New Roman"/>
          <w:b/>
          <w:bCs/>
          <w:color w:val="000000"/>
          <w:sz w:val="22"/>
          <w:szCs w:val="22"/>
          <w:u w:val="single"/>
        </w:rPr>
        <w:t>J</w:t>
      </w:r>
      <w:r w:rsidR="00FC1AB8" w:rsidRPr="00C42105">
        <w:rPr>
          <w:rFonts w:ascii="Calibri" w:hAnsi="Calibri"/>
          <w:b/>
          <w:bCs/>
          <w:color w:val="000000"/>
          <w:sz w:val="22"/>
          <w:szCs w:val="22"/>
          <w:u w:val="single"/>
        </w:rPr>
        <w:t xml:space="preserve">ustice </w:t>
      </w:r>
      <w:r w:rsidR="00FD55B8" w:rsidRPr="00C42105">
        <w:rPr>
          <w:rFonts w:ascii="Calibri" w:eastAsia="Times New Roman" w:hAnsi="Calibri" w:cs="Times New Roman"/>
          <w:b/>
          <w:bCs/>
          <w:color w:val="000000"/>
          <w:sz w:val="22"/>
          <w:szCs w:val="22"/>
          <w:u w:val="single"/>
        </w:rPr>
        <w:t>Action Plan</w:t>
      </w:r>
      <w:r w:rsidR="00CE3D38" w:rsidRPr="00C42105">
        <w:rPr>
          <w:rFonts w:ascii="Calibri" w:eastAsia="Times New Roman" w:hAnsi="Calibri" w:cs="Times New Roman"/>
          <w:color w:val="000000"/>
          <w:sz w:val="22"/>
          <w:szCs w:val="22"/>
        </w:rPr>
        <w:t>.</w:t>
      </w:r>
      <w:r w:rsidR="00CE3D38" w:rsidRPr="00C42105">
        <w:rPr>
          <w:rStyle w:val="FootnoteReference"/>
          <w:rFonts w:ascii="Calibri" w:hAnsi="Calibri"/>
          <w:color w:val="000000"/>
          <w:sz w:val="22"/>
          <w:szCs w:val="22"/>
        </w:rPr>
        <w:footnoteReference w:id="6"/>
      </w:r>
      <w:r w:rsidR="00CE3D38" w:rsidRPr="00C42105">
        <w:rPr>
          <w:rFonts w:ascii="Calibri" w:eastAsia="Times New Roman" w:hAnsi="Calibri" w:cs="Times New Roman"/>
          <w:color w:val="000000"/>
          <w:sz w:val="22"/>
          <w:szCs w:val="22"/>
        </w:rPr>
        <w:t xml:space="preserve"> It is important to note that </w:t>
      </w:r>
      <w:r w:rsidR="00FC1AB8" w:rsidRPr="00C42105">
        <w:rPr>
          <w:rFonts w:ascii="Calibri" w:hAnsi="Calibri"/>
          <w:color w:val="000000"/>
          <w:sz w:val="22"/>
          <w:szCs w:val="22"/>
        </w:rPr>
        <w:t>“</w:t>
      </w:r>
      <w:r w:rsidR="00CE3D38" w:rsidRPr="00C42105">
        <w:rPr>
          <w:rFonts w:ascii="Calibri" w:eastAsia="Times New Roman" w:hAnsi="Calibri" w:cs="Times New Roman"/>
          <w:color w:val="000000"/>
          <w:sz w:val="22"/>
          <w:szCs w:val="22"/>
        </w:rPr>
        <w:t>l</w:t>
      </w:r>
      <w:r w:rsidR="00FD55B8" w:rsidRPr="00C42105">
        <w:rPr>
          <w:rFonts w:ascii="Calibri" w:eastAsia="Times New Roman" w:hAnsi="Calibri" w:cs="Times New Roman"/>
          <w:color w:val="000000"/>
          <w:sz w:val="22"/>
          <w:szCs w:val="22"/>
        </w:rPr>
        <w:t>ow income</w:t>
      </w:r>
      <w:r w:rsidR="00FC1AB8" w:rsidRPr="00C42105">
        <w:rPr>
          <w:rFonts w:ascii="Calibri" w:hAnsi="Calibri"/>
          <w:color w:val="000000"/>
          <w:sz w:val="22"/>
          <w:szCs w:val="22"/>
        </w:rPr>
        <w:t>”</w:t>
      </w:r>
      <w:r w:rsidR="00FD55B8" w:rsidRPr="00C42105">
        <w:rPr>
          <w:rFonts w:ascii="Calibri" w:eastAsia="Times New Roman" w:hAnsi="Calibri" w:cs="Times New Roman"/>
          <w:color w:val="000000"/>
          <w:sz w:val="22"/>
          <w:szCs w:val="22"/>
        </w:rPr>
        <w:t xml:space="preserve"> </w:t>
      </w:r>
      <w:r w:rsidR="00CE3D38" w:rsidRPr="00C42105">
        <w:rPr>
          <w:rFonts w:ascii="Calibri" w:eastAsia="Times New Roman" w:hAnsi="Calibri" w:cs="Times New Roman"/>
          <w:color w:val="000000"/>
          <w:sz w:val="22"/>
          <w:szCs w:val="22"/>
        </w:rPr>
        <w:t xml:space="preserve">is defined </w:t>
      </w:r>
      <w:r w:rsidR="00896B53" w:rsidRPr="00C42105">
        <w:rPr>
          <w:rFonts w:ascii="Calibri" w:eastAsia="Times New Roman" w:hAnsi="Calibri" w:cs="Times New Roman"/>
          <w:color w:val="000000"/>
          <w:sz w:val="22"/>
          <w:szCs w:val="22"/>
        </w:rPr>
        <w:t xml:space="preserve">for </w:t>
      </w:r>
      <w:r w:rsidR="00FC1AB8" w:rsidRPr="00C42105">
        <w:rPr>
          <w:rFonts w:ascii="Calibri" w:hAnsi="Calibri"/>
          <w:color w:val="000000"/>
          <w:sz w:val="22"/>
          <w:szCs w:val="22"/>
        </w:rPr>
        <w:t>the Energy Savings Assistance Program (</w:t>
      </w:r>
      <w:r w:rsidR="00FD55B8" w:rsidRPr="00C42105">
        <w:rPr>
          <w:rFonts w:ascii="Calibri" w:eastAsia="Times New Roman" w:hAnsi="Calibri" w:cs="Times New Roman"/>
          <w:color w:val="000000"/>
          <w:sz w:val="22"/>
          <w:szCs w:val="22"/>
        </w:rPr>
        <w:t>ESAP</w:t>
      </w:r>
      <w:r w:rsidR="00FC1AB8" w:rsidRPr="00C42105">
        <w:rPr>
          <w:rFonts w:ascii="Calibri" w:hAnsi="Calibri"/>
          <w:color w:val="000000"/>
          <w:sz w:val="22"/>
          <w:szCs w:val="22"/>
        </w:rPr>
        <w:t>)</w:t>
      </w:r>
      <w:r w:rsidR="00CE3D38" w:rsidRPr="00C42105">
        <w:rPr>
          <w:rFonts w:ascii="Calibri" w:hAnsi="Calibri"/>
          <w:color w:val="000000"/>
          <w:sz w:val="22"/>
          <w:szCs w:val="22"/>
        </w:rPr>
        <w:t xml:space="preserve"> as customers who are at or below 200% of the Federal Poverty Line. Since the equity segment </w:t>
      </w:r>
      <w:r w:rsidR="00896B53" w:rsidRPr="00C42105">
        <w:rPr>
          <w:rFonts w:ascii="Calibri" w:hAnsi="Calibri"/>
          <w:color w:val="000000"/>
          <w:sz w:val="22"/>
          <w:szCs w:val="22"/>
        </w:rPr>
        <w:t>is part of R.13-11-005 and therefore should not</w:t>
      </w:r>
      <w:r w:rsidR="00CE3D38" w:rsidRPr="00C42105">
        <w:rPr>
          <w:rFonts w:ascii="Calibri" w:hAnsi="Calibri"/>
          <w:color w:val="000000"/>
          <w:sz w:val="22"/>
          <w:szCs w:val="22"/>
        </w:rPr>
        <w:t xml:space="preserve"> target ESAP-eligible customers, we must be explicit in how we are using the term “low income” </w:t>
      </w:r>
      <w:r w:rsidR="00CE3D38" w:rsidRPr="00C42105">
        <w:rPr>
          <w:rFonts w:ascii="Calibri" w:eastAsia="Times New Roman" w:hAnsi="Calibri" w:cs="Calibri"/>
          <w:color w:val="000000"/>
          <w:sz w:val="22"/>
          <w:szCs w:val="22"/>
        </w:rPr>
        <w:t xml:space="preserve">for the purposes of </w:t>
      </w:r>
      <w:r w:rsidR="00896B53" w:rsidRPr="00C42105">
        <w:rPr>
          <w:rFonts w:ascii="Calibri" w:eastAsia="Times New Roman" w:hAnsi="Calibri" w:cs="Calibri"/>
          <w:color w:val="000000"/>
          <w:sz w:val="22"/>
          <w:szCs w:val="22"/>
        </w:rPr>
        <w:t>this effort</w:t>
      </w:r>
    </w:p>
    <w:p w14:paraId="2B7E3789" w14:textId="40A7FD13" w:rsidR="00FC1AB8" w:rsidRPr="00C42105" w:rsidRDefault="00373D41" w:rsidP="00CE3D38">
      <w:pPr>
        <w:spacing w:before="80" w:after="80"/>
        <w:rPr>
          <w:rFonts w:ascii="Calibri" w:eastAsia="Times New Roman" w:hAnsi="Calibri" w:cs="Calibri"/>
          <w:color w:val="000000"/>
          <w:sz w:val="22"/>
          <w:szCs w:val="22"/>
        </w:rPr>
      </w:pPr>
      <w:r w:rsidRPr="00C42105">
        <w:rPr>
          <w:rFonts w:ascii="Calibri" w:eastAsia="Times New Roman" w:hAnsi="Calibri" w:cs="Calibri"/>
          <w:b/>
          <w:bCs/>
          <w:color w:val="000000"/>
          <w:sz w:val="22"/>
          <w:szCs w:val="22"/>
          <w:u w:val="single"/>
        </w:rPr>
        <w:t>Revised Option</w:t>
      </w:r>
      <w:r w:rsidRPr="00C42105">
        <w:rPr>
          <w:rFonts w:ascii="Calibri" w:eastAsia="Times New Roman" w:hAnsi="Calibri" w:cs="Calibri"/>
          <w:b/>
          <w:bCs/>
          <w:color w:val="000000"/>
          <w:sz w:val="22"/>
          <w:szCs w:val="22"/>
        </w:rPr>
        <w:t>:</w:t>
      </w:r>
      <w:r w:rsidRPr="00C42105">
        <w:rPr>
          <w:rFonts w:ascii="Calibri" w:eastAsia="Times New Roman" w:hAnsi="Calibri" w:cs="Calibri"/>
          <w:color w:val="000000"/>
          <w:sz w:val="22"/>
          <w:szCs w:val="22"/>
        </w:rPr>
        <w:t xml:space="preserve">  </w:t>
      </w:r>
      <w:r w:rsidR="00CE3D38" w:rsidRPr="00C42105">
        <w:rPr>
          <w:rFonts w:ascii="Calibri" w:eastAsia="Times New Roman" w:hAnsi="Calibri" w:cs="Calibri"/>
          <w:color w:val="000000"/>
          <w:sz w:val="22"/>
          <w:szCs w:val="22"/>
        </w:rPr>
        <w:t>The</w:t>
      </w:r>
      <w:r w:rsidRPr="00C42105">
        <w:rPr>
          <w:rFonts w:ascii="Calibri" w:eastAsia="Times New Roman" w:hAnsi="Calibri" w:cs="Calibri"/>
          <w:color w:val="000000"/>
          <w:sz w:val="22"/>
          <w:szCs w:val="22"/>
        </w:rPr>
        <w:t xml:space="preserve"> revised option is to use the term </w:t>
      </w:r>
      <w:r w:rsidR="00972F84" w:rsidRPr="00C42105">
        <w:rPr>
          <w:rFonts w:ascii="Calibri" w:eastAsia="Times New Roman" w:hAnsi="Calibri" w:cs="Calibri"/>
          <w:color w:val="000000"/>
          <w:sz w:val="22"/>
          <w:szCs w:val="22"/>
        </w:rPr>
        <w:t>“</w:t>
      </w:r>
      <w:proofErr w:type="gramStart"/>
      <w:r w:rsidR="00972F84" w:rsidRPr="00C42105">
        <w:rPr>
          <w:rFonts w:ascii="Calibri" w:eastAsia="Times New Roman" w:hAnsi="Calibri" w:cs="Calibri"/>
          <w:color w:val="000000"/>
          <w:sz w:val="22"/>
          <w:szCs w:val="22"/>
        </w:rPr>
        <w:t>low and moderate income</w:t>
      </w:r>
      <w:proofErr w:type="gramEnd"/>
      <w:r w:rsidR="00972F84" w:rsidRPr="00C42105">
        <w:rPr>
          <w:rFonts w:ascii="Calibri" w:eastAsia="Times New Roman" w:hAnsi="Calibri" w:cs="Calibri"/>
          <w:color w:val="000000"/>
          <w:sz w:val="22"/>
          <w:szCs w:val="22"/>
        </w:rPr>
        <w:t xml:space="preserve"> households that are ineligible for ESAP”.  </w:t>
      </w:r>
    </w:p>
    <w:p w14:paraId="08C50CF1" w14:textId="77777777" w:rsidR="00972F84" w:rsidRPr="00C42105" w:rsidRDefault="00972F84" w:rsidP="00CE3D38">
      <w:pPr>
        <w:spacing w:before="80" w:after="80"/>
        <w:rPr>
          <w:rFonts w:ascii="Calibri" w:hAnsi="Calibri"/>
          <w:color w:val="000000"/>
          <w:sz w:val="22"/>
          <w:szCs w:val="22"/>
        </w:rPr>
      </w:pPr>
    </w:p>
    <w:p w14:paraId="57B2632F" w14:textId="6A8C82AE" w:rsidR="00FC1AB8" w:rsidRPr="00C42105" w:rsidRDefault="00FD55B8" w:rsidP="00FC1AB8">
      <w:pPr>
        <w:pStyle w:val="ListParagraph"/>
        <w:spacing w:before="0" w:beforeAutospacing="0" w:after="0" w:afterAutospacing="0"/>
        <w:ind w:left="720"/>
        <w:rPr>
          <w:rFonts w:ascii="Calibri" w:hAnsi="Calibri"/>
          <w:color w:val="000000"/>
          <w:sz w:val="22"/>
          <w:szCs w:val="22"/>
        </w:rPr>
      </w:pPr>
      <w:r w:rsidRPr="00C42105">
        <w:rPr>
          <w:rFonts w:ascii="Calibri" w:hAnsi="Calibri"/>
          <w:color w:val="000000"/>
          <w:sz w:val="22"/>
          <w:szCs w:val="22"/>
        </w:rPr>
        <w:t>“</w:t>
      </w:r>
      <w:r w:rsidRPr="00C42105">
        <w:rPr>
          <w:rFonts w:ascii="Calibri" w:hAnsi="Calibri"/>
          <w:b/>
          <w:bCs/>
          <w:color w:val="000000"/>
          <w:sz w:val="22"/>
          <w:szCs w:val="22"/>
        </w:rPr>
        <w:t>ESJ communities</w:t>
      </w:r>
      <w:r w:rsidRPr="00C42105">
        <w:rPr>
          <w:rFonts w:ascii="Calibri" w:hAnsi="Calibri"/>
          <w:color w:val="000000"/>
          <w:sz w:val="22"/>
          <w:szCs w:val="22"/>
        </w:rPr>
        <w:t xml:space="preserve"> are commonly identified as those where residents are</w:t>
      </w:r>
      <w:r w:rsidR="00FC1AB8" w:rsidRPr="00C42105">
        <w:rPr>
          <w:rFonts w:ascii="Calibri" w:hAnsi="Calibri"/>
          <w:color w:val="000000"/>
          <w:sz w:val="22"/>
          <w:szCs w:val="22"/>
        </w:rPr>
        <w:t>:</w:t>
      </w:r>
    </w:p>
    <w:p w14:paraId="43DECBE9" w14:textId="56C7962A" w:rsidR="00FC1AB8" w:rsidRPr="00C42105" w:rsidRDefault="00FD55B8" w:rsidP="00FC1AB8">
      <w:pPr>
        <w:pStyle w:val="ListParagraph"/>
        <w:numPr>
          <w:ilvl w:val="1"/>
          <w:numId w:val="19"/>
        </w:numPr>
        <w:spacing w:before="0" w:beforeAutospacing="0" w:after="0" w:afterAutospacing="0"/>
        <w:rPr>
          <w:rFonts w:ascii="Calibri" w:hAnsi="Calibri"/>
          <w:color w:val="000000"/>
          <w:sz w:val="22"/>
          <w:szCs w:val="22"/>
        </w:rPr>
      </w:pPr>
      <w:r w:rsidRPr="00C42105">
        <w:rPr>
          <w:rFonts w:ascii="Calibri" w:hAnsi="Calibri"/>
          <w:color w:val="000000"/>
          <w:sz w:val="22"/>
          <w:szCs w:val="22"/>
        </w:rPr>
        <w:t>predominantly communities of color or low-income</w:t>
      </w:r>
      <w:r w:rsidR="00DA4AA7" w:rsidRPr="00C42105">
        <w:rPr>
          <w:rFonts w:ascii="Calibri" w:hAnsi="Calibri"/>
          <w:color w:val="000000"/>
          <w:sz w:val="22"/>
          <w:szCs w:val="22"/>
        </w:rPr>
        <w:t xml:space="preserve"> </w:t>
      </w:r>
      <w:r w:rsidR="00F22E2A" w:rsidRPr="00C42105">
        <w:rPr>
          <w:rFonts w:ascii="Calibri" w:hAnsi="Calibri"/>
          <w:color w:val="000000"/>
          <w:sz w:val="22"/>
          <w:szCs w:val="22"/>
        </w:rPr>
        <w:t xml:space="preserve"> </w:t>
      </w:r>
    </w:p>
    <w:p w14:paraId="5AECFB54" w14:textId="77777777" w:rsidR="00FC1AB8" w:rsidRPr="00C42105" w:rsidRDefault="00FD55B8" w:rsidP="00D3495E">
      <w:pPr>
        <w:pStyle w:val="ListParagraph"/>
        <w:numPr>
          <w:ilvl w:val="1"/>
          <w:numId w:val="19"/>
        </w:numPr>
        <w:rPr>
          <w:rFonts w:ascii="Calibri" w:hAnsi="Calibri"/>
          <w:color w:val="000000"/>
          <w:sz w:val="22"/>
          <w:szCs w:val="22"/>
        </w:rPr>
      </w:pPr>
      <w:r w:rsidRPr="00C42105">
        <w:rPr>
          <w:rFonts w:ascii="Calibri" w:hAnsi="Calibri"/>
          <w:color w:val="000000"/>
          <w:sz w:val="22"/>
          <w:szCs w:val="22"/>
        </w:rPr>
        <w:t>underrepresented in the policy setting or decision-making process;</w:t>
      </w:r>
      <w:r w:rsidR="00FC1AB8" w:rsidRPr="00C42105">
        <w:rPr>
          <w:rFonts w:ascii="Calibri" w:hAnsi="Calibri"/>
          <w:color w:val="000000"/>
          <w:sz w:val="22"/>
          <w:szCs w:val="22"/>
        </w:rPr>
        <w:t xml:space="preserve"> </w:t>
      </w:r>
    </w:p>
    <w:p w14:paraId="65F34828" w14:textId="77777777" w:rsidR="00FC1AB8" w:rsidRPr="00C42105" w:rsidRDefault="00FD55B8" w:rsidP="00FC1AB8">
      <w:pPr>
        <w:pStyle w:val="ListParagraph"/>
        <w:numPr>
          <w:ilvl w:val="1"/>
          <w:numId w:val="19"/>
        </w:numPr>
        <w:rPr>
          <w:rFonts w:ascii="Calibri" w:hAnsi="Calibri"/>
          <w:color w:val="000000"/>
          <w:sz w:val="22"/>
          <w:szCs w:val="22"/>
        </w:rPr>
      </w:pPr>
      <w:r w:rsidRPr="00C42105">
        <w:rPr>
          <w:rFonts w:ascii="Calibri" w:hAnsi="Calibri"/>
          <w:color w:val="000000"/>
          <w:sz w:val="22"/>
          <w:szCs w:val="22"/>
        </w:rPr>
        <w:t>subject to a disproportionate impact from one or more environmental hazards; and</w:t>
      </w:r>
    </w:p>
    <w:p w14:paraId="34C83253" w14:textId="77777777" w:rsidR="00FC1AB8" w:rsidRPr="00C42105" w:rsidRDefault="00FD55B8" w:rsidP="00FC1AB8">
      <w:pPr>
        <w:pStyle w:val="ListParagraph"/>
        <w:numPr>
          <w:ilvl w:val="1"/>
          <w:numId w:val="19"/>
        </w:numPr>
        <w:spacing w:before="0" w:beforeAutospacing="0" w:after="0" w:afterAutospacing="0"/>
        <w:rPr>
          <w:rFonts w:ascii="Calibri" w:hAnsi="Calibri"/>
          <w:color w:val="000000"/>
          <w:sz w:val="22"/>
          <w:szCs w:val="22"/>
        </w:rPr>
      </w:pPr>
      <w:r w:rsidRPr="00C42105">
        <w:rPr>
          <w:rFonts w:ascii="Calibri" w:hAnsi="Calibri"/>
          <w:color w:val="000000"/>
          <w:sz w:val="22"/>
          <w:szCs w:val="22"/>
        </w:rPr>
        <w:t>likely to experience disparate implementation of environmental regulations and socio-economic</w:t>
      </w:r>
      <w:r w:rsidR="00FC1AB8" w:rsidRPr="00C42105">
        <w:rPr>
          <w:rFonts w:ascii="Calibri" w:hAnsi="Calibri"/>
          <w:color w:val="000000"/>
          <w:sz w:val="22"/>
          <w:szCs w:val="22"/>
        </w:rPr>
        <w:t xml:space="preserve"> </w:t>
      </w:r>
      <w:r w:rsidRPr="00C42105">
        <w:rPr>
          <w:rFonts w:ascii="Calibri" w:hAnsi="Calibri"/>
          <w:color w:val="000000"/>
          <w:sz w:val="22"/>
          <w:szCs w:val="22"/>
        </w:rPr>
        <w:t>investments in their communities.</w:t>
      </w:r>
    </w:p>
    <w:p w14:paraId="5537DEB0" w14:textId="13F18D58" w:rsidR="00FD55B8" w:rsidRPr="00C42105" w:rsidRDefault="00FD55B8" w:rsidP="00FC1AB8">
      <w:pPr>
        <w:ind w:left="810"/>
        <w:rPr>
          <w:rFonts w:ascii="Calibri" w:hAnsi="Calibri"/>
          <w:color w:val="000000"/>
          <w:sz w:val="22"/>
          <w:szCs w:val="22"/>
        </w:rPr>
      </w:pPr>
      <w:r w:rsidRPr="00C42105">
        <w:rPr>
          <w:rFonts w:ascii="Calibri" w:hAnsi="Calibri"/>
          <w:color w:val="000000"/>
          <w:sz w:val="22"/>
          <w:szCs w:val="22"/>
        </w:rPr>
        <w:t>They also include, but are not limited to:</w:t>
      </w:r>
    </w:p>
    <w:p w14:paraId="5B66E911" w14:textId="5CF30C72" w:rsidR="00FD55B8" w:rsidRPr="00C42105" w:rsidRDefault="00FD55B8" w:rsidP="00FC1AB8">
      <w:pPr>
        <w:pStyle w:val="ListParagraph"/>
        <w:numPr>
          <w:ilvl w:val="1"/>
          <w:numId w:val="19"/>
        </w:numPr>
        <w:spacing w:before="0" w:beforeAutospacing="0" w:after="0" w:afterAutospacing="0"/>
        <w:rPr>
          <w:rFonts w:ascii="Calibri" w:hAnsi="Calibri"/>
          <w:color w:val="000000"/>
          <w:sz w:val="22"/>
          <w:szCs w:val="22"/>
        </w:rPr>
      </w:pPr>
      <w:r w:rsidRPr="00C42105">
        <w:rPr>
          <w:rFonts w:ascii="Calibri" w:hAnsi="Calibri"/>
          <w:color w:val="000000"/>
          <w:sz w:val="22"/>
          <w:szCs w:val="22"/>
        </w:rPr>
        <w:t>Disadvantage</w:t>
      </w:r>
      <w:r w:rsidR="00BF1C07" w:rsidRPr="00C42105">
        <w:rPr>
          <w:rFonts w:ascii="Calibri" w:hAnsi="Calibri"/>
          <w:color w:val="000000"/>
          <w:sz w:val="22"/>
          <w:szCs w:val="22"/>
        </w:rPr>
        <w:t>d</w:t>
      </w:r>
      <w:r w:rsidRPr="00C42105">
        <w:rPr>
          <w:rFonts w:ascii="Calibri" w:hAnsi="Calibri"/>
          <w:color w:val="000000"/>
          <w:sz w:val="22"/>
          <w:szCs w:val="22"/>
        </w:rPr>
        <w:t xml:space="preserve"> Communities located in the top 25% of communities identified by Cal EPA’s CalEnviroScreen; </w:t>
      </w:r>
      <w:r w:rsidR="00F22E2A" w:rsidRPr="00C42105">
        <w:rPr>
          <w:rFonts w:ascii="Calibri" w:hAnsi="Calibri"/>
          <w:color w:val="000000"/>
          <w:sz w:val="22"/>
          <w:szCs w:val="22"/>
        </w:rPr>
        <w:t>[as noted above: this is covered by DAC definition]</w:t>
      </w:r>
    </w:p>
    <w:p w14:paraId="160816EE" w14:textId="77777777" w:rsidR="00FD55B8" w:rsidRPr="00C42105" w:rsidRDefault="00FD55B8" w:rsidP="00FC1AB8">
      <w:pPr>
        <w:pStyle w:val="ListParagraph"/>
        <w:numPr>
          <w:ilvl w:val="1"/>
          <w:numId w:val="19"/>
        </w:numPr>
        <w:spacing w:before="0" w:beforeAutospacing="0" w:after="0" w:afterAutospacing="0"/>
        <w:rPr>
          <w:rFonts w:ascii="Calibri" w:hAnsi="Calibri"/>
          <w:color w:val="000000"/>
          <w:sz w:val="22"/>
          <w:szCs w:val="22"/>
        </w:rPr>
      </w:pPr>
      <w:r w:rsidRPr="00C42105">
        <w:rPr>
          <w:rFonts w:ascii="Calibri" w:hAnsi="Calibri"/>
          <w:color w:val="000000"/>
          <w:sz w:val="22"/>
          <w:szCs w:val="22"/>
        </w:rPr>
        <w:t>all Tribal lands;</w:t>
      </w:r>
    </w:p>
    <w:p w14:paraId="4F647590" w14:textId="018A6703" w:rsidR="00FD55B8" w:rsidRPr="00C42105" w:rsidRDefault="00FD55B8" w:rsidP="00FC1AB8">
      <w:pPr>
        <w:pStyle w:val="ListParagraph"/>
        <w:numPr>
          <w:ilvl w:val="1"/>
          <w:numId w:val="19"/>
        </w:numPr>
        <w:spacing w:before="0" w:beforeAutospacing="0" w:after="0" w:afterAutospacing="0"/>
        <w:rPr>
          <w:rFonts w:ascii="Calibri" w:hAnsi="Calibri"/>
          <w:color w:val="000000"/>
          <w:sz w:val="22"/>
          <w:szCs w:val="22"/>
        </w:rPr>
      </w:pPr>
      <w:r w:rsidRPr="00C42105">
        <w:rPr>
          <w:rFonts w:ascii="Calibri" w:hAnsi="Calibri"/>
          <w:i/>
          <w:iCs/>
          <w:color w:val="000000"/>
          <w:sz w:val="22"/>
          <w:szCs w:val="22"/>
        </w:rPr>
        <w:t>low-</w:t>
      </w:r>
      <w:r w:rsidR="00373D41" w:rsidRPr="00C42105">
        <w:rPr>
          <w:rFonts w:ascii="Calibri" w:hAnsi="Calibri"/>
          <w:i/>
          <w:iCs/>
          <w:color w:val="000000"/>
          <w:sz w:val="22"/>
          <w:szCs w:val="22"/>
        </w:rPr>
        <w:t xml:space="preserve">moderate income households </w:t>
      </w:r>
      <w:r w:rsidR="00972F84" w:rsidRPr="00C42105">
        <w:rPr>
          <w:rFonts w:ascii="Calibri" w:hAnsi="Calibri"/>
          <w:i/>
          <w:iCs/>
          <w:color w:val="000000"/>
          <w:sz w:val="22"/>
          <w:szCs w:val="22"/>
        </w:rPr>
        <w:t>that are ineligible for ESAP</w:t>
      </w:r>
      <w:r w:rsidRPr="00C42105">
        <w:rPr>
          <w:rFonts w:ascii="Calibri" w:hAnsi="Calibri"/>
          <w:color w:val="000000"/>
          <w:sz w:val="22"/>
          <w:szCs w:val="22"/>
        </w:rPr>
        <w:t xml:space="preserve">; </w:t>
      </w:r>
    </w:p>
    <w:p w14:paraId="5BFEEBA1" w14:textId="57A92F89" w:rsidR="00FD55B8" w:rsidRPr="00C42105" w:rsidRDefault="00FD55B8" w:rsidP="00FC1AB8">
      <w:pPr>
        <w:pStyle w:val="ListParagraph"/>
        <w:numPr>
          <w:ilvl w:val="1"/>
          <w:numId w:val="19"/>
        </w:numPr>
        <w:spacing w:before="0" w:beforeAutospacing="0" w:after="0" w:afterAutospacing="0"/>
        <w:rPr>
          <w:rFonts w:ascii="Calibri" w:hAnsi="Calibri"/>
          <w:color w:val="000000"/>
          <w:sz w:val="22"/>
          <w:szCs w:val="22"/>
        </w:rPr>
      </w:pPr>
      <w:r w:rsidRPr="00C42105">
        <w:rPr>
          <w:rFonts w:ascii="Calibri" w:hAnsi="Calibri"/>
          <w:color w:val="000000"/>
          <w:sz w:val="22"/>
          <w:szCs w:val="22"/>
        </w:rPr>
        <w:t>low-income census tracts ” </w:t>
      </w:r>
    </w:p>
    <w:p w14:paraId="5DA262EB" w14:textId="748D0B32" w:rsidR="00FD55B8" w:rsidRPr="00C42105" w:rsidRDefault="00FD55B8" w:rsidP="00FD55B8">
      <w:pPr>
        <w:rPr>
          <w:rFonts w:ascii="Calibri" w:eastAsia="Times New Roman" w:hAnsi="Calibri" w:cs="Times New Roman"/>
          <w:color w:val="000000"/>
          <w:sz w:val="22"/>
          <w:szCs w:val="22"/>
        </w:rPr>
      </w:pPr>
    </w:p>
    <w:p w14:paraId="34E3C75F" w14:textId="24929F17" w:rsidR="00FC1AB8" w:rsidRPr="00C42105" w:rsidRDefault="00F83AF9" w:rsidP="00F83AF9">
      <w:pPr>
        <w:rPr>
          <w:rFonts w:ascii="Calibri" w:eastAsia="Times New Roman" w:hAnsi="Calibri" w:cs="Times New Roman"/>
          <w:i/>
          <w:iCs/>
          <w:color w:val="000000"/>
          <w:sz w:val="22"/>
          <w:szCs w:val="22"/>
        </w:rPr>
      </w:pPr>
      <w:r w:rsidRPr="00C42105">
        <w:rPr>
          <w:rFonts w:ascii="Calibri" w:eastAsia="Times New Roman" w:hAnsi="Calibri" w:cs="Times New Roman"/>
          <w:i/>
          <w:iCs/>
          <w:color w:val="000000"/>
          <w:sz w:val="22"/>
          <w:szCs w:val="22"/>
        </w:rPr>
        <w:t>Option 1: Pros</w:t>
      </w:r>
    </w:p>
    <w:p w14:paraId="29B7D65E" w14:textId="4E02BB01" w:rsidR="00F83AF9" w:rsidRPr="00C42105" w:rsidRDefault="00F83AF9" w:rsidP="00F83AF9">
      <w:pPr>
        <w:pStyle w:val="ListParagraph"/>
        <w:numPr>
          <w:ilvl w:val="0"/>
          <w:numId w:val="20"/>
        </w:numPr>
        <w:spacing w:before="0" w:beforeAutospacing="0" w:after="0" w:afterAutospacing="0"/>
        <w:rPr>
          <w:rFonts w:ascii="Calibri" w:hAnsi="Calibri"/>
          <w:color w:val="000000"/>
          <w:sz w:val="22"/>
          <w:szCs w:val="22"/>
        </w:rPr>
      </w:pPr>
      <w:r w:rsidRPr="00C42105">
        <w:rPr>
          <w:rFonts w:ascii="Calibri" w:hAnsi="Calibri"/>
          <w:color w:val="000000"/>
          <w:sz w:val="22"/>
          <w:szCs w:val="22"/>
        </w:rPr>
        <w:t xml:space="preserve">Using the ESJ Action Plan definition </w:t>
      </w:r>
      <w:r w:rsidR="00972F84" w:rsidRPr="00C42105">
        <w:rPr>
          <w:rFonts w:ascii="Calibri" w:hAnsi="Calibri"/>
          <w:color w:val="000000"/>
          <w:sz w:val="22"/>
          <w:szCs w:val="22"/>
        </w:rPr>
        <w:t xml:space="preserve">as amended </w:t>
      </w:r>
      <w:r w:rsidRPr="00C42105">
        <w:rPr>
          <w:rFonts w:ascii="Calibri" w:hAnsi="Calibri"/>
          <w:color w:val="000000"/>
          <w:sz w:val="22"/>
          <w:szCs w:val="22"/>
        </w:rPr>
        <w:t xml:space="preserve">covers additional customers that are not eligible for ESAP but are </w:t>
      </w:r>
      <w:r w:rsidR="00160978" w:rsidRPr="00C42105">
        <w:rPr>
          <w:rFonts w:ascii="Calibri" w:hAnsi="Calibri"/>
          <w:color w:val="000000"/>
          <w:sz w:val="22"/>
          <w:szCs w:val="22"/>
        </w:rPr>
        <w:t xml:space="preserve">also </w:t>
      </w:r>
      <w:r w:rsidRPr="00C42105">
        <w:rPr>
          <w:rFonts w:ascii="Calibri" w:hAnsi="Calibri"/>
          <w:color w:val="000000"/>
          <w:sz w:val="22"/>
          <w:szCs w:val="22"/>
        </w:rPr>
        <w:t>not covered by the current DAC and HTR definitions as defined above.</w:t>
      </w:r>
    </w:p>
    <w:p w14:paraId="687FC4D5" w14:textId="5B0F97FB" w:rsidR="00F83AF9" w:rsidRPr="00C42105" w:rsidRDefault="00F83AF9" w:rsidP="00F83AF9">
      <w:pPr>
        <w:pStyle w:val="ListParagraph"/>
        <w:numPr>
          <w:ilvl w:val="0"/>
          <w:numId w:val="20"/>
        </w:numPr>
        <w:spacing w:before="0" w:beforeAutospacing="0" w:after="0" w:afterAutospacing="0"/>
        <w:rPr>
          <w:rFonts w:ascii="Calibri" w:hAnsi="Calibri"/>
          <w:color w:val="000000"/>
          <w:sz w:val="22"/>
          <w:szCs w:val="22"/>
        </w:rPr>
      </w:pPr>
      <w:r w:rsidRPr="00C42105">
        <w:rPr>
          <w:rFonts w:ascii="Calibri" w:hAnsi="Calibri"/>
          <w:color w:val="000000"/>
          <w:sz w:val="22"/>
          <w:szCs w:val="22"/>
        </w:rPr>
        <w:t>This definition is based on a</w:t>
      </w:r>
      <w:r w:rsidR="00160978" w:rsidRPr="00C42105">
        <w:rPr>
          <w:rFonts w:ascii="Calibri" w:hAnsi="Calibri"/>
          <w:color w:val="000000"/>
          <w:sz w:val="22"/>
          <w:szCs w:val="22"/>
        </w:rPr>
        <w:t xml:space="preserve"> formal</w:t>
      </w:r>
      <w:r w:rsidRPr="00C42105">
        <w:rPr>
          <w:rFonts w:ascii="Calibri" w:hAnsi="Calibri"/>
          <w:color w:val="000000"/>
          <w:sz w:val="22"/>
          <w:szCs w:val="22"/>
        </w:rPr>
        <w:t xml:space="preserve"> CPUC document.</w:t>
      </w:r>
    </w:p>
    <w:p w14:paraId="36DD14AB" w14:textId="5F052F75" w:rsidR="00F83AF9" w:rsidRPr="00C42105" w:rsidRDefault="00F83AF9" w:rsidP="00F83AF9">
      <w:pPr>
        <w:pStyle w:val="ListParagraph"/>
        <w:numPr>
          <w:ilvl w:val="0"/>
          <w:numId w:val="20"/>
        </w:numPr>
        <w:spacing w:before="0" w:beforeAutospacing="0" w:after="0" w:afterAutospacing="0"/>
        <w:rPr>
          <w:rFonts w:ascii="Calibri" w:hAnsi="Calibri"/>
          <w:color w:val="000000"/>
          <w:sz w:val="22"/>
          <w:szCs w:val="22"/>
        </w:rPr>
      </w:pPr>
      <w:r w:rsidRPr="00C42105">
        <w:rPr>
          <w:rFonts w:ascii="Calibri" w:hAnsi="Calibri"/>
          <w:color w:val="000000"/>
          <w:sz w:val="22"/>
          <w:szCs w:val="22"/>
        </w:rPr>
        <w:t>Relying on this definition allows for consistency across proceedings.</w:t>
      </w:r>
    </w:p>
    <w:p w14:paraId="64FA8E84" w14:textId="5458BF27" w:rsidR="00160978" w:rsidRPr="00C42105" w:rsidRDefault="00160978" w:rsidP="00F83AF9">
      <w:pPr>
        <w:pStyle w:val="ListParagraph"/>
        <w:numPr>
          <w:ilvl w:val="0"/>
          <w:numId w:val="20"/>
        </w:numPr>
        <w:spacing w:before="0" w:beforeAutospacing="0" w:after="0" w:afterAutospacing="0"/>
        <w:rPr>
          <w:rFonts w:ascii="Calibri" w:hAnsi="Calibri"/>
          <w:color w:val="000000"/>
          <w:sz w:val="22"/>
          <w:szCs w:val="22"/>
        </w:rPr>
      </w:pPr>
      <w:r w:rsidRPr="00C42105">
        <w:rPr>
          <w:rFonts w:ascii="Calibri" w:hAnsi="Calibri"/>
          <w:color w:val="000000"/>
          <w:sz w:val="22"/>
          <w:szCs w:val="22"/>
        </w:rPr>
        <w:t xml:space="preserve">The </w:t>
      </w:r>
      <w:r w:rsidR="0017632A" w:rsidRPr="00C42105">
        <w:rPr>
          <w:rFonts w:ascii="Calibri" w:hAnsi="Calibri"/>
          <w:color w:val="000000"/>
          <w:sz w:val="22"/>
          <w:szCs w:val="22"/>
        </w:rPr>
        <w:t>Program Administrators (PAs)</w:t>
      </w:r>
      <w:r w:rsidRPr="00C42105">
        <w:rPr>
          <w:rFonts w:ascii="Calibri" w:hAnsi="Calibri"/>
          <w:color w:val="000000"/>
          <w:sz w:val="22"/>
          <w:szCs w:val="22"/>
        </w:rPr>
        <w:t xml:space="preserve"> would be using a consistent definition to segment their programs.</w:t>
      </w:r>
    </w:p>
    <w:p w14:paraId="66F4C357" w14:textId="12AF7A15" w:rsidR="00F83AF9" w:rsidRPr="00C42105" w:rsidRDefault="00F83AF9" w:rsidP="00F83AF9">
      <w:pPr>
        <w:pStyle w:val="ListParagraph"/>
        <w:numPr>
          <w:ilvl w:val="0"/>
          <w:numId w:val="20"/>
        </w:numPr>
        <w:spacing w:before="0" w:beforeAutospacing="0" w:after="0" w:afterAutospacing="0"/>
        <w:rPr>
          <w:rFonts w:ascii="Calibri" w:hAnsi="Calibri"/>
          <w:color w:val="000000"/>
          <w:sz w:val="22"/>
          <w:szCs w:val="22"/>
        </w:rPr>
      </w:pPr>
      <w:r w:rsidRPr="00C42105">
        <w:rPr>
          <w:rFonts w:ascii="Calibri" w:hAnsi="Calibri"/>
          <w:color w:val="000000"/>
          <w:sz w:val="22"/>
          <w:szCs w:val="22"/>
        </w:rPr>
        <w:t>The definition is already established.</w:t>
      </w:r>
    </w:p>
    <w:p w14:paraId="70EB2795" w14:textId="1CAB9DDD" w:rsidR="00867C33" w:rsidRPr="00C42105" w:rsidRDefault="00867C33" w:rsidP="00867C33">
      <w:pPr>
        <w:rPr>
          <w:rFonts w:ascii="Calibri" w:hAnsi="Calibri"/>
          <w:color w:val="000000"/>
          <w:sz w:val="22"/>
          <w:szCs w:val="22"/>
        </w:rPr>
      </w:pPr>
    </w:p>
    <w:p w14:paraId="25058844" w14:textId="2606C271" w:rsidR="00867C33" w:rsidRPr="00C42105" w:rsidRDefault="00867C33" w:rsidP="00867C33">
      <w:pPr>
        <w:rPr>
          <w:rFonts w:ascii="Calibri" w:eastAsia="Times New Roman" w:hAnsi="Calibri" w:cs="Times New Roman"/>
          <w:i/>
          <w:iCs/>
          <w:color w:val="000000"/>
          <w:sz w:val="22"/>
          <w:szCs w:val="22"/>
        </w:rPr>
      </w:pPr>
      <w:r w:rsidRPr="00C42105">
        <w:rPr>
          <w:rFonts w:ascii="Calibri" w:eastAsia="Times New Roman" w:hAnsi="Calibri" w:cs="Times New Roman"/>
          <w:i/>
          <w:iCs/>
          <w:color w:val="000000"/>
          <w:sz w:val="22"/>
          <w:szCs w:val="22"/>
        </w:rPr>
        <w:t>Option 1: Cons</w:t>
      </w:r>
    </w:p>
    <w:p w14:paraId="6C5E27B0" w14:textId="77777777" w:rsidR="00373D41" w:rsidRPr="00C42105" w:rsidRDefault="00373D41" w:rsidP="00867C33">
      <w:pPr>
        <w:rPr>
          <w:rFonts w:ascii="Calibri" w:eastAsia="Times New Roman" w:hAnsi="Calibri" w:cs="Times New Roman"/>
          <w:i/>
          <w:iCs/>
          <w:color w:val="000000"/>
          <w:sz w:val="22"/>
          <w:szCs w:val="22"/>
        </w:rPr>
      </w:pPr>
    </w:p>
    <w:p w14:paraId="38B58046" w14:textId="77777777" w:rsidR="00373D41" w:rsidRPr="00C42105" w:rsidRDefault="00373D41" w:rsidP="00373D41">
      <w:pPr>
        <w:rPr>
          <w:rFonts w:ascii="Calibri" w:hAnsi="Calibri"/>
          <w:b/>
          <w:bCs/>
          <w:color w:val="000000"/>
          <w:sz w:val="22"/>
          <w:szCs w:val="22"/>
          <w:u w:val="single"/>
        </w:rPr>
      </w:pPr>
    </w:p>
    <w:p w14:paraId="70D2A7ED" w14:textId="07F40D79" w:rsidR="00867C33" w:rsidRPr="00C42105" w:rsidRDefault="00FD55B8" w:rsidP="00373D41">
      <w:pPr>
        <w:rPr>
          <w:rFonts w:ascii="Calibri" w:hAnsi="Calibri"/>
          <w:color w:val="000000"/>
          <w:sz w:val="22"/>
          <w:szCs w:val="22"/>
        </w:rPr>
      </w:pPr>
      <w:r w:rsidRPr="00C42105">
        <w:rPr>
          <w:rFonts w:ascii="Calibri" w:hAnsi="Calibri"/>
          <w:b/>
          <w:bCs/>
          <w:color w:val="000000"/>
          <w:sz w:val="22"/>
          <w:szCs w:val="22"/>
          <w:u w:val="single"/>
        </w:rPr>
        <w:t>Option 2</w:t>
      </w:r>
      <w:r w:rsidR="00867C33" w:rsidRPr="00C42105">
        <w:rPr>
          <w:rFonts w:ascii="Calibri" w:hAnsi="Calibri"/>
          <w:b/>
          <w:bCs/>
          <w:color w:val="000000"/>
          <w:sz w:val="22"/>
          <w:szCs w:val="22"/>
          <w:u w:val="single"/>
        </w:rPr>
        <w:t>:</w:t>
      </w:r>
      <w:r w:rsidRPr="00C42105">
        <w:rPr>
          <w:rFonts w:ascii="Calibri" w:hAnsi="Calibri"/>
          <w:b/>
          <w:bCs/>
          <w:color w:val="000000"/>
          <w:sz w:val="22"/>
          <w:szCs w:val="22"/>
          <w:u w:val="single"/>
        </w:rPr>
        <w:t xml:space="preserve"> Allow each P</w:t>
      </w:r>
      <w:r w:rsidR="0017632A" w:rsidRPr="00C42105">
        <w:rPr>
          <w:rFonts w:ascii="Calibri" w:hAnsi="Calibri"/>
          <w:b/>
          <w:bCs/>
          <w:color w:val="000000"/>
          <w:sz w:val="22"/>
          <w:szCs w:val="22"/>
          <w:u w:val="single"/>
        </w:rPr>
        <w:t xml:space="preserve">A </w:t>
      </w:r>
      <w:r w:rsidRPr="00C42105">
        <w:rPr>
          <w:rFonts w:ascii="Calibri" w:hAnsi="Calibri"/>
          <w:b/>
          <w:bCs/>
          <w:color w:val="000000"/>
          <w:sz w:val="22"/>
          <w:szCs w:val="22"/>
          <w:u w:val="single"/>
        </w:rPr>
        <w:t xml:space="preserve">to propose </w:t>
      </w:r>
      <w:r w:rsidR="00E52506" w:rsidRPr="00C42105">
        <w:rPr>
          <w:rFonts w:ascii="Calibri" w:hAnsi="Calibri"/>
          <w:b/>
          <w:bCs/>
          <w:color w:val="000000"/>
          <w:sz w:val="22"/>
          <w:szCs w:val="22"/>
          <w:u w:val="single"/>
        </w:rPr>
        <w:t>a definition of “</w:t>
      </w:r>
      <w:r w:rsidRPr="00C42105">
        <w:rPr>
          <w:rFonts w:ascii="Calibri" w:hAnsi="Calibri"/>
          <w:b/>
          <w:bCs/>
          <w:color w:val="000000"/>
          <w:sz w:val="22"/>
          <w:szCs w:val="22"/>
          <w:u w:val="single"/>
        </w:rPr>
        <w:t>underserved</w:t>
      </w:r>
      <w:r w:rsidR="00E52506" w:rsidRPr="00C42105">
        <w:rPr>
          <w:rFonts w:ascii="Calibri" w:hAnsi="Calibri"/>
          <w:b/>
          <w:bCs/>
          <w:color w:val="000000"/>
          <w:sz w:val="22"/>
          <w:szCs w:val="22"/>
          <w:u w:val="single"/>
        </w:rPr>
        <w:t xml:space="preserve">” in their February 2022 filing </w:t>
      </w:r>
      <w:r w:rsidRPr="00C42105">
        <w:rPr>
          <w:rFonts w:ascii="Calibri" w:hAnsi="Calibri"/>
          <w:b/>
          <w:bCs/>
          <w:color w:val="000000"/>
          <w:sz w:val="22"/>
          <w:szCs w:val="22"/>
          <w:u w:val="single"/>
        </w:rPr>
        <w:t xml:space="preserve">and let the </w:t>
      </w:r>
      <w:r w:rsidR="007A4D56" w:rsidRPr="00C42105">
        <w:rPr>
          <w:rFonts w:ascii="Calibri" w:hAnsi="Calibri"/>
          <w:b/>
          <w:bCs/>
          <w:color w:val="000000"/>
          <w:sz w:val="22"/>
          <w:szCs w:val="22"/>
          <w:u w:val="single"/>
        </w:rPr>
        <w:t>C</w:t>
      </w:r>
      <w:r w:rsidRPr="00C42105">
        <w:rPr>
          <w:rFonts w:ascii="Calibri" w:hAnsi="Calibri"/>
          <w:b/>
          <w:bCs/>
          <w:color w:val="000000"/>
          <w:sz w:val="22"/>
          <w:szCs w:val="22"/>
          <w:u w:val="single"/>
        </w:rPr>
        <w:t>ommission decide</w:t>
      </w:r>
      <w:r w:rsidR="00D4119D" w:rsidRPr="00C42105">
        <w:rPr>
          <w:rFonts w:ascii="Calibri" w:hAnsi="Calibri"/>
          <w:b/>
          <w:bCs/>
          <w:color w:val="000000"/>
          <w:sz w:val="22"/>
          <w:szCs w:val="22"/>
          <w:u w:val="single"/>
        </w:rPr>
        <w:t>.</w:t>
      </w:r>
    </w:p>
    <w:p w14:paraId="21BAF9E5" w14:textId="77777777" w:rsidR="00D4119D" w:rsidRPr="00C42105" w:rsidRDefault="00D4119D" w:rsidP="00867C33">
      <w:pPr>
        <w:rPr>
          <w:rFonts w:ascii="Calibri" w:eastAsia="Times New Roman" w:hAnsi="Calibri" w:cs="Times New Roman"/>
          <w:i/>
          <w:iCs/>
          <w:color w:val="000000"/>
          <w:sz w:val="22"/>
          <w:szCs w:val="22"/>
        </w:rPr>
      </w:pPr>
    </w:p>
    <w:p w14:paraId="2C6517BC" w14:textId="671B69E9" w:rsidR="00867C33" w:rsidRPr="00C42105" w:rsidRDefault="00867C33" w:rsidP="00867C33">
      <w:pPr>
        <w:rPr>
          <w:rFonts w:ascii="Calibri" w:eastAsia="Times New Roman" w:hAnsi="Calibri" w:cs="Times New Roman"/>
          <w:i/>
          <w:iCs/>
          <w:color w:val="000000"/>
          <w:sz w:val="22"/>
          <w:szCs w:val="22"/>
        </w:rPr>
      </w:pPr>
      <w:r w:rsidRPr="00C42105">
        <w:rPr>
          <w:rFonts w:ascii="Calibri" w:eastAsia="Times New Roman" w:hAnsi="Calibri" w:cs="Times New Roman"/>
          <w:i/>
          <w:iCs/>
          <w:color w:val="000000"/>
          <w:sz w:val="22"/>
          <w:szCs w:val="22"/>
        </w:rPr>
        <w:t>Option 2: Pros</w:t>
      </w:r>
    </w:p>
    <w:p w14:paraId="5466DA5B" w14:textId="71CF44B6" w:rsidR="00CD73AD" w:rsidRPr="00C42105" w:rsidRDefault="00CD73AD" w:rsidP="00CD73AD">
      <w:pPr>
        <w:pStyle w:val="ListParagraph"/>
        <w:numPr>
          <w:ilvl w:val="0"/>
          <w:numId w:val="22"/>
        </w:numPr>
        <w:spacing w:before="0" w:beforeAutospacing="0" w:after="0" w:afterAutospacing="0"/>
        <w:rPr>
          <w:rFonts w:ascii="Calibri" w:hAnsi="Calibri"/>
          <w:color w:val="000000"/>
          <w:sz w:val="22"/>
          <w:szCs w:val="22"/>
        </w:rPr>
      </w:pPr>
      <w:r w:rsidRPr="00C42105">
        <w:rPr>
          <w:rFonts w:ascii="Calibri" w:hAnsi="Calibri"/>
          <w:color w:val="000000"/>
          <w:sz w:val="22"/>
          <w:szCs w:val="22"/>
        </w:rPr>
        <w:t>This allows for PA autonomy.</w:t>
      </w:r>
      <w:r w:rsidR="007A4D56" w:rsidRPr="00C42105">
        <w:rPr>
          <w:rFonts w:ascii="Calibri" w:hAnsi="Calibri"/>
          <w:color w:val="000000"/>
          <w:sz w:val="22"/>
          <w:szCs w:val="22"/>
        </w:rPr>
        <w:t xml:space="preserve"> This also allows for acknowledgment of the differences of this definition among the varied regions in the state, and allows the PAs to show how they intend to address the unique underserved communities within their territories.</w:t>
      </w:r>
    </w:p>
    <w:p w14:paraId="63902840" w14:textId="654E2573" w:rsidR="00867C33" w:rsidRPr="00C42105" w:rsidRDefault="00867C33" w:rsidP="00FD55B8">
      <w:pPr>
        <w:rPr>
          <w:rFonts w:ascii="Calibri" w:eastAsia="Times New Roman" w:hAnsi="Calibri" w:cs="Times New Roman"/>
          <w:color w:val="000000"/>
          <w:sz w:val="22"/>
          <w:szCs w:val="22"/>
        </w:rPr>
      </w:pPr>
    </w:p>
    <w:p w14:paraId="42DF0CF1" w14:textId="4648F460" w:rsidR="00867C33" w:rsidRPr="00C42105" w:rsidRDefault="00867C33" w:rsidP="00867C33">
      <w:pPr>
        <w:rPr>
          <w:rFonts w:ascii="Calibri" w:eastAsia="Times New Roman" w:hAnsi="Calibri" w:cs="Times New Roman"/>
          <w:i/>
          <w:iCs/>
          <w:color w:val="000000"/>
          <w:sz w:val="22"/>
          <w:szCs w:val="22"/>
        </w:rPr>
      </w:pPr>
      <w:r w:rsidRPr="00C42105">
        <w:rPr>
          <w:rFonts w:ascii="Calibri" w:eastAsia="Times New Roman" w:hAnsi="Calibri" w:cs="Times New Roman"/>
          <w:i/>
          <w:iCs/>
          <w:color w:val="000000"/>
          <w:sz w:val="22"/>
          <w:szCs w:val="22"/>
        </w:rPr>
        <w:t>Option 2: Cons</w:t>
      </w:r>
    </w:p>
    <w:p w14:paraId="2748F472" w14:textId="582934D3" w:rsidR="00CD73AD" w:rsidRPr="00C42105" w:rsidRDefault="00814305" w:rsidP="00CD73AD">
      <w:pPr>
        <w:pStyle w:val="ListParagraph"/>
        <w:numPr>
          <w:ilvl w:val="0"/>
          <w:numId w:val="23"/>
        </w:numPr>
        <w:spacing w:before="0" w:beforeAutospacing="0" w:after="0" w:afterAutospacing="0"/>
        <w:rPr>
          <w:rFonts w:ascii="Calibri" w:hAnsi="Calibri"/>
          <w:color w:val="000000"/>
          <w:sz w:val="22"/>
          <w:szCs w:val="22"/>
        </w:rPr>
      </w:pPr>
      <w:r w:rsidRPr="00C42105">
        <w:rPr>
          <w:rFonts w:ascii="Calibri" w:hAnsi="Calibri"/>
          <w:color w:val="000000"/>
          <w:sz w:val="22"/>
          <w:szCs w:val="22"/>
        </w:rPr>
        <w:t>Having each PA propose its own definition could create</w:t>
      </w:r>
      <w:r w:rsidR="00BF1C07" w:rsidRPr="00C42105">
        <w:rPr>
          <w:rFonts w:ascii="Calibri" w:hAnsi="Calibri"/>
          <w:color w:val="000000"/>
          <w:sz w:val="22"/>
          <w:szCs w:val="22"/>
        </w:rPr>
        <w:t xml:space="preserve"> </w:t>
      </w:r>
      <w:r w:rsidRPr="00C42105">
        <w:rPr>
          <w:rFonts w:ascii="Calibri" w:hAnsi="Calibri"/>
          <w:color w:val="000000"/>
          <w:sz w:val="22"/>
          <w:szCs w:val="22"/>
        </w:rPr>
        <w:t>confusion.</w:t>
      </w:r>
    </w:p>
    <w:p w14:paraId="0FAD4BE4" w14:textId="577F8A5D" w:rsidR="00814305" w:rsidRPr="00C42105" w:rsidRDefault="00814305" w:rsidP="00CD73AD">
      <w:pPr>
        <w:pStyle w:val="ListParagraph"/>
        <w:numPr>
          <w:ilvl w:val="0"/>
          <w:numId w:val="23"/>
        </w:numPr>
        <w:spacing w:before="0" w:beforeAutospacing="0" w:after="0" w:afterAutospacing="0"/>
        <w:rPr>
          <w:rFonts w:ascii="Calibri" w:hAnsi="Calibri"/>
          <w:color w:val="000000"/>
          <w:sz w:val="22"/>
          <w:szCs w:val="22"/>
        </w:rPr>
      </w:pPr>
      <w:r w:rsidRPr="00C42105">
        <w:rPr>
          <w:rFonts w:ascii="Calibri" w:hAnsi="Calibri"/>
          <w:color w:val="000000"/>
          <w:sz w:val="22"/>
          <w:szCs w:val="22"/>
        </w:rPr>
        <w:t>There could be inconsistency in how programs are categorized for the equity segment.</w:t>
      </w:r>
    </w:p>
    <w:p w14:paraId="52EBEB67" w14:textId="70EBCADF" w:rsidR="00814305" w:rsidRPr="00C42105" w:rsidRDefault="00814305" w:rsidP="00CD73AD">
      <w:pPr>
        <w:pStyle w:val="ListParagraph"/>
        <w:numPr>
          <w:ilvl w:val="0"/>
          <w:numId w:val="23"/>
        </w:numPr>
        <w:spacing w:before="0" w:beforeAutospacing="0" w:after="0" w:afterAutospacing="0"/>
        <w:rPr>
          <w:rFonts w:ascii="Calibri" w:hAnsi="Calibri"/>
          <w:color w:val="000000"/>
          <w:sz w:val="22"/>
          <w:szCs w:val="22"/>
        </w:rPr>
      </w:pPr>
      <w:r w:rsidRPr="00C42105">
        <w:rPr>
          <w:rFonts w:ascii="Calibri" w:hAnsi="Calibri"/>
          <w:color w:val="000000"/>
          <w:sz w:val="22"/>
          <w:szCs w:val="22"/>
        </w:rPr>
        <w:t xml:space="preserve">Could present challenges to Energy Division and stakeholders to compare inconsistent categories across the various PAs when assessing the energy efficiency portfolios. </w:t>
      </w:r>
    </w:p>
    <w:p w14:paraId="20D2D1C9" w14:textId="36728255" w:rsidR="00814305" w:rsidRPr="00C42105" w:rsidRDefault="00814305" w:rsidP="00CD73AD">
      <w:pPr>
        <w:pStyle w:val="ListParagraph"/>
        <w:numPr>
          <w:ilvl w:val="0"/>
          <w:numId w:val="23"/>
        </w:numPr>
        <w:spacing w:before="0" w:beforeAutospacing="0" w:after="0" w:afterAutospacing="0"/>
        <w:rPr>
          <w:rFonts w:ascii="Calibri" w:hAnsi="Calibri"/>
          <w:color w:val="000000"/>
          <w:sz w:val="22"/>
          <w:szCs w:val="22"/>
        </w:rPr>
      </w:pPr>
      <w:r w:rsidRPr="00C42105">
        <w:rPr>
          <w:rFonts w:ascii="Calibri" w:hAnsi="Calibri"/>
          <w:color w:val="000000"/>
          <w:sz w:val="22"/>
          <w:szCs w:val="22"/>
        </w:rPr>
        <w:t xml:space="preserve">Would likely require the PAs to recategorize their programs after the Commission rules on what should be the definition of ‘underserved.’ </w:t>
      </w:r>
    </w:p>
    <w:p w14:paraId="54C06004" w14:textId="77777777" w:rsidR="00A22161" w:rsidRPr="006D78E1" w:rsidRDefault="00A22161" w:rsidP="00F440EF">
      <w:pPr>
        <w:rPr>
          <w:rFonts w:ascii="Calibri" w:hAnsi="Calibri"/>
          <w:b/>
          <w:bCs/>
        </w:rPr>
      </w:pPr>
    </w:p>
    <w:sectPr w:rsidR="00A22161" w:rsidRPr="006D78E1" w:rsidSect="00DE1689">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B2C9" w14:textId="77777777" w:rsidR="00C36A94" w:rsidRDefault="00C36A94" w:rsidP="00E1191B">
      <w:r>
        <w:separator/>
      </w:r>
    </w:p>
  </w:endnote>
  <w:endnote w:type="continuationSeparator" w:id="0">
    <w:p w14:paraId="42177D71" w14:textId="77777777" w:rsidR="00C36A94" w:rsidRDefault="00C36A94" w:rsidP="00E1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1890521"/>
      <w:docPartObj>
        <w:docPartGallery w:val="Page Numbers (Bottom of Page)"/>
        <w:docPartUnique/>
      </w:docPartObj>
    </w:sdtPr>
    <w:sdtEndPr>
      <w:rPr>
        <w:rStyle w:val="PageNumber"/>
      </w:rPr>
    </w:sdtEndPr>
    <w:sdtContent>
      <w:p w14:paraId="34DDDC9C" w14:textId="4A077B50" w:rsidR="00F440EF" w:rsidRDefault="00F440EF" w:rsidP="00CF23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F5983B" w14:textId="77777777" w:rsidR="00F440EF" w:rsidRDefault="00F440EF" w:rsidP="00F440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9196935"/>
      <w:docPartObj>
        <w:docPartGallery w:val="Page Numbers (Bottom of Page)"/>
        <w:docPartUnique/>
      </w:docPartObj>
    </w:sdtPr>
    <w:sdtEndPr>
      <w:rPr>
        <w:rStyle w:val="PageNumber"/>
      </w:rPr>
    </w:sdtEndPr>
    <w:sdtContent>
      <w:p w14:paraId="76C7C224" w14:textId="51908278" w:rsidR="00F440EF" w:rsidRDefault="00F440EF" w:rsidP="00AE61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B2D5FA" w14:textId="77777777" w:rsidR="00F440EF" w:rsidRDefault="00F440EF" w:rsidP="00F440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AC90" w14:textId="77777777" w:rsidR="00C36A94" w:rsidRDefault="00C36A94" w:rsidP="00E1191B">
      <w:r>
        <w:separator/>
      </w:r>
    </w:p>
  </w:footnote>
  <w:footnote w:type="continuationSeparator" w:id="0">
    <w:p w14:paraId="684A358E" w14:textId="77777777" w:rsidR="00C36A94" w:rsidRDefault="00C36A94" w:rsidP="00E1191B">
      <w:r>
        <w:continuationSeparator/>
      </w:r>
    </w:p>
  </w:footnote>
  <w:footnote w:id="1">
    <w:p w14:paraId="3EBEBB97" w14:textId="77777777" w:rsidR="008D38CB" w:rsidRPr="00CF2349" w:rsidRDefault="008D38CB" w:rsidP="008D38CB">
      <w:pPr>
        <w:pStyle w:val="FootnoteText"/>
        <w:rPr>
          <w:rFonts w:ascii="Calibri" w:hAnsi="Calibri" w:cs="Calibri"/>
          <w:sz w:val="16"/>
          <w:szCs w:val="16"/>
        </w:rPr>
      </w:pPr>
      <w:r>
        <w:rPr>
          <w:rStyle w:val="FootnoteReference"/>
        </w:rPr>
        <w:footnoteRef/>
      </w:r>
      <w:r>
        <w:t xml:space="preserve"> </w:t>
      </w:r>
      <w:r w:rsidRPr="00CF2349">
        <w:rPr>
          <w:rFonts w:ascii="Calibri" w:eastAsia="Times New Roman" w:hAnsi="Calibri" w:cs="Calibri"/>
          <w:color w:val="000000"/>
          <w:sz w:val="16"/>
          <w:szCs w:val="16"/>
        </w:rPr>
        <w:t xml:space="preserve">D.21-05-031 “EE Potential &amp; Goals and Portfolio Approval &amp; Oversight”. May 20, 2021. </w:t>
      </w:r>
      <w:hyperlink r:id="rId1" w:history="1">
        <w:r w:rsidRPr="00CF2349">
          <w:rPr>
            <w:rStyle w:val="Hyperlink"/>
            <w:rFonts w:ascii="Calibri" w:hAnsi="Calibri" w:cs="Calibri"/>
            <w:sz w:val="16"/>
            <w:szCs w:val="16"/>
          </w:rPr>
          <w:t>https://www.caeecc.org/cpuc-documents</w:t>
        </w:r>
      </w:hyperlink>
    </w:p>
  </w:footnote>
  <w:footnote w:id="2">
    <w:p w14:paraId="3F4AE940" w14:textId="77777777" w:rsidR="008D38CB" w:rsidRPr="00CF2349" w:rsidRDefault="008D38CB" w:rsidP="008D38CB">
      <w:pPr>
        <w:pStyle w:val="FootnoteText"/>
        <w:rPr>
          <w:rFonts w:ascii="Calibri" w:hAnsi="Calibri" w:cs="Calibri"/>
          <w:sz w:val="16"/>
          <w:szCs w:val="16"/>
        </w:rPr>
      </w:pPr>
      <w:r w:rsidRPr="00CF2349">
        <w:rPr>
          <w:rStyle w:val="FootnoteReference"/>
          <w:rFonts w:ascii="Calibri" w:hAnsi="Calibri" w:cs="Calibri"/>
          <w:sz w:val="16"/>
          <w:szCs w:val="16"/>
        </w:rPr>
        <w:footnoteRef/>
      </w:r>
      <w:r w:rsidRPr="00CF2349">
        <w:rPr>
          <w:rFonts w:ascii="Calibri" w:hAnsi="Calibri" w:cs="Calibri"/>
          <w:sz w:val="16"/>
          <w:szCs w:val="16"/>
        </w:rPr>
        <w:t xml:space="preserve"> Ibid. Page 14</w:t>
      </w:r>
    </w:p>
  </w:footnote>
  <w:footnote w:id="3">
    <w:p w14:paraId="37E31977" w14:textId="2EBF1BA9" w:rsidR="008D38CB" w:rsidRPr="00CF2349" w:rsidRDefault="008D38CB" w:rsidP="008D38CB">
      <w:pPr>
        <w:rPr>
          <w:rFonts w:ascii="Calibri" w:hAnsi="Calibri" w:cs="Calibri"/>
          <w:sz w:val="16"/>
          <w:szCs w:val="16"/>
        </w:rPr>
      </w:pPr>
      <w:r w:rsidRPr="00CF2349">
        <w:rPr>
          <w:rStyle w:val="FootnoteReference"/>
          <w:rFonts w:ascii="Calibri" w:hAnsi="Calibri" w:cs="Calibri"/>
          <w:sz w:val="16"/>
          <w:szCs w:val="16"/>
        </w:rPr>
        <w:footnoteRef/>
      </w:r>
      <w:r w:rsidRPr="00CF2349">
        <w:rPr>
          <w:rFonts w:ascii="Calibri" w:hAnsi="Calibri" w:cs="Calibri"/>
          <w:sz w:val="16"/>
          <w:szCs w:val="16"/>
        </w:rPr>
        <w:t xml:space="preserve"> Ibid. Page 15, “We also clarify that the “equity” category is distinct from our separate low-income energy efficiency Energy Savings Assistance (ESA) programs, which have separate goals and regulatory treatment. While there is some overlap in customers within the target segments, the “equity” category is intended to be defined within the energy efficiency programs covered in this rulemaking that are not specifically targeting low-income populations with program offerings that low-income populations could receive at no cost from the ESA program.</w:t>
      </w:r>
      <w:r w:rsidRPr="00CF2349">
        <w:rPr>
          <w:rFonts w:ascii="Calibri" w:eastAsia="Times New Roman" w:hAnsi="Calibri" w:cs="Calibri"/>
          <w:color w:val="000000"/>
          <w:sz w:val="16"/>
          <w:szCs w:val="16"/>
        </w:rPr>
        <w:t xml:space="preserve">” </w:t>
      </w:r>
      <w:r w:rsidRPr="00CF2349">
        <w:rPr>
          <w:rFonts w:ascii="Calibri" w:hAnsi="Calibri" w:cs="Calibri"/>
          <w:sz w:val="16"/>
          <w:szCs w:val="16"/>
        </w:rPr>
        <w:t xml:space="preserve">Low-income customers are those that meet </w:t>
      </w:r>
      <w:hyperlink r:id="rId2" w:history="1">
        <w:r w:rsidRPr="00CF2349">
          <w:rPr>
            <w:rFonts w:ascii="Calibri" w:hAnsi="Calibri" w:cs="Calibri"/>
            <w:color w:val="002060"/>
            <w:sz w:val="16"/>
            <w:szCs w:val="16"/>
            <w:u w:val="single"/>
          </w:rPr>
          <w:t>CARE income guidelines</w:t>
        </w:r>
      </w:hyperlink>
      <w:r w:rsidRPr="00CF2349">
        <w:rPr>
          <w:rFonts w:ascii="Calibri" w:hAnsi="Calibri" w:cs="Calibri"/>
          <w:color w:val="002060"/>
          <w:sz w:val="16"/>
          <w:szCs w:val="16"/>
          <w:u w:val="single"/>
        </w:rPr>
        <w:t>.</w:t>
      </w:r>
      <w:r w:rsidRPr="00CF2349">
        <w:rPr>
          <w:rFonts w:ascii="Calibri" w:hAnsi="Calibri" w:cs="Calibri"/>
          <w:color w:val="002060"/>
          <w:sz w:val="16"/>
          <w:szCs w:val="16"/>
        </w:rPr>
        <w:t xml:space="preserve"> </w:t>
      </w:r>
      <w:r w:rsidR="00A22161">
        <w:rPr>
          <w:rFonts w:ascii="Calibri" w:hAnsi="Calibri" w:cs="Calibri"/>
          <w:sz w:val="16"/>
          <w:szCs w:val="16"/>
        </w:rPr>
        <w:t>For more background on ESA vs Equity segment eligibility, see the “Background for Eligibility Discussion” at the end of this document</w:t>
      </w:r>
    </w:p>
  </w:footnote>
  <w:footnote w:id="4">
    <w:p w14:paraId="4525CF09" w14:textId="2FD0876C" w:rsidR="00B05A88" w:rsidRPr="00CF2349" w:rsidRDefault="00B05A88">
      <w:pPr>
        <w:pStyle w:val="FootnoteText"/>
        <w:rPr>
          <w:rFonts w:ascii="Calibri" w:hAnsi="Calibri" w:cs="Calibri"/>
          <w:sz w:val="16"/>
          <w:szCs w:val="16"/>
        </w:rPr>
      </w:pPr>
      <w:r w:rsidRPr="00CF2349">
        <w:rPr>
          <w:rStyle w:val="FootnoteReference"/>
          <w:rFonts w:ascii="Calibri" w:hAnsi="Calibri" w:cs="Calibri"/>
          <w:sz w:val="16"/>
          <w:szCs w:val="16"/>
        </w:rPr>
        <w:footnoteRef/>
      </w:r>
      <w:r w:rsidRPr="00CF2349">
        <w:rPr>
          <w:rFonts w:ascii="Calibri" w:hAnsi="Calibri" w:cs="Calibri"/>
          <w:sz w:val="16"/>
          <w:szCs w:val="16"/>
        </w:rPr>
        <w:t xml:space="preserve"> D.18-05-041, Section 2.5.1, p.39.</w:t>
      </w:r>
    </w:p>
  </w:footnote>
  <w:footnote w:id="5">
    <w:p w14:paraId="1A32B1D7" w14:textId="4E4F494D" w:rsidR="009E74B1" w:rsidRPr="00CF2349" w:rsidRDefault="009E74B1">
      <w:pPr>
        <w:pStyle w:val="FootnoteText"/>
        <w:rPr>
          <w:sz w:val="16"/>
          <w:szCs w:val="16"/>
        </w:rPr>
      </w:pPr>
      <w:r w:rsidRPr="00CF2349">
        <w:rPr>
          <w:rStyle w:val="FootnoteReference"/>
          <w:sz w:val="16"/>
          <w:szCs w:val="16"/>
        </w:rPr>
        <w:footnoteRef/>
      </w:r>
      <w:r w:rsidRPr="00CF2349">
        <w:rPr>
          <w:sz w:val="16"/>
          <w:szCs w:val="16"/>
        </w:rPr>
        <w:t xml:space="preserve"> </w:t>
      </w:r>
      <w:r w:rsidRPr="00CF2349">
        <w:rPr>
          <w:rFonts w:ascii="Calibri" w:hAnsi="Calibri"/>
          <w:color w:val="000000"/>
          <w:sz w:val="16"/>
          <w:szCs w:val="16"/>
        </w:rPr>
        <w:t>D.18-05-041, p.48</w:t>
      </w:r>
    </w:p>
  </w:footnote>
  <w:footnote w:id="6">
    <w:p w14:paraId="5451CAD9" w14:textId="77777777" w:rsidR="00CE3D38" w:rsidRPr="00CF2349" w:rsidRDefault="00CE3D38" w:rsidP="00CE3D38">
      <w:pPr>
        <w:autoSpaceDE w:val="0"/>
        <w:autoSpaceDN w:val="0"/>
        <w:adjustRightInd w:val="0"/>
        <w:rPr>
          <w:rFonts w:ascii="Calibri" w:hAnsi="Calibri" w:cs="Calibri"/>
          <w:color w:val="548ED5"/>
          <w:sz w:val="16"/>
          <w:szCs w:val="16"/>
        </w:rPr>
      </w:pPr>
      <w:r>
        <w:rPr>
          <w:rStyle w:val="FootnoteReference"/>
        </w:rPr>
        <w:footnoteRef/>
      </w:r>
      <w:r>
        <w:t xml:space="preserve"> </w:t>
      </w:r>
      <w:r w:rsidRPr="00267E3F">
        <w:rPr>
          <w:rFonts w:ascii="Calibri" w:hAnsi="Calibri" w:cs="Calibri"/>
          <w:i/>
          <w:iCs/>
          <w:sz w:val="16"/>
          <w:szCs w:val="16"/>
        </w:rPr>
        <w:t>CPUC Environmental and Social Justice Action Plan.</w:t>
      </w:r>
      <w:r w:rsidRPr="00267E3F">
        <w:rPr>
          <w:rFonts w:ascii="Calibri" w:hAnsi="Calibri" w:cs="Calibri"/>
          <w:sz w:val="16"/>
          <w:szCs w:val="16"/>
        </w:rPr>
        <w:t xml:space="preserve"> V1, February 21, 2019. Page </w:t>
      </w:r>
      <w:r>
        <w:rPr>
          <w:rFonts w:ascii="Calibri" w:hAnsi="Calibri" w:cs="Calibri"/>
          <w:sz w:val="16"/>
          <w:szCs w:val="16"/>
        </w:rPr>
        <w:t>9</w:t>
      </w:r>
      <w:r w:rsidRPr="00CF2349">
        <w:rPr>
          <w:rFonts w:ascii="Calibri" w:hAnsi="Calibri" w:cs="Calibri"/>
          <w:sz w:val="16"/>
          <w:szCs w:val="16"/>
        </w:rPr>
        <w:t xml:space="preserve">. Available at </w:t>
      </w:r>
      <w:hyperlink r:id="rId3" w:history="1">
        <w:r w:rsidRPr="00CF2349">
          <w:rPr>
            <w:rStyle w:val="Hyperlink"/>
            <w:rFonts w:ascii="Calibri" w:hAnsi="Calibri" w:cs="Calibri"/>
            <w:sz w:val="16"/>
            <w:szCs w:val="16"/>
          </w:rPr>
          <w:t>https://www.cpuc.ca.gov/news-and-updates/newsroom/environmental-and-social-justice-action-plan</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BCF"/>
    <w:multiLevelType w:val="multilevel"/>
    <w:tmpl w:val="4092A0E0"/>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349143B"/>
    <w:multiLevelType w:val="multilevel"/>
    <w:tmpl w:val="7BAE4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14576"/>
    <w:multiLevelType w:val="multilevel"/>
    <w:tmpl w:val="0E8E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D44FA"/>
    <w:multiLevelType w:val="hybridMultilevel"/>
    <w:tmpl w:val="EE5E20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A2BB4"/>
    <w:multiLevelType w:val="hybridMultilevel"/>
    <w:tmpl w:val="BBC0425C"/>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E280BB2"/>
    <w:multiLevelType w:val="multilevel"/>
    <w:tmpl w:val="CA4C7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E3655"/>
    <w:multiLevelType w:val="multilevel"/>
    <w:tmpl w:val="39524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64B3D"/>
    <w:multiLevelType w:val="multilevel"/>
    <w:tmpl w:val="4092A0E0"/>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7ED725E"/>
    <w:multiLevelType w:val="multilevel"/>
    <w:tmpl w:val="4092A0E0"/>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2BF6462C"/>
    <w:multiLevelType w:val="multilevel"/>
    <w:tmpl w:val="82B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D6249C"/>
    <w:multiLevelType w:val="multilevel"/>
    <w:tmpl w:val="4092A0E0"/>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7310685"/>
    <w:multiLevelType w:val="multilevel"/>
    <w:tmpl w:val="4092A0E0"/>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43026A0D"/>
    <w:multiLevelType w:val="multilevel"/>
    <w:tmpl w:val="6562C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2A33"/>
    <w:multiLevelType w:val="multilevel"/>
    <w:tmpl w:val="3D48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4204C7"/>
    <w:multiLevelType w:val="multilevel"/>
    <w:tmpl w:val="0BC6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2571E"/>
    <w:multiLevelType w:val="multilevel"/>
    <w:tmpl w:val="D66A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B7257C"/>
    <w:multiLevelType w:val="hybridMultilevel"/>
    <w:tmpl w:val="6258568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65280DDE"/>
    <w:multiLevelType w:val="multilevel"/>
    <w:tmpl w:val="493C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2E1D11"/>
    <w:multiLevelType w:val="multilevel"/>
    <w:tmpl w:val="B80E9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8E3DB8"/>
    <w:multiLevelType w:val="multilevel"/>
    <w:tmpl w:val="EF9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2B53DC"/>
    <w:multiLevelType w:val="multilevel"/>
    <w:tmpl w:val="C8CE3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5410BE"/>
    <w:multiLevelType w:val="multilevel"/>
    <w:tmpl w:val="0354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507650"/>
    <w:multiLevelType w:val="multilevel"/>
    <w:tmpl w:val="40C8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1"/>
  </w:num>
  <w:num w:numId="3">
    <w:abstractNumId w:val="19"/>
  </w:num>
  <w:num w:numId="4">
    <w:abstractNumId w:val="2"/>
  </w:num>
  <w:num w:numId="5">
    <w:abstractNumId w:val="17"/>
  </w:num>
  <w:num w:numId="6">
    <w:abstractNumId w:val="15"/>
  </w:num>
  <w:num w:numId="7">
    <w:abstractNumId w:val="22"/>
  </w:num>
  <w:num w:numId="8">
    <w:abstractNumId w:val="21"/>
  </w:num>
  <w:num w:numId="9">
    <w:abstractNumId w:val="13"/>
  </w:num>
  <w:num w:numId="10">
    <w:abstractNumId w:val="9"/>
  </w:num>
  <w:num w:numId="11">
    <w:abstractNumId w:val="20"/>
  </w:num>
  <w:num w:numId="12">
    <w:abstractNumId w:val="12"/>
  </w:num>
  <w:num w:numId="13">
    <w:abstractNumId w:val="5"/>
  </w:num>
  <w:num w:numId="14">
    <w:abstractNumId w:val="6"/>
  </w:num>
  <w:num w:numId="15">
    <w:abstractNumId w:val="1"/>
  </w:num>
  <w:num w:numId="16">
    <w:abstractNumId w:val="18"/>
  </w:num>
  <w:num w:numId="17">
    <w:abstractNumId w:val="16"/>
  </w:num>
  <w:num w:numId="18">
    <w:abstractNumId w:val="4"/>
  </w:num>
  <w:num w:numId="19">
    <w:abstractNumId w:val="3"/>
  </w:num>
  <w:num w:numId="20">
    <w:abstractNumId w:val="8"/>
  </w:num>
  <w:num w:numId="21">
    <w:abstractNumId w:val="7"/>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AB"/>
    <w:rsid w:val="00003F54"/>
    <w:rsid w:val="00086F59"/>
    <w:rsid w:val="000D708A"/>
    <w:rsid w:val="000F6F6B"/>
    <w:rsid w:val="000F7E2E"/>
    <w:rsid w:val="001020AD"/>
    <w:rsid w:val="00160978"/>
    <w:rsid w:val="0017632A"/>
    <w:rsid w:val="001D39BB"/>
    <w:rsid w:val="00210464"/>
    <w:rsid w:val="00247001"/>
    <w:rsid w:val="0025781F"/>
    <w:rsid w:val="00267E3F"/>
    <w:rsid w:val="0028432E"/>
    <w:rsid w:val="00293A0B"/>
    <w:rsid w:val="002B618F"/>
    <w:rsid w:val="00321135"/>
    <w:rsid w:val="00324A56"/>
    <w:rsid w:val="00350BF9"/>
    <w:rsid w:val="00371A69"/>
    <w:rsid w:val="00373D41"/>
    <w:rsid w:val="0043177E"/>
    <w:rsid w:val="00447142"/>
    <w:rsid w:val="0047138D"/>
    <w:rsid w:val="00483513"/>
    <w:rsid w:val="00485A31"/>
    <w:rsid w:val="004E4A4A"/>
    <w:rsid w:val="00582AF7"/>
    <w:rsid w:val="005D3EC2"/>
    <w:rsid w:val="00665516"/>
    <w:rsid w:val="006936AB"/>
    <w:rsid w:val="006C3D45"/>
    <w:rsid w:val="006D78E1"/>
    <w:rsid w:val="00701943"/>
    <w:rsid w:val="00745CF0"/>
    <w:rsid w:val="007863B1"/>
    <w:rsid w:val="007A4D56"/>
    <w:rsid w:val="007C3A8A"/>
    <w:rsid w:val="0080351B"/>
    <w:rsid w:val="00814305"/>
    <w:rsid w:val="00851CE8"/>
    <w:rsid w:val="00867C33"/>
    <w:rsid w:val="00896B53"/>
    <w:rsid w:val="008C79C3"/>
    <w:rsid w:val="008D38CB"/>
    <w:rsid w:val="008D6015"/>
    <w:rsid w:val="00907227"/>
    <w:rsid w:val="00922072"/>
    <w:rsid w:val="009502B9"/>
    <w:rsid w:val="00964706"/>
    <w:rsid w:val="00972F84"/>
    <w:rsid w:val="0099171E"/>
    <w:rsid w:val="009B3C54"/>
    <w:rsid w:val="009B6F4C"/>
    <w:rsid w:val="009C65BC"/>
    <w:rsid w:val="009E74B1"/>
    <w:rsid w:val="00A17F73"/>
    <w:rsid w:val="00A20A2B"/>
    <w:rsid w:val="00A22161"/>
    <w:rsid w:val="00A36537"/>
    <w:rsid w:val="00A91008"/>
    <w:rsid w:val="00AC4F49"/>
    <w:rsid w:val="00AD0758"/>
    <w:rsid w:val="00AE024C"/>
    <w:rsid w:val="00AE0877"/>
    <w:rsid w:val="00AE61FB"/>
    <w:rsid w:val="00B05A88"/>
    <w:rsid w:val="00B06A55"/>
    <w:rsid w:val="00B74C9D"/>
    <w:rsid w:val="00BE0298"/>
    <w:rsid w:val="00BF1C07"/>
    <w:rsid w:val="00C13A3E"/>
    <w:rsid w:val="00C20339"/>
    <w:rsid w:val="00C26FD4"/>
    <w:rsid w:val="00C36A94"/>
    <w:rsid w:val="00C42105"/>
    <w:rsid w:val="00C80824"/>
    <w:rsid w:val="00C920CE"/>
    <w:rsid w:val="00CD73AD"/>
    <w:rsid w:val="00CE3D38"/>
    <w:rsid w:val="00CF1BDD"/>
    <w:rsid w:val="00CF2349"/>
    <w:rsid w:val="00D21BE5"/>
    <w:rsid w:val="00D4119D"/>
    <w:rsid w:val="00D44350"/>
    <w:rsid w:val="00D533E5"/>
    <w:rsid w:val="00D73B5F"/>
    <w:rsid w:val="00D808B6"/>
    <w:rsid w:val="00D90330"/>
    <w:rsid w:val="00DA4AA7"/>
    <w:rsid w:val="00DC75B9"/>
    <w:rsid w:val="00DE1689"/>
    <w:rsid w:val="00E1191B"/>
    <w:rsid w:val="00E1497A"/>
    <w:rsid w:val="00E24786"/>
    <w:rsid w:val="00E52506"/>
    <w:rsid w:val="00F017C1"/>
    <w:rsid w:val="00F048B5"/>
    <w:rsid w:val="00F22E2A"/>
    <w:rsid w:val="00F440EF"/>
    <w:rsid w:val="00F83AF9"/>
    <w:rsid w:val="00FA7711"/>
    <w:rsid w:val="00FC1AB8"/>
    <w:rsid w:val="00FC666D"/>
    <w:rsid w:val="00FD55B8"/>
    <w:rsid w:val="00FE30C3"/>
    <w:rsid w:val="00FF7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55D7"/>
  <w15:chartTrackingRefBased/>
  <w15:docId w15:val="{BE4189FD-7A67-9944-94F1-673C83B7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8C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6A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936AB"/>
  </w:style>
  <w:style w:type="paragraph" w:styleId="Title">
    <w:name w:val="Title"/>
    <w:basedOn w:val="Normal"/>
    <w:next w:val="Normal"/>
    <w:link w:val="TitleChar"/>
    <w:uiPriority w:val="10"/>
    <w:qFormat/>
    <w:rsid w:val="009C65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5BC"/>
    <w:rPr>
      <w:rFonts w:asciiTheme="majorHAnsi" w:eastAsiaTheme="majorEastAsia" w:hAnsiTheme="majorHAnsi" w:cstheme="majorBidi"/>
      <w:spacing w:val="-10"/>
      <w:kern w:val="28"/>
      <w:sz w:val="56"/>
      <w:szCs w:val="56"/>
    </w:rPr>
  </w:style>
  <w:style w:type="paragraph" w:customStyle="1" w:styleId="xxmsonormal">
    <w:name w:val="xxmsonormal"/>
    <w:basedOn w:val="Normal"/>
    <w:rsid w:val="00E1191B"/>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1191B"/>
    <w:rPr>
      <w:sz w:val="20"/>
      <w:szCs w:val="20"/>
    </w:rPr>
  </w:style>
  <w:style w:type="character" w:customStyle="1" w:styleId="FootnoteTextChar">
    <w:name w:val="Footnote Text Char"/>
    <w:basedOn w:val="DefaultParagraphFont"/>
    <w:link w:val="FootnoteText"/>
    <w:uiPriority w:val="99"/>
    <w:semiHidden/>
    <w:rsid w:val="00E1191B"/>
    <w:rPr>
      <w:sz w:val="20"/>
      <w:szCs w:val="20"/>
    </w:rPr>
  </w:style>
  <w:style w:type="character" w:styleId="FootnoteReference">
    <w:name w:val="footnote reference"/>
    <w:basedOn w:val="DefaultParagraphFont"/>
    <w:uiPriority w:val="99"/>
    <w:semiHidden/>
    <w:unhideWhenUsed/>
    <w:rsid w:val="00E1191B"/>
    <w:rPr>
      <w:vertAlign w:val="superscript"/>
    </w:rPr>
  </w:style>
  <w:style w:type="character" w:styleId="Hyperlink">
    <w:name w:val="Hyperlink"/>
    <w:basedOn w:val="DefaultParagraphFont"/>
    <w:uiPriority w:val="99"/>
    <w:unhideWhenUsed/>
    <w:rsid w:val="00E1191B"/>
    <w:rPr>
      <w:color w:val="0563C1" w:themeColor="hyperlink"/>
      <w:u w:val="single"/>
    </w:rPr>
  </w:style>
  <w:style w:type="character" w:customStyle="1" w:styleId="Heading1Char">
    <w:name w:val="Heading 1 Char"/>
    <w:basedOn w:val="DefaultParagraphFont"/>
    <w:link w:val="Heading1"/>
    <w:uiPriority w:val="9"/>
    <w:rsid w:val="008D38CB"/>
    <w:rPr>
      <w:rFonts w:asciiTheme="majorHAnsi" w:eastAsiaTheme="majorEastAsia" w:hAnsiTheme="majorHAnsi" w:cstheme="majorBidi"/>
      <w:color w:val="2F5496" w:themeColor="accent1" w:themeShade="BF"/>
      <w:sz w:val="32"/>
      <w:szCs w:val="32"/>
    </w:rPr>
  </w:style>
  <w:style w:type="paragraph" w:customStyle="1" w:styleId="Default">
    <w:name w:val="Default"/>
    <w:rsid w:val="00F440EF"/>
    <w:pPr>
      <w:autoSpaceDE w:val="0"/>
      <w:autoSpaceDN w:val="0"/>
      <w:adjustRightInd w:val="0"/>
    </w:pPr>
    <w:rPr>
      <w:rFonts w:ascii="Book Antiqua" w:hAnsi="Book Antiqua" w:cs="Book Antiqua"/>
      <w:color w:val="000000"/>
    </w:rPr>
  </w:style>
  <w:style w:type="paragraph" w:styleId="Footer">
    <w:name w:val="footer"/>
    <w:basedOn w:val="Normal"/>
    <w:link w:val="FooterChar"/>
    <w:uiPriority w:val="99"/>
    <w:unhideWhenUsed/>
    <w:rsid w:val="00F440EF"/>
    <w:pPr>
      <w:tabs>
        <w:tab w:val="center" w:pos="4680"/>
        <w:tab w:val="right" w:pos="9360"/>
      </w:tabs>
    </w:pPr>
  </w:style>
  <w:style w:type="character" w:customStyle="1" w:styleId="FooterChar">
    <w:name w:val="Footer Char"/>
    <w:basedOn w:val="DefaultParagraphFont"/>
    <w:link w:val="Footer"/>
    <w:uiPriority w:val="99"/>
    <w:rsid w:val="00F440EF"/>
  </w:style>
  <w:style w:type="character" w:styleId="PageNumber">
    <w:name w:val="page number"/>
    <w:basedOn w:val="DefaultParagraphFont"/>
    <w:uiPriority w:val="99"/>
    <w:semiHidden/>
    <w:unhideWhenUsed/>
    <w:rsid w:val="00F440EF"/>
  </w:style>
  <w:style w:type="character" w:styleId="CommentReference">
    <w:name w:val="annotation reference"/>
    <w:basedOn w:val="DefaultParagraphFont"/>
    <w:uiPriority w:val="99"/>
    <w:semiHidden/>
    <w:unhideWhenUsed/>
    <w:rsid w:val="00C26FD4"/>
    <w:rPr>
      <w:sz w:val="16"/>
      <w:szCs w:val="16"/>
    </w:rPr>
  </w:style>
  <w:style w:type="paragraph" w:styleId="CommentText">
    <w:name w:val="annotation text"/>
    <w:basedOn w:val="Normal"/>
    <w:link w:val="CommentTextChar"/>
    <w:uiPriority w:val="99"/>
    <w:semiHidden/>
    <w:unhideWhenUsed/>
    <w:rsid w:val="00C26FD4"/>
    <w:rPr>
      <w:sz w:val="20"/>
      <w:szCs w:val="20"/>
    </w:rPr>
  </w:style>
  <w:style w:type="character" w:customStyle="1" w:styleId="CommentTextChar">
    <w:name w:val="Comment Text Char"/>
    <w:basedOn w:val="DefaultParagraphFont"/>
    <w:link w:val="CommentText"/>
    <w:uiPriority w:val="99"/>
    <w:semiHidden/>
    <w:rsid w:val="00C26FD4"/>
    <w:rPr>
      <w:sz w:val="20"/>
      <w:szCs w:val="20"/>
    </w:rPr>
  </w:style>
  <w:style w:type="paragraph" w:styleId="CommentSubject">
    <w:name w:val="annotation subject"/>
    <w:basedOn w:val="CommentText"/>
    <w:next w:val="CommentText"/>
    <w:link w:val="CommentSubjectChar"/>
    <w:uiPriority w:val="99"/>
    <w:semiHidden/>
    <w:unhideWhenUsed/>
    <w:rsid w:val="00C26FD4"/>
    <w:rPr>
      <w:b/>
      <w:bCs/>
    </w:rPr>
  </w:style>
  <w:style w:type="character" w:customStyle="1" w:styleId="CommentSubjectChar">
    <w:name w:val="Comment Subject Char"/>
    <w:basedOn w:val="CommentTextChar"/>
    <w:link w:val="CommentSubject"/>
    <w:uiPriority w:val="99"/>
    <w:semiHidden/>
    <w:rsid w:val="00C26FD4"/>
    <w:rPr>
      <w:b/>
      <w:bCs/>
      <w:sz w:val="20"/>
      <w:szCs w:val="20"/>
    </w:rPr>
  </w:style>
  <w:style w:type="paragraph" w:styleId="Header">
    <w:name w:val="header"/>
    <w:basedOn w:val="Normal"/>
    <w:link w:val="HeaderChar"/>
    <w:uiPriority w:val="99"/>
    <w:unhideWhenUsed/>
    <w:rsid w:val="00AE61FB"/>
    <w:pPr>
      <w:tabs>
        <w:tab w:val="center" w:pos="4680"/>
        <w:tab w:val="right" w:pos="9360"/>
      </w:tabs>
    </w:pPr>
  </w:style>
  <w:style w:type="character" w:customStyle="1" w:styleId="HeaderChar">
    <w:name w:val="Header Char"/>
    <w:basedOn w:val="DefaultParagraphFont"/>
    <w:link w:val="Header"/>
    <w:uiPriority w:val="99"/>
    <w:rsid w:val="00AE61FB"/>
  </w:style>
  <w:style w:type="paragraph" w:styleId="Revision">
    <w:name w:val="Revision"/>
    <w:hidden/>
    <w:uiPriority w:val="99"/>
    <w:semiHidden/>
    <w:rsid w:val="00F22E2A"/>
  </w:style>
  <w:style w:type="character" w:styleId="UnresolvedMention">
    <w:name w:val="Unresolved Mention"/>
    <w:basedOn w:val="DefaultParagraphFont"/>
    <w:uiPriority w:val="99"/>
    <w:semiHidden/>
    <w:unhideWhenUsed/>
    <w:rsid w:val="0080351B"/>
    <w:rPr>
      <w:color w:val="605E5C"/>
      <w:shd w:val="clear" w:color="auto" w:fill="E1DFDD"/>
    </w:rPr>
  </w:style>
  <w:style w:type="character" w:styleId="FollowedHyperlink">
    <w:name w:val="FollowedHyperlink"/>
    <w:basedOn w:val="DefaultParagraphFont"/>
    <w:uiPriority w:val="99"/>
    <w:semiHidden/>
    <w:unhideWhenUsed/>
    <w:rsid w:val="009502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1396">
      <w:bodyDiv w:val="1"/>
      <w:marLeft w:val="0"/>
      <w:marRight w:val="0"/>
      <w:marTop w:val="0"/>
      <w:marBottom w:val="0"/>
      <w:divBdr>
        <w:top w:val="none" w:sz="0" w:space="0" w:color="auto"/>
        <w:left w:val="none" w:sz="0" w:space="0" w:color="auto"/>
        <w:bottom w:val="none" w:sz="0" w:space="0" w:color="auto"/>
        <w:right w:val="none" w:sz="0" w:space="0" w:color="auto"/>
      </w:divBdr>
    </w:div>
    <w:div w:id="724450835">
      <w:bodyDiv w:val="1"/>
      <w:marLeft w:val="0"/>
      <w:marRight w:val="0"/>
      <w:marTop w:val="0"/>
      <w:marBottom w:val="0"/>
      <w:divBdr>
        <w:top w:val="none" w:sz="0" w:space="0" w:color="auto"/>
        <w:left w:val="none" w:sz="0" w:space="0" w:color="auto"/>
        <w:bottom w:val="none" w:sz="0" w:space="0" w:color="auto"/>
        <w:right w:val="none" w:sz="0" w:space="0" w:color="auto"/>
      </w:divBdr>
      <w:divsChild>
        <w:div w:id="693044839">
          <w:marLeft w:val="0"/>
          <w:marRight w:val="0"/>
          <w:marTop w:val="0"/>
          <w:marBottom w:val="0"/>
          <w:divBdr>
            <w:top w:val="none" w:sz="0" w:space="0" w:color="auto"/>
            <w:left w:val="none" w:sz="0" w:space="0" w:color="auto"/>
            <w:bottom w:val="none" w:sz="0" w:space="0" w:color="auto"/>
            <w:right w:val="none" w:sz="0" w:space="0" w:color="auto"/>
          </w:divBdr>
        </w:div>
        <w:div w:id="855072408">
          <w:marLeft w:val="0"/>
          <w:marRight w:val="0"/>
          <w:marTop w:val="0"/>
          <w:marBottom w:val="0"/>
          <w:divBdr>
            <w:top w:val="none" w:sz="0" w:space="0" w:color="auto"/>
            <w:left w:val="none" w:sz="0" w:space="0" w:color="auto"/>
            <w:bottom w:val="none" w:sz="0" w:space="0" w:color="auto"/>
            <w:right w:val="none" w:sz="0" w:space="0" w:color="auto"/>
          </w:divBdr>
        </w:div>
        <w:div w:id="15741753">
          <w:marLeft w:val="0"/>
          <w:marRight w:val="0"/>
          <w:marTop w:val="0"/>
          <w:marBottom w:val="0"/>
          <w:divBdr>
            <w:top w:val="none" w:sz="0" w:space="0" w:color="auto"/>
            <w:left w:val="none" w:sz="0" w:space="0" w:color="auto"/>
            <w:bottom w:val="none" w:sz="0" w:space="0" w:color="auto"/>
            <w:right w:val="none" w:sz="0" w:space="0" w:color="auto"/>
          </w:divBdr>
        </w:div>
        <w:div w:id="636380697">
          <w:marLeft w:val="0"/>
          <w:marRight w:val="0"/>
          <w:marTop w:val="0"/>
          <w:marBottom w:val="0"/>
          <w:divBdr>
            <w:top w:val="none" w:sz="0" w:space="0" w:color="auto"/>
            <w:left w:val="none" w:sz="0" w:space="0" w:color="auto"/>
            <w:bottom w:val="none" w:sz="0" w:space="0" w:color="auto"/>
            <w:right w:val="none" w:sz="0" w:space="0" w:color="auto"/>
          </w:divBdr>
        </w:div>
        <w:div w:id="1863319950">
          <w:marLeft w:val="0"/>
          <w:marRight w:val="0"/>
          <w:marTop w:val="0"/>
          <w:marBottom w:val="0"/>
          <w:divBdr>
            <w:top w:val="none" w:sz="0" w:space="0" w:color="auto"/>
            <w:left w:val="none" w:sz="0" w:space="0" w:color="auto"/>
            <w:bottom w:val="none" w:sz="0" w:space="0" w:color="auto"/>
            <w:right w:val="none" w:sz="0" w:space="0" w:color="auto"/>
          </w:divBdr>
          <w:divsChild>
            <w:div w:id="1944342003">
              <w:marLeft w:val="0"/>
              <w:marRight w:val="0"/>
              <w:marTop w:val="0"/>
              <w:marBottom w:val="0"/>
              <w:divBdr>
                <w:top w:val="none" w:sz="0" w:space="0" w:color="auto"/>
                <w:left w:val="none" w:sz="0" w:space="0" w:color="auto"/>
                <w:bottom w:val="none" w:sz="0" w:space="0" w:color="auto"/>
                <w:right w:val="none" w:sz="0" w:space="0" w:color="auto"/>
              </w:divBdr>
            </w:div>
            <w:div w:id="2120680557">
              <w:marLeft w:val="0"/>
              <w:marRight w:val="0"/>
              <w:marTop w:val="0"/>
              <w:marBottom w:val="0"/>
              <w:divBdr>
                <w:top w:val="none" w:sz="0" w:space="0" w:color="auto"/>
                <w:left w:val="none" w:sz="0" w:space="0" w:color="auto"/>
                <w:bottom w:val="none" w:sz="0" w:space="0" w:color="auto"/>
                <w:right w:val="none" w:sz="0" w:space="0" w:color="auto"/>
              </w:divBdr>
            </w:div>
            <w:div w:id="16765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2451">
      <w:bodyDiv w:val="1"/>
      <w:marLeft w:val="0"/>
      <w:marRight w:val="0"/>
      <w:marTop w:val="0"/>
      <w:marBottom w:val="0"/>
      <w:divBdr>
        <w:top w:val="none" w:sz="0" w:space="0" w:color="auto"/>
        <w:left w:val="none" w:sz="0" w:space="0" w:color="auto"/>
        <w:bottom w:val="none" w:sz="0" w:space="0" w:color="auto"/>
        <w:right w:val="none" w:sz="0" w:space="0" w:color="auto"/>
      </w:divBdr>
    </w:div>
    <w:div w:id="853374502">
      <w:bodyDiv w:val="1"/>
      <w:marLeft w:val="0"/>
      <w:marRight w:val="0"/>
      <w:marTop w:val="0"/>
      <w:marBottom w:val="0"/>
      <w:divBdr>
        <w:top w:val="none" w:sz="0" w:space="0" w:color="auto"/>
        <w:left w:val="none" w:sz="0" w:space="0" w:color="auto"/>
        <w:bottom w:val="none" w:sz="0" w:space="0" w:color="auto"/>
        <w:right w:val="none" w:sz="0" w:space="0" w:color="auto"/>
      </w:divBdr>
    </w:div>
    <w:div w:id="1506900285">
      <w:bodyDiv w:val="1"/>
      <w:marLeft w:val="0"/>
      <w:marRight w:val="0"/>
      <w:marTop w:val="0"/>
      <w:marBottom w:val="0"/>
      <w:divBdr>
        <w:top w:val="none" w:sz="0" w:space="0" w:color="auto"/>
        <w:left w:val="none" w:sz="0" w:space="0" w:color="auto"/>
        <w:bottom w:val="none" w:sz="0" w:space="0" w:color="auto"/>
        <w:right w:val="none" w:sz="0" w:space="0" w:color="auto"/>
      </w:divBdr>
    </w:div>
    <w:div w:id="1709182327">
      <w:bodyDiv w:val="1"/>
      <w:marLeft w:val="0"/>
      <w:marRight w:val="0"/>
      <w:marTop w:val="0"/>
      <w:marBottom w:val="0"/>
      <w:divBdr>
        <w:top w:val="none" w:sz="0" w:space="0" w:color="auto"/>
        <w:left w:val="none" w:sz="0" w:space="0" w:color="auto"/>
        <w:bottom w:val="none" w:sz="0" w:space="0" w:color="auto"/>
        <w:right w:val="none" w:sz="0" w:space="0" w:color="auto"/>
      </w:divBdr>
    </w:div>
    <w:div w:id="1837500801">
      <w:bodyDiv w:val="1"/>
      <w:marLeft w:val="0"/>
      <w:marRight w:val="0"/>
      <w:marTop w:val="0"/>
      <w:marBottom w:val="0"/>
      <w:divBdr>
        <w:top w:val="none" w:sz="0" w:space="0" w:color="auto"/>
        <w:left w:val="none" w:sz="0" w:space="0" w:color="auto"/>
        <w:bottom w:val="none" w:sz="0" w:space="0" w:color="auto"/>
        <w:right w:val="none" w:sz="0" w:space="0" w:color="auto"/>
      </w:divBdr>
    </w:div>
    <w:div w:id="199290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news-and-updates/newsroom/environmental-and-social-justice-action-plan" TargetMode="External"/><Relationship Id="rId2" Type="http://schemas.openxmlformats.org/officeDocument/2006/relationships/hyperlink" Target="https://www.cpuc.ca.gov/lowincomerates/" TargetMode="External"/><Relationship Id="rId1" Type="http://schemas.openxmlformats.org/officeDocument/2006/relationships/hyperlink" Target="https://www.caeecc.org/cpuc-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49BE671C20243961F37AC05F211E9" ma:contentTypeVersion="4" ma:contentTypeDescription="Create a new document." ma:contentTypeScope="" ma:versionID="e917405977c438f1972cf1fad98ed721">
  <xsd:schema xmlns:xsd="http://www.w3.org/2001/XMLSchema" xmlns:xs="http://www.w3.org/2001/XMLSchema" xmlns:p="http://schemas.microsoft.com/office/2006/metadata/properties" xmlns:ns2="6da183d1-d3bd-4cb5-ac0c-d97738cc4603" xmlns:ns3="863de82b-4276-407b-a630-c4d3e1405600" targetNamespace="http://schemas.microsoft.com/office/2006/metadata/properties" ma:root="true" ma:fieldsID="37379ca93519d159e17fea11fc741e88" ns2:_="" ns3:_="">
    <xsd:import namespace="6da183d1-d3bd-4cb5-ac0c-d97738cc4603"/>
    <xsd:import namespace="863de82b-4276-407b-a630-c4d3e14056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183d1-d3bd-4cb5-ac0c-d97738cc4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de82b-4276-407b-a630-c4d3e1405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A7F2B-48A0-4065-8C34-D607F9C3E469}">
  <ds:schemaRefs>
    <ds:schemaRef ds:uri="http://schemas.microsoft.com/sharepoint/v3/contenttype/forms"/>
  </ds:schemaRefs>
</ds:datastoreItem>
</file>

<file path=customXml/itemProps2.xml><?xml version="1.0" encoding="utf-8"?>
<ds:datastoreItem xmlns:ds="http://schemas.openxmlformats.org/officeDocument/2006/customXml" ds:itemID="{8FB3CC21-F185-4F73-8EFF-7664149BE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183d1-d3bd-4cb5-ac0c-d97738cc4603"/>
    <ds:schemaRef ds:uri="863de82b-4276-407b-a630-c4d3e1405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1F2F5-A9AD-154B-808A-7E5A22B72DC9}">
  <ds:schemaRefs>
    <ds:schemaRef ds:uri="http://schemas.openxmlformats.org/officeDocument/2006/bibliography"/>
  </ds:schemaRefs>
</ds:datastoreItem>
</file>

<file path=customXml/itemProps4.xml><?xml version="1.0" encoding="utf-8"?>
<ds:datastoreItem xmlns:ds="http://schemas.openxmlformats.org/officeDocument/2006/customXml" ds:itemID="{765F6B42-769A-4DCE-9DAC-2F677E3DA8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Mckeague Abrams</dc:creator>
  <cp:keywords/>
  <dc:description/>
  <cp:lastModifiedBy>Katherine Mckeague Abrams</cp:lastModifiedBy>
  <cp:revision>3</cp:revision>
  <dcterms:created xsi:type="dcterms:W3CDTF">2021-08-19T02:48:00Z</dcterms:created>
  <dcterms:modified xsi:type="dcterms:W3CDTF">2021-08-19T02:48:00Z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0x0101007CC49BE671C20243961F37AC05F211E9</vt:lpwstr>
  </property>
</Properties>
</file>