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FA10E" w14:textId="77777777" w:rsidR="00E67794" w:rsidRDefault="00E67794"/>
    <w:p w14:paraId="28D26C7B" w14:textId="77777777" w:rsidR="00E67794" w:rsidRDefault="00000000">
      <w:pPr>
        <w:pStyle w:val="Title"/>
      </w:pPr>
      <w:bookmarkStart w:id="0" w:name="_rm3betp6g5en" w:colFirst="0" w:colLast="0"/>
      <w:bookmarkEnd w:id="0"/>
      <w:r>
        <w:t>Semi-Annual 2025 Portfolio Performance Report Review</w:t>
      </w:r>
    </w:p>
    <w:p w14:paraId="2B986EB8" w14:textId="77777777" w:rsidR="00E67794" w:rsidRDefault="00000000">
      <w:pPr>
        <w:pStyle w:val="Subtitle"/>
        <w:rPr>
          <w:b/>
          <w:bCs/>
          <w:u w:val="single"/>
        </w:rPr>
      </w:pPr>
      <w:bookmarkStart w:id="1" w:name="_q1s901pe2gk7" w:colFirst="0" w:colLast="0"/>
      <w:bookmarkEnd w:id="1"/>
      <w:r>
        <w:t>November 6, 2025</w:t>
      </w:r>
    </w:p>
    <w:p w14:paraId="11DC5FFD" w14:textId="77777777" w:rsidR="00E67794" w:rsidRDefault="00000000">
      <w:pPr>
        <w:pStyle w:val="Heading1"/>
      </w:pPr>
      <w:bookmarkStart w:id="2" w:name="_wyxaprrcn6pg" w:colFirst="0" w:colLast="0"/>
      <w:bookmarkEnd w:id="2"/>
      <w:r>
        <w:t>Overview</w:t>
      </w:r>
    </w:p>
    <w:p w14:paraId="4E5B29E7" w14:textId="77777777" w:rsidR="00E67794" w:rsidRDefault="00000000">
      <w:pPr>
        <w:rPr>
          <w:i/>
          <w:iCs/>
        </w:rPr>
      </w:pPr>
      <w:r>
        <w:t xml:space="preserve">On November 6, 2025, Portfolio Administrators representatives presented their 2025 Semi-Annual Portfolio Performance Report Review to the California Energy Efficiency Committee (CAEECC) via Zoom. There were 104 attendees, including representatives from 20 CAEECC Member organizations and five representatives from three CAEECC Ex-Officio agencies as well as 79 Members of the Public </w:t>
      </w:r>
      <w:r>
        <w:rPr>
          <w:i/>
          <w:iCs/>
        </w:rPr>
        <w:t xml:space="preserve">(See </w:t>
      </w:r>
      <w:hyperlink w:anchor="_1ci93xb">
        <w:r>
          <w:rPr>
            <w:i/>
            <w:iCs/>
            <w:color w:val="1155CC"/>
            <w:u w:val="single"/>
          </w:rPr>
          <w:t>Appendix A</w:t>
        </w:r>
      </w:hyperlink>
      <w:r>
        <w:rPr>
          <w:i/>
          <w:iCs/>
        </w:rPr>
        <w:t xml:space="preserve"> for a full list of meeting registrants).</w:t>
      </w:r>
    </w:p>
    <w:p w14:paraId="1A635737" w14:textId="77777777" w:rsidR="00E67794" w:rsidRDefault="00000000">
      <w:pPr>
        <w:spacing w:before="200" w:after="200"/>
        <w:rPr>
          <w:b/>
          <w:bCs/>
        </w:rPr>
        <w:sectPr w:rsidR="00E67794">
          <w:headerReference w:type="default" r:id="rId7"/>
          <w:footerReference w:type="default" r:id="rId8"/>
          <w:footerReference w:type="first" r:id="rId9"/>
          <w:pgSz w:w="12240" w:h="15840"/>
          <w:pgMar w:top="1440" w:right="1440" w:bottom="1440" w:left="1440" w:header="720" w:footer="720" w:gutter="0"/>
          <w:pgNumType w:start="1"/>
          <w:cols w:space="720"/>
        </w:sectPr>
      </w:pPr>
      <w:r>
        <w:t>This meeting was facilitated by Katie Abrams (Abrams) of Birch Road Consulting and supported by Michelle Vigen Ralston (Ralston) and Mahal Garcia Liu (Garcia Liu) of Common Spark Consulting, as well as Susan Rivo (Rivo) of Raab Associates. Portfolio Administrator (PA) presenters and Questions &amp; Input support included:</w:t>
      </w:r>
    </w:p>
    <w:p w14:paraId="701599B7" w14:textId="77777777" w:rsidR="00E67794" w:rsidRDefault="00000000">
      <w:pPr>
        <w:ind w:left="360" w:right="-90"/>
      </w:pPr>
      <w:hyperlink w:anchor="_ozymyb6b9vsl">
        <w:r>
          <w:rPr>
            <w:b/>
            <w:bCs/>
            <w:color w:val="1155CC"/>
            <w:u w:val="single"/>
          </w:rPr>
          <w:t>I-REN</w:t>
        </w:r>
      </w:hyperlink>
      <w:r>
        <w:rPr>
          <w:b/>
          <w:bCs/>
        </w:rPr>
        <w:t xml:space="preserve">: </w:t>
      </w:r>
      <w:r>
        <w:t xml:space="preserve">Benjamin Druyon, Margaret Marchant, and Jesse Farber-Eger </w:t>
      </w:r>
    </w:p>
    <w:p w14:paraId="07B6FF4A" w14:textId="77777777" w:rsidR="00E67794" w:rsidRDefault="00000000">
      <w:pPr>
        <w:ind w:left="360" w:right="-90"/>
      </w:pPr>
      <w:hyperlink w:anchor="_caavqympwz75">
        <w:r>
          <w:rPr>
            <w:b/>
            <w:bCs/>
            <w:color w:val="1155CC"/>
            <w:u w:val="single"/>
          </w:rPr>
          <w:t>SDREN</w:t>
        </w:r>
      </w:hyperlink>
      <w:r>
        <w:t>: Aisha Cervantes-Cissna; Mark Alfaro, and Amy Whitehouse</w:t>
      </w:r>
    </w:p>
    <w:p w14:paraId="126C6C76" w14:textId="77777777" w:rsidR="00E67794" w:rsidRDefault="00000000">
      <w:pPr>
        <w:ind w:left="360" w:right="-90"/>
      </w:pPr>
      <w:hyperlink w:anchor="_hy77f8xqjwxc">
        <w:r>
          <w:rPr>
            <w:b/>
            <w:bCs/>
            <w:color w:val="1155CC"/>
            <w:u w:val="single"/>
          </w:rPr>
          <w:t>SCE</w:t>
        </w:r>
      </w:hyperlink>
      <w:r>
        <w:t>: Erica Keating</w:t>
      </w:r>
    </w:p>
    <w:p w14:paraId="6489B5A5" w14:textId="77777777" w:rsidR="00E67794" w:rsidRDefault="00000000">
      <w:pPr>
        <w:ind w:left="360" w:right="-90"/>
      </w:pPr>
      <w:hyperlink w:anchor="_3tcarmkyfegz">
        <w:r>
          <w:rPr>
            <w:b/>
            <w:bCs/>
            <w:color w:val="1155CC"/>
            <w:u w:val="single"/>
          </w:rPr>
          <w:t>SoCalGas</w:t>
        </w:r>
      </w:hyperlink>
      <w:r>
        <w:t>: Darren Hanway and Roy Christian</w:t>
      </w:r>
    </w:p>
    <w:p w14:paraId="120A5F6C" w14:textId="77777777" w:rsidR="00E67794" w:rsidRDefault="00000000">
      <w:pPr>
        <w:ind w:left="360" w:right="-90"/>
      </w:pPr>
      <w:hyperlink w:anchor="_7anxvlxuuiju">
        <w:r>
          <w:rPr>
            <w:b/>
            <w:bCs/>
            <w:color w:val="1155CC"/>
            <w:u w:val="single"/>
          </w:rPr>
          <w:t>SDG&amp;E</w:t>
        </w:r>
      </w:hyperlink>
      <w:r>
        <w:t>: Kelvin Valenzuela</w:t>
      </w:r>
    </w:p>
    <w:p w14:paraId="32FB7BF7" w14:textId="77777777" w:rsidR="00E67794" w:rsidRDefault="00000000">
      <w:pPr>
        <w:ind w:left="360" w:right="-90"/>
      </w:pPr>
      <w:hyperlink w:anchor="_respero9yn1g">
        <w:r>
          <w:rPr>
            <w:b/>
            <w:bCs/>
            <w:color w:val="1155CC"/>
            <w:u w:val="single"/>
          </w:rPr>
          <w:t>SoCalREN</w:t>
        </w:r>
      </w:hyperlink>
      <w:hyperlink w:anchor="_respero9yn1g">
        <w:r>
          <w:rPr>
            <w:color w:val="1155CC"/>
            <w:u w:val="single"/>
          </w:rPr>
          <w:t>:</w:t>
        </w:r>
      </w:hyperlink>
      <w:r>
        <w:t xml:space="preserve"> Lujuana Medina</w:t>
      </w:r>
    </w:p>
    <w:p w14:paraId="74CF8260" w14:textId="77777777" w:rsidR="00E67794" w:rsidRDefault="00000000">
      <w:pPr>
        <w:ind w:left="360" w:right="-90"/>
      </w:pPr>
      <w:hyperlink w:anchor="_h3zi2vlmy5jw">
        <w:r>
          <w:rPr>
            <w:b/>
            <w:bCs/>
            <w:color w:val="1155CC"/>
            <w:u w:val="single"/>
          </w:rPr>
          <w:t>BayREN</w:t>
        </w:r>
      </w:hyperlink>
      <w:r>
        <w:rPr>
          <w:b/>
          <w:bCs/>
        </w:rPr>
        <w:t xml:space="preserve">: </w:t>
      </w:r>
      <w:r>
        <w:t>Jane Elias and Tim Olsen</w:t>
      </w:r>
    </w:p>
    <w:p w14:paraId="57C9A04C" w14:textId="77777777" w:rsidR="00E67794" w:rsidRDefault="00000000">
      <w:pPr>
        <w:ind w:left="360" w:right="-90"/>
      </w:pPr>
      <w:hyperlink w:anchor="_2hpm0g5kxdi0">
        <w:r>
          <w:rPr>
            <w:b/>
            <w:bCs/>
            <w:color w:val="1155CC"/>
            <w:u w:val="single"/>
          </w:rPr>
          <w:t>NREN</w:t>
        </w:r>
      </w:hyperlink>
      <w:r>
        <w:rPr>
          <w:b/>
          <w:bCs/>
        </w:rPr>
        <w:t xml:space="preserve">: </w:t>
      </w:r>
      <w:r>
        <w:t xml:space="preserve">Patricia Terry, Stephen Kullman, Margaret Marchant, and Emily Carter </w:t>
      </w:r>
    </w:p>
    <w:p w14:paraId="6D177460" w14:textId="77777777" w:rsidR="00E67794" w:rsidRDefault="00000000">
      <w:pPr>
        <w:ind w:left="360" w:right="-90"/>
      </w:pPr>
      <w:hyperlink w:anchor="_s0s1k9yp9xi">
        <w:r>
          <w:rPr>
            <w:b/>
            <w:bCs/>
            <w:color w:val="1155CC"/>
            <w:u w:val="single"/>
          </w:rPr>
          <w:t>PG&amp;E:</w:t>
        </w:r>
      </w:hyperlink>
      <w:r>
        <w:rPr>
          <w:b/>
          <w:bCs/>
        </w:rPr>
        <w:t xml:space="preserve"> </w:t>
      </w:r>
      <w:r>
        <w:t>Lisa Hunter, Bill Roderick, Sam McNabola, Jake Richardson, and Rob Bohn</w:t>
      </w:r>
    </w:p>
    <w:p w14:paraId="37D86EE0" w14:textId="77777777" w:rsidR="00E67794" w:rsidRDefault="00000000">
      <w:pPr>
        <w:ind w:left="360" w:right="-90"/>
      </w:pPr>
      <w:hyperlink w:anchor="_yj0945ra897n">
        <w:r>
          <w:rPr>
            <w:b/>
            <w:bCs/>
            <w:color w:val="1155CC"/>
            <w:u w:val="single"/>
          </w:rPr>
          <w:t>MCE:</w:t>
        </w:r>
      </w:hyperlink>
      <w:r>
        <w:rPr>
          <w:b/>
          <w:bCs/>
        </w:rPr>
        <w:t xml:space="preserve"> </w:t>
      </w:r>
      <w:r>
        <w:t xml:space="preserve">Alice Havenar-Daughton and Alex Valenti </w:t>
      </w:r>
    </w:p>
    <w:p w14:paraId="052265B7" w14:textId="77777777" w:rsidR="00E67794" w:rsidRDefault="00000000">
      <w:pPr>
        <w:ind w:left="360" w:right="-90"/>
      </w:pPr>
      <w:hyperlink w:anchor="_k2baqeps654o">
        <w:r>
          <w:rPr>
            <w:b/>
            <w:bCs/>
            <w:color w:val="1155CC"/>
            <w:u w:val="single"/>
          </w:rPr>
          <w:t>3C-REN:</w:t>
        </w:r>
      </w:hyperlink>
      <w:r>
        <w:rPr>
          <w:b/>
          <w:bCs/>
        </w:rPr>
        <w:t xml:space="preserve"> </w:t>
      </w:r>
      <w:r>
        <w:t>Alejandra Tellez, Erica Helson, and Nancy Barba</w:t>
      </w:r>
    </w:p>
    <w:p w14:paraId="13A4C4E5" w14:textId="77777777" w:rsidR="00E67794" w:rsidRDefault="00000000">
      <w:pPr>
        <w:ind w:left="360" w:right="-90"/>
        <w:sectPr w:rsidR="00E67794">
          <w:type w:val="continuous"/>
          <w:pgSz w:w="12240" w:h="15840"/>
          <w:pgMar w:top="1440" w:right="1440" w:bottom="1440" w:left="1440" w:header="720" w:footer="720" w:gutter="0"/>
          <w:cols w:num="2" w:space="720" w:equalWidth="0">
            <w:col w:w="4320" w:space="720"/>
            <w:col w:w="4320" w:space="0"/>
          </w:cols>
        </w:sectPr>
      </w:pPr>
      <w:hyperlink w:anchor="_c4dios4uov2r">
        <w:r>
          <w:rPr>
            <w:b/>
            <w:bCs/>
            <w:color w:val="1155CC"/>
            <w:u w:val="single"/>
          </w:rPr>
          <w:t>CCR REN:</w:t>
        </w:r>
      </w:hyperlink>
      <w:hyperlink w:anchor="_c4dios4uov2r">
        <w:r>
          <w:rPr>
            <w:b/>
            <w:bCs/>
            <w:color w:val="1155CC"/>
          </w:rPr>
          <w:t xml:space="preserve"> </w:t>
        </w:r>
      </w:hyperlink>
      <w:r>
        <w:t>Jordan Garbayo, Amaury Bertaud, Dave Bruder, and Pam Bold</w:t>
      </w:r>
    </w:p>
    <w:p w14:paraId="33224D80" w14:textId="77777777" w:rsidR="00E67794" w:rsidRDefault="00E67794">
      <w:pPr>
        <w:ind w:right="-90"/>
        <w:sectPr w:rsidR="00E67794">
          <w:type w:val="continuous"/>
          <w:pgSz w:w="12240" w:h="15840"/>
          <w:pgMar w:top="1440" w:right="1440" w:bottom="1440" w:left="1440" w:header="720" w:footer="720" w:gutter="0"/>
          <w:cols w:space="720" w:equalWidth="0">
            <w:col w:w="9360" w:space="0"/>
          </w:cols>
        </w:sectPr>
      </w:pPr>
    </w:p>
    <w:p w14:paraId="4603E5D7" w14:textId="77777777" w:rsidR="00E67794" w:rsidRDefault="00000000">
      <w:pPr>
        <w:spacing w:before="200"/>
      </w:pPr>
      <w:r>
        <w:t xml:space="preserve">Relevant materials—including the Agenda, the Slide Deck, and templates are available at </w:t>
      </w:r>
      <w:hyperlink r:id="rId10">
        <w:r>
          <w:rPr>
            <w:color w:val="1155CC"/>
            <w:u w:val="single"/>
          </w:rPr>
          <w:t>https://www.caeecc.org/semi-annual-pppr</w:t>
        </w:r>
      </w:hyperlink>
      <w:r>
        <w:t xml:space="preserve"> </w:t>
      </w:r>
    </w:p>
    <w:p w14:paraId="1E9547BE" w14:textId="77777777" w:rsidR="00E67794" w:rsidRDefault="00000000">
      <w:pPr>
        <w:spacing w:before="200"/>
      </w:pPr>
      <w:r>
        <w:t>Key themes from the Semi-Annual 2025 Portfolio Performance Report Review:</w:t>
      </w:r>
    </w:p>
    <w:p w14:paraId="5FEE074F" w14:textId="77777777" w:rsidR="00E67794" w:rsidRDefault="00000000">
      <w:pPr>
        <w:numPr>
          <w:ilvl w:val="0"/>
          <w:numId w:val="12"/>
        </w:numPr>
        <w:rPr>
          <w:b/>
          <w:bCs/>
        </w:rPr>
      </w:pPr>
      <w:r>
        <w:rPr>
          <w:b/>
          <w:bCs/>
        </w:rPr>
        <w:t>Program Expansion and Marketing:</w:t>
      </w:r>
      <w:r>
        <w:t xml:space="preserve"> New Portfolio Administrators (PAs) are ramping up, with solicitations being released, contracts negotiated, and program </w:t>
      </w:r>
      <w:r>
        <w:lastRenderedPageBreak/>
        <w:t>marketing accelerating. Programs vary widely across PAs, with top Total System Benefit (TSB) measures differing to meet local priorities.</w:t>
      </w:r>
    </w:p>
    <w:p w14:paraId="499B3FE2" w14:textId="77777777" w:rsidR="00E67794" w:rsidRDefault="00000000">
      <w:pPr>
        <w:numPr>
          <w:ilvl w:val="0"/>
          <w:numId w:val="12"/>
        </w:numPr>
        <w:rPr>
          <w:b/>
          <w:bCs/>
        </w:rPr>
      </w:pPr>
      <w:r>
        <w:rPr>
          <w:b/>
          <w:bCs/>
        </w:rPr>
        <w:t xml:space="preserve">Workforce Development and Community Engagement: </w:t>
      </w:r>
      <w:r>
        <w:t>PA efforts focus on vocational training, certifications, educational pathways, and tools like contractor finders. Engagement with local governments and community-based contractors supports successful, locally tailored partnerships.</w:t>
      </w:r>
    </w:p>
    <w:p w14:paraId="63EEA74D" w14:textId="77777777" w:rsidR="00E67794" w:rsidRDefault="00000000">
      <w:pPr>
        <w:numPr>
          <w:ilvl w:val="0"/>
          <w:numId w:val="12"/>
        </w:numPr>
        <w:rPr>
          <w:b/>
          <w:bCs/>
        </w:rPr>
      </w:pPr>
      <w:r>
        <w:rPr>
          <w:b/>
          <w:bCs/>
        </w:rPr>
        <w:t>Affordability and Bill Impact</w:t>
      </w:r>
      <w:r>
        <w:t>: Programs consider multiple affordability factors, including bills, rates, and project costs. Solutions include layered incentives and bill impact tools to help customers understand costs after retrofits, with differing perspectives on how electrification and decarbonization affect utility bills.</w:t>
      </w:r>
    </w:p>
    <w:p w14:paraId="55952BE2" w14:textId="77777777" w:rsidR="00E67794" w:rsidRDefault="00000000">
      <w:pPr>
        <w:numPr>
          <w:ilvl w:val="0"/>
          <w:numId w:val="12"/>
        </w:numPr>
        <w:spacing w:after="200"/>
        <w:rPr>
          <w:b/>
          <w:bCs/>
        </w:rPr>
      </w:pPr>
      <w:r>
        <w:rPr>
          <w:b/>
          <w:bCs/>
        </w:rPr>
        <w:t>Challenges and Program Tradeoffs:</w:t>
      </w:r>
      <w:r>
        <w:t xml:space="preserve"> PAs navigate tradeoffs between TSB and Total Resource Cost (TRC) goals, high costs in non-resource programs, and pivots driven by federal deregulatory actions. Certain tools and parallel efforts, like the bill impact tool, merit further discussion to optimize program effectiveness.</w:t>
      </w:r>
    </w:p>
    <w:p w14:paraId="56C1610E" w14:textId="77777777" w:rsidR="00E67794" w:rsidRDefault="00000000">
      <w:pPr>
        <w:spacing w:before="240" w:line="240" w:lineRule="auto"/>
        <w:rPr>
          <w:i/>
          <w:iCs/>
          <w:highlight w:val="yellow"/>
        </w:rPr>
        <w:sectPr w:rsidR="00E67794">
          <w:type w:val="continuous"/>
          <w:pgSz w:w="12240" w:h="15840"/>
          <w:pgMar w:top="1440" w:right="1440" w:bottom="1440" w:left="1440" w:header="720" w:footer="720" w:gutter="0"/>
          <w:cols w:space="720"/>
        </w:sectPr>
      </w:pPr>
      <w:r>
        <w:rPr>
          <w:i/>
          <w:iCs/>
          <w:color w:val="2A2A2A"/>
        </w:rPr>
        <w:t xml:space="preserve">See </w:t>
      </w:r>
      <w:hyperlink w:anchor="_db5ii2h91wg0">
        <w:r>
          <w:rPr>
            <w:i/>
            <w:iCs/>
            <w:color w:val="1155CC"/>
            <w:u w:val="single"/>
          </w:rPr>
          <w:t xml:space="preserve">Appendix D for key acronyms used in this document. </w:t>
        </w:r>
      </w:hyperlink>
    </w:p>
    <w:p w14:paraId="53B53BC3" w14:textId="77777777" w:rsidR="00E67794" w:rsidRDefault="00000000">
      <w:pPr>
        <w:pStyle w:val="Heading1"/>
      </w:pPr>
      <w:bookmarkStart w:id="3" w:name="_2gs70ics5bbq" w:colFirst="0" w:colLast="0"/>
      <w:bookmarkEnd w:id="3"/>
      <w:r>
        <w:t>Performance Overview</w:t>
      </w:r>
    </w:p>
    <w:p w14:paraId="6AC29455" w14:textId="77777777" w:rsidR="00E67794" w:rsidRDefault="00000000">
      <w:pPr>
        <w:rPr>
          <w:sz w:val="20"/>
          <w:szCs w:val="20"/>
        </w:rPr>
      </w:pPr>
      <w:r>
        <w:rPr>
          <w:i/>
          <w:iCs/>
          <w:sz w:val="20"/>
          <w:szCs w:val="20"/>
        </w:rPr>
        <w:t xml:space="preserve">Slides: 16 - 27 </w:t>
      </w:r>
    </w:p>
    <w:p w14:paraId="45C181AE" w14:textId="77777777" w:rsidR="00E67794" w:rsidRDefault="00000000">
      <w:pPr>
        <w:spacing w:before="200"/>
      </w:pPr>
      <w:r>
        <w:t xml:space="preserve">Pam Rittelmeyer (CPUC Energy Division) presented a high-level overview of the performance review for the first half of 2025, covering achievements compared to targets, cost effectiveness (CE), expenditures, and Total System Benefit (TSB) achievement. </w:t>
      </w:r>
    </w:p>
    <w:p w14:paraId="2B98D345" w14:textId="77777777" w:rsidR="00E67794" w:rsidRDefault="00000000">
      <w:pPr>
        <w:pStyle w:val="Heading2"/>
        <w:keepNext w:val="0"/>
        <w:keepLines w:val="0"/>
      </w:pPr>
      <w:bookmarkStart w:id="4" w:name="_wk1t6fylrc7z" w:colFirst="0" w:colLast="0"/>
      <w:bookmarkEnd w:id="4"/>
      <w:r>
        <w:t>Summary of Discussion on Performance Overview</w:t>
      </w:r>
    </w:p>
    <w:p w14:paraId="20EDB67D" w14:textId="77777777" w:rsidR="00E67794" w:rsidRDefault="00000000">
      <w:pPr>
        <w:numPr>
          <w:ilvl w:val="0"/>
          <w:numId w:val="17"/>
        </w:numPr>
      </w:pPr>
      <w:r>
        <w:t xml:space="preserve">Energy Division clarified that the TSB progress slides present the Potential and Goals targets. A Member recommended that TSB should also be presented with the IOU PA forecasted goals as a point of reference. </w:t>
      </w:r>
    </w:p>
    <w:p w14:paraId="5A7EAAA2" w14:textId="77777777" w:rsidR="00E67794" w:rsidRDefault="00000000">
      <w:pPr>
        <w:spacing w:before="200" w:after="120" w:line="240" w:lineRule="auto"/>
      </w:pPr>
      <w:r>
        <w:rPr>
          <w:i/>
          <w:iCs/>
          <w:color w:val="2A2A2A"/>
        </w:rPr>
        <w:t xml:space="preserve">Questions, Responses, and Input are available in </w:t>
      </w:r>
      <w:hyperlink w:anchor="_spnwd1mc1cdl">
        <w:r>
          <w:rPr>
            <w:i/>
            <w:iCs/>
            <w:color w:val="1155CC"/>
            <w:u w:val="single"/>
          </w:rPr>
          <w:t>Appendix B: Energy Division Q&amp;A and Input</w:t>
        </w:r>
      </w:hyperlink>
    </w:p>
    <w:p w14:paraId="4864DECB" w14:textId="77777777" w:rsidR="00E67794" w:rsidRDefault="00000000">
      <w:pPr>
        <w:pStyle w:val="Heading1"/>
      </w:pPr>
      <w:bookmarkStart w:id="5" w:name="_6h1knhaans0h" w:colFirst="0" w:colLast="0"/>
      <w:bookmarkEnd w:id="5"/>
      <w:r>
        <w:t>Southern CA Performance Review</w:t>
      </w:r>
    </w:p>
    <w:p w14:paraId="60C3F8B2" w14:textId="77777777" w:rsidR="00E67794" w:rsidRDefault="00000000">
      <w:pPr>
        <w:rPr>
          <w:i/>
          <w:iCs/>
          <w:color w:val="2A2A2A"/>
          <w:sz w:val="20"/>
          <w:szCs w:val="20"/>
        </w:rPr>
      </w:pPr>
      <w:r>
        <w:rPr>
          <w:i/>
          <w:iCs/>
          <w:sz w:val="20"/>
          <w:szCs w:val="20"/>
        </w:rPr>
        <w:t>Slides:</w:t>
      </w:r>
      <w:r>
        <w:rPr>
          <w:i/>
          <w:iCs/>
          <w:color w:val="2A2A2A"/>
          <w:sz w:val="20"/>
          <w:szCs w:val="20"/>
        </w:rPr>
        <w:t xml:space="preserve"> 28 - 74 </w:t>
      </w:r>
    </w:p>
    <w:p w14:paraId="5928B488" w14:textId="77777777" w:rsidR="00E67794" w:rsidRDefault="00000000">
      <w:pPr>
        <w:spacing w:before="200"/>
      </w:pPr>
      <w:r>
        <w:t xml:space="preserve">I-REN, SDREN, SCE, SoCalGas, SDG&amp;E, and SoCalREN presented their respective 2025 Semi-Annual Portfolio Performance Report Review. Each presentation was followed by Questions &amp; Input from CAEECC Members and then by Members of the Public via Slido. </w:t>
      </w:r>
      <w:r>
        <w:lastRenderedPageBreak/>
        <w:t xml:space="preserve">The session concluded with a Regional Q&amp;A, providing attendees the opportunity to direct questions to any specific PA in the region or present high-level themes for multiple PAs to address. See the slides, posted to the meeting page, for the content of what was presented by each PA. The content below is a summary of discussion only - not of the PAs’ presentations. </w:t>
      </w:r>
    </w:p>
    <w:p w14:paraId="09A2A684" w14:textId="77777777" w:rsidR="00E67794" w:rsidRDefault="00000000">
      <w:pPr>
        <w:pStyle w:val="Heading2"/>
        <w:keepNext w:val="0"/>
        <w:keepLines w:val="0"/>
      </w:pPr>
      <w:bookmarkStart w:id="6" w:name="_ozymyb6b9vsl" w:colFirst="0" w:colLast="0"/>
      <w:bookmarkEnd w:id="6"/>
      <w:r>
        <w:t>Summary of Discussion on I-REN’s 2025 Semi-Annual Portfolio Performance Report Review</w:t>
      </w:r>
    </w:p>
    <w:p w14:paraId="3FDAD904" w14:textId="77777777" w:rsidR="00E67794" w:rsidRDefault="00000000">
      <w:pPr>
        <w:numPr>
          <w:ilvl w:val="0"/>
          <w:numId w:val="11"/>
        </w:numPr>
      </w:pPr>
      <w:r>
        <w:t>I-REN reported that it has successfully kept its Workforce, Education, and Training (WET) program running seamlessly and will continue its partnership with AmeriCorps.</w:t>
      </w:r>
    </w:p>
    <w:p w14:paraId="49C437BC" w14:textId="77777777" w:rsidR="00E67794" w:rsidRDefault="00000000">
      <w:pPr>
        <w:spacing w:before="200" w:after="120" w:line="240" w:lineRule="auto"/>
      </w:pPr>
      <w:r>
        <w:rPr>
          <w:i/>
          <w:iCs/>
          <w:color w:val="2A2A2A"/>
        </w:rPr>
        <w:t xml:space="preserve">Questions, Responses, and Input are available in </w:t>
      </w:r>
      <w:hyperlink w:anchor="_85j6eu1kxb0l">
        <w:r>
          <w:rPr>
            <w:i/>
            <w:iCs/>
            <w:color w:val="1155CC"/>
            <w:u w:val="single"/>
          </w:rPr>
          <w:t>Appendix B: I-REN Q&amp;A and Input</w:t>
        </w:r>
      </w:hyperlink>
    </w:p>
    <w:p w14:paraId="079AF381" w14:textId="77777777" w:rsidR="00E67794" w:rsidRDefault="00000000">
      <w:pPr>
        <w:pStyle w:val="Heading2"/>
        <w:keepNext w:val="0"/>
        <w:keepLines w:val="0"/>
      </w:pPr>
      <w:bookmarkStart w:id="7" w:name="_caavqympwz75" w:colFirst="0" w:colLast="0"/>
      <w:bookmarkEnd w:id="7"/>
      <w:r>
        <w:t>Summary of Discussion on SDREN’s 2025 Semi-Annual Portfolio Performance Report Review</w:t>
      </w:r>
    </w:p>
    <w:p w14:paraId="5E7C44EC" w14:textId="77777777" w:rsidR="00E67794" w:rsidRDefault="00000000">
      <w:r>
        <w:rPr>
          <w:i/>
          <w:iCs/>
        </w:rPr>
        <w:t xml:space="preserve">There were no questions posed to SDREN. </w:t>
      </w:r>
    </w:p>
    <w:p w14:paraId="606D0040" w14:textId="77777777" w:rsidR="00E67794" w:rsidRDefault="00000000">
      <w:pPr>
        <w:pStyle w:val="Heading2"/>
        <w:keepNext w:val="0"/>
        <w:keepLines w:val="0"/>
      </w:pPr>
      <w:bookmarkStart w:id="8" w:name="_hy77f8xqjwxc" w:colFirst="0" w:colLast="0"/>
      <w:bookmarkEnd w:id="8"/>
      <w:r>
        <w:t>Summary of Discussion on SCE’s 2025 Semi-Annual Portfolio Performance Report Review</w:t>
      </w:r>
    </w:p>
    <w:p w14:paraId="50AF9461" w14:textId="77777777" w:rsidR="00E67794" w:rsidRDefault="00000000">
      <w:pPr>
        <w:numPr>
          <w:ilvl w:val="0"/>
          <w:numId w:val="1"/>
        </w:numPr>
      </w:pPr>
      <w:r>
        <w:t>SCE clarified that despite recent guidance updates related to TSB and heat pump water heaters (HPWH), it continues to anticipate a large number of commercial projects.</w:t>
      </w:r>
    </w:p>
    <w:p w14:paraId="7ADC341D" w14:textId="77777777" w:rsidR="00E67794" w:rsidRDefault="00000000">
      <w:pPr>
        <w:spacing w:before="200" w:after="120" w:line="240" w:lineRule="auto"/>
      </w:pPr>
      <w:r>
        <w:rPr>
          <w:i/>
          <w:iCs/>
          <w:color w:val="2A2A2A"/>
        </w:rPr>
        <w:t xml:space="preserve">Questions, Responses, and Input are available in </w:t>
      </w:r>
      <w:hyperlink w:anchor="_qxfkwndpr4tt">
        <w:r>
          <w:rPr>
            <w:i/>
            <w:iCs/>
            <w:color w:val="1155CC"/>
            <w:u w:val="single"/>
          </w:rPr>
          <w:t>Appendix B: SCE Q&amp;A and Input</w:t>
        </w:r>
      </w:hyperlink>
    </w:p>
    <w:p w14:paraId="6CC8256F" w14:textId="77777777" w:rsidR="00E67794" w:rsidRDefault="00000000">
      <w:pPr>
        <w:pStyle w:val="Heading2"/>
        <w:keepNext w:val="0"/>
        <w:keepLines w:val="0"/>
      </w:pPr>
      <w:bookmarkStart w:id="9" w:name="_3tcarmkyfegz" w:colFirst="0" w:colLast="0"/>
      <w:bookmarkEnd w:id="9"/>
      <w:r>
        <w:t>Summary of Discussion on SoCalGas’ 2025 Semi-Annual Portfolio Performance Report Review</w:t>
      </w:r>
    </w:p>
    <w:p w14:paraId="5550F88D" w14:textId="77777777" w:rsidR="00E67794" w:rsidRDefault="00000000">
      <w:pPr>
        <w:numPr>
          <w:ilvl w:val="0"/>
          <w:numId w:val="4"/>
        </w:numPr>
      </w:pPr>
      <w:r>
        <w:t>SoCalGas explained that cross-cutting programs have a high percentage of TSB because they primarily consist of Codes and Standards (C&amp;S) activities. Regarding expenditures and Total Resource Cost (TRC), SoCalGas clarified that Workforce, Education, and Training (WET) programs, along with non-resource and market support activities, contribute to higher overall reported costs.</w:t>
      </w:r>
    </w:p>
    <w:p w14:paraId="1E5C2259" w14:textId="77777777" w:rsidR="00E67794" w:rsidRDefault="00000000">
      <w:pPr>
        <w:spacing w:before="200" w:after="120" w:line="240" w:lineRule="auto"/>
      </w:pPr>
      <w:r>
        <w:rPr>
          <w:i/>
          <w:iCs/>
          <w:color w:val="2A2A2A"/>
        </w:rPr>
        <w:t xml:space="preserve">Questions, Responses, and Input are available in </w:t>
      </w:r>
      <w:hyperlink w:anchor="_8cotogy9fdgj">
        <w:r>
          <w:rPr>
            <w:i/>
            <w:iCs/>
            <w:color w:val="1155CC"/>
            <w:u w:val="single"/>
          </w:rPr>
          <w:t>Appendix B: SoCalGas Q&amp;A and Input</w:t>
        </w:r>
      </w:hyperlink>
    </w:p>
    <w:p w14:paraId="4F9E841A" w14:textId="77777777" w:rsidR="00E67794" w:rsidRDefault="00000000">
      <w:pPr>
        <w:pStyle w:val="Heading2"/>
        <w:keepNext w:val="0"/>
        <w:keepLines w:val="0"/>
      </w:pPr>
      <w:bookmarkStart w:id="10" w:name="_7anxvlxuuiju" w:colFirst="0" w:colLast="0"/>
      <w:bookmarkEnd w:id="10"/>
      <w:r>
        <w:t>Summary of Discussion on SDG&amp;E’s 2025 Semi-Annual Portfolio Performance Report Review</w:t>
      </w:r>
    </w:p>
    <w:p w14:paraId="0F3EB623" w14:textId="77777777" w:rsidR="00E67794" w:rsidRDefault="00000000">
      <w:pPr>
        <w:numPr>
          <w:ilvl w:val="0"/>
          <w:numId w:val="22"/>
        </w:numPr>
      </w:pPr>
      <w:r>
        <w:lastRenderedPageBreak/>
        <w:t>SDG&amp;E explained that its current TSB goal is $45 million, while its forecasted TSB is approximately $73 million, placing it above target. SDG&amp;E noted that actual results often trend lower, referencing the prior year when outcomes were about 112% above goal. Overall, SDG&amp;E expects to remain above its TSB target but anticipates some downward adjustment.</w:t>
      </w:r>
    </w:p>
    <w:p w14:paraId="73DE0446" w14:textId="77777777" w:rsidR="00E67794" w:rsidRDefault="00000000">
      <w:pPr>
        <w:numPr>
          <w:ilvl w:val="0"/>
          <w:numId w:val="22"/>
        </w:numPr>
      </w:pPr>
      <w:r>
        <w:t xml:space="preserve">Regarding why SDG&amp;E shows negative kWh values for the commercial sector but positive values for residential, </w:t>
      </w:r>
      <w:commentRangeStart w:id="11"/>
      <w:r>
        <w:rPr>
          <w:color w:val="FF0000"/>
          <w:highlight w:val="yellow"/>
        </w:rPr>
        <w:t xml:space="preserve">SDG&amp;E explained that this is primarily due to fuel substitution measures; activities occur mostly in the commercial sector and result in reduced electricity savings, which appear as negative kWh values. </w:t>
      </w:r>
    </w:p>
    <w:p w14:paraId="2756EE0A" w14:textId="77777777" w:rsidR="00E67794" w:rsidRDefault="00000000">
      <w:pPr>
        <w:numPr>
          <w:ilvl w:val="0"/>
          <w:numId w:val="22"/>
        </w:numPr>
        <w:rPr>
          <w:color w:val="FF0000"/>
          <w:highlight w:val="yellow"/>
        </w:rPr>
      </w:pPr>
      <w:r>
        <w:rPr>
          <w:color w:val="FF0000"/>
          <w:highlight w:val="yellow"/>
        </w:rPr>
        <w:t xml:space="preserve">SDG&amp;E clarified that fuel fuel substitution is more regulated, defined as substituting gas for electric sources; more commonly, moving to propane is an example of fuel switching. </w:t>
      </w:r>
      <w:r>
        <w:rPr>
          <w:color w:val="FF0000"/>
          <w:highlight w:val="yellow"/>
        </w:rPr>
        <w:br/>
      </w:r>
      <w:commentRangeEnd w:id="11"/>
      <w:r>
        <w:rPr>
          <w:rStyle w:val="CommentReference"/>
          <w:color w:val="FF0000"/>
          <w:sz w:val="24"/>
          <w:szCs w:val="24"/>
          <w:highlight w:val="yellow"/>
        </w:rPr>
        <w:commentReference w:id="11"/>
      </w:r>
    </w:p>
    <w:p w14:paraId="4CF6ABCE" w14:textId="77777777" w:rsidR="00E67794" w:rsidRDefault="00000000">
      <w:r>
        <w:rPr>
          <w:i/>
          <w:iCs/>
          <w:color w:val="2A2A2A"/>
        </w:rPr>
        <w:t xml:space="preserve">Questions, Responses, and Input are available in </w:t>
      </w:r>
      <w:hyperlink w:anchor="_vot27cvirfez">
        <w:r>
          <w:rPr>
            <w:i/>
            <w:iCs/>
            <w:color w:val="1155CC"/>
            <w:u w:val="single"/>
          </w:rPr>
          <w:t>Appendix B: SDG&amp;E Q&amp;A and Input</w:t>
        </w:r>
      </w:hyperlink>
    </w:p>
    <w:p w14:paraId="2E29E430" w14:textId="77777777" w:rsidR="00E67794" w:rsidRDefault="00000000">
      <w:pPr>
        <w:pStyle w:val="Heading2"/>
        <w:keepNext w:val="0"/>
        <w:keepLines w:val="0"/>
      </w:pPr>
      <w:bookmarkStart w:id="12" w:name="_respero9yn1g" w:colFirst="0" w:colLast="0"/>
      <w:bookmarkEnd w:id="12"/>
      <w:r>
        <w:t>Summary of Discussion on SoCalREN’s 2025 Semi-Annual Portfolio Performance Report Review</w:t>
      </w:r>
    </w:p>
    <w:p w14:paraId="1823E3ED" w14:textId="77777777" w:rsidR="00E67794" w:rsidRDefault="00000000">
      <w:pPr>
        <w:numPr>
          <w:ilvl w:val="0"/>
          <w:numId w:val="6"/>
        </w:numPr>
        <w:rPr>
          <w:color w:val="000000"/>
        </w:rPr>
      </w:pPr>
      <w:r>
        <w:t xml:space="preserve">SoCalREN emphasized the importance of coordination with community-based organizations (CBO), noting that regional outreach can be challenging for PAs without local partners. SoCalREN has conducted outreach to assess community needs and expand regional partnerships. SoCalREN expressed appreciation for the Community-Based Design Collaborative’s (CBDC) support in engaging communities. </w:t>
      </w:r>
    </w:p>
    <w:p w14:paraId="33EBB073" w14:textId="77777777" w:rsidR="00E67794" w:rsidRDefault="00000000">
      <w:pPr>
        <w:spacing w:before="200" w:after="120" w:line="240" w:lineRule="auto"/>
      </w:pPr>
      <w:r>
        <w:rPr>
          <w:i/>
          <w:iCs/>
          <w:color w:val="2A2A2A"/>
        </w:rPr>
        <w:t xml:space="preserve">Questions, Responses, and Input are available in </w:t>
      </w:r>
      <w:hyperlink w:anchor="_i0lr3f7oy2ks">
        <w:r>
          <w:rPr>
            <w:i/>
            <w:iCs/>
            <w:color w:val="1155CC"/>
            <w:u w:val="single"/>
          </w:rPr>
          <w:t>Appendix B: SoCalREN Q&amp;A and Input</w:t>
        </w:r>
      </w:hyperlink>
    </w:p>
    <w:p w14:paraId="73DCEBD7" w14:textId="77777777" w:rsidR="00E67794" w:rsidRDefault="00000000">
      <w:pPr>
        <w:pStyle w:val="Heading2"/>
        <w:keepNext w:val="0"/>
        <w:keepLines w:val="0"/>
      </w:pPr>
      <w:bookmarkStart w:id="13" w:name="_db3ijfbdfht4" w:colFirst="0" w:colLast="0"/>
      <w:bookmarkEnd w:id="13"/>
      <w:r>
        <w:t>Southern CA Regional Q&amp;A</w:t>
      </w:r>
    </w:p>
    <w:p w14:paraId="7D507C8E" w14:textId="77777777" w:rsidR="00E67794" w:rsidRDefault="00000000">
      <w:pPr>
        <w:numPr>
          <w:ilvl w:val="0"/>
          <w:numId w:val="20"/>
        </w:numPr>
      </w:pPr>
      <w:r>
        <w:t xml:space="preserve">SoCalREN acknowledged that coordination with utility partners around energy affordability has been limited, but emphasized recent efforts to strengthen collaboration. As administrator of the California Energy Commission’s Equitable Building Decarbonization (CEC EBD), SoCalREN has partnered with Energy Savings Assistance Program (ESAP) teams and electrification staff at SoCalGas and SCE to align retrofit projects, and conducted bill impact analyses to assess customer benefits from all rates within the SoCal EBD program (this will include SCE, SDG&amp;E, SCG, LADWP, etc). SoCalREN plans to develop a bill impact tool in 2026 to assess post-retrofit bill impacts by sector. </w:t>
      </w:r>
    </w:p>
    <w:p w14:paraId="13C7518B" w14:textId="77777777" w:rsidR="00E67794" w:rsidRDefault="00000000">
      <w:pPr>
        <w:numPr>
          <w:ilvl w:val="0"/>
          <w:numId w:val="20"/>
        </w:numPr>
      </w:pPr>
      <w:r>
        <w:t>I-REN shared that its Executive Committee informs program development. In recent Business Plan discussion, the I-REN Executive Committee requested that I-REN plan for programs in the residential, commercial, and industrial sectors. I-</w:t>
      </w:r>
      <w:r>
        <w:lastRenderedPageBreak/>
        <w:t xml:space="preserve">REN conducted market research to evaluate the availability of programs in these sectors within their region–through this, I-REN concluded that the best course of action was to coordinate with IOUs and statewide programs, which entailed promoting existing programs to their customers. </w:t>
      </w:r>
    </w:p>
    <w:p w14:paraId="60900202" w14:textId="77777777" w:rsidR="00E67794" w:rsidRDefault="00000000">
      <w:pPr>
        <w:spacing w:before="200"/>
      </w:pPr>
      <w:r>
        <w:rPr>
          <w:i/>
          <w:iCs/>
          <w:color w:val="2A2A2A"/>
        </w:rPr>
        <w:t xml:space="preserve">Questions, Responses, and Input are available in </w:t>
      </w:r>
      <w:hyperlink w:anchor="_yxaz49v1nco4">
        <w:r>
          <w:rPr>
            <w:i/>
            <w:iCs/>
            <w:color w:val="1155CC"/>
            <w:u w:val="single"/>
          </w:rPr>
          <w:t>Appendix B: Southern CA Regional Q&amp;A and Input</w:t>
        </w:r>
      </w:hyperlink>
    </w:p>
    <w:p w14:paraId="0FA9EFA1" w14:textId="77777777" w:rsidR="00E67794" w:rsidRDefault="00000000">
      <w:pPr>
        <w:pStyle w:val="Heading1"/>
      </w:pPr>
      <w:bookmarkStart w:id="14" w:name="_h7nznthf3k2x" w:colFirst="0" w:colLast="0"/>
      <w:bookmarkEnd w:id="14"/>
      <w:r>
        <w:t>Northern CA Performance Review</w:t>
      </w:r>
    </w:p>
    <w:p w14:paraId="055AB25B" w14:textId="77777777" w:rsidR="00E67794" w:rsidRDefault="00000000">
      <w:pPr>
        <w:rPr>
          <w:i/>
          <w:iCs/>
          <w:sz w:val="20"/>
          <w:szCs w:val="20"/>
        </w:rPr>
      </w:pPr>
      <w:r>
        <w:rPr>
          <w:i/>
          <w:iCs/>
          <w:sz w:val="20"/>
          <w:szCs w:val="20"/>
        </w:rPr>
        <w:t xml:space="preserve">Slides: 77 - 112 </w:t>
      </w:r>
    </w:p>
    <w:p w14:paraId="03790FC0" w14:textId="77777777" w:rsidR="00E67794" w:rsidRDefault="00000000">
      <w:pPr>
        <w:spacing w:before="200"/>
      </w:pPr>
      <w:r>
        <w:t xml:space="preserve">BayREN, NREN, PG&amp;E, and MCE presented their respective 2025 Semi-Annual Portfolio Performance Report Review. Each presentation was followed by Questions &amp; Input from CAEECC Members and then by Members of the Public via Slido. The session concluded with a Regional Q&amp;A, providing attendees the opportunity to direct questions to any specific PA in the region or present high-level themes for multiple PAs to address. The content below is a summary of discussion only - not of the PAs’ presentations. </w:t>
      </w:r>
    </w:p>
    <w:p w14:paraId="565DDF30" w14:textId="77777777" w:rsidR="00E67794" w:rsidRDefault="00000000">
      <w:pPr>
        <w:pStyle w:val="Heading2"/>
        <w:keepNext w:val="0"/>
        <w:keepLines w:val="0"/>
      </w:pPr>
      <w:bookmarkStart w:id="15" w:name="_h3zi2vlmy5jw" w:colFirst="0" w:colLast="0"/>
      <w:bookmarkEnd w:id="15"/>
      <w:r>
        <w:t>Summary of Discussion on BayREN’s 2025 Semi-Annual Portfolio Performance Report Review</w:t>
      </w:r>
    </w:p>
    <w:p w14:paraId="6A48153E" w14:textId="77777777" w:rsidR="00E67794" w:rsidRDefault="00000000">
      <w:pPr>
        <w:numPr>
          <w:ilvl w:val="0"/>
          <w:numId w:val="10"/>
        </w:numPr>
      </w:pPr>
      <w:r>
        <w:t xml:space="preserve">BayREN shared that HPWH incentives are available through a multi-family (MF) program, while single family programs focus on weatherization and EE components. In the future, when BayREN obtains more incentive funding, they may allocate more money toward the HPWH improvements. BayREN also connects and supports customers in applying to other programs–including programs with HPWH or decarbonization efforts.   </w:t>
      </w:r>
    </w:p>
    <w:p w14:paraId="6A63DF6F" w14:textId="77777777" w:rsidR="00E67794" w:rsidRDefault="00000000">
      <w:pPr>
        <w:spacing w:before="200" w:after="120" w:line="240" w:lineRule="auto"/>
      </w:pPr>
      <w:r>
        <w:rPr>
          <w:i/>
          <w:iCs/>
          <w:color w:val="2A2A2A"/>
        </w:rPr>
        <w:t xml:space="preserve">Questions, Responses, and Input are available in </w:t>
      </w:r>
      <w:hyperlink w:anchor="_o6xhcoqalnm9">
        <w:r>
          <w:rPr>
            <w:i/>
            <w:iCs/>
            <w:color w:val="1155CC"/>
            <w:u w:val="single"/>
          </w:rPr>
          <w:t>Appendix B: BayREN Q&amp;A and Input</w:t>
        </w:r>
      </w:hyperlink>
    </w:p>
    <w:p w14:paraId="147FA574" w14:textId="77777777" w:rsidR="00E67794" w:rsidRDefault="00000000">
      <w:pPr>
        <w:pStyle w:val="Heading2"/>
        <w:keepNext w:val="0"/>
        <w:keepLines w:val="0"/>
      </w:pPr>
      <w:bookmarkStart w:id="16" w:name="_2hpm0g5kxdi0" w:colFirst="0" w:colLast="0"/>
      <w:bookmarkEnd w:id="16"/>
      <w:r>
        <w:t>Summary of Discussion on NREN’s 2025 Semi-Annual Portfolio Performance Report Review</w:t>
      </w:r>
    </w:p>
    <w:p w14:paraId="7FFB1DD7" w14:textId="77777777" w:rsidR="00E67794" w:rsidRDefault="00000000">
      <w:pPr>
        <w:numPr>
          <w:ilvl w:val="0"/>
          <w:numId w:val="23"/>
        </w:numPr>
      </w:pPr>
      <w:r>
        <w:t>NREN reiterated that they partnered with Sacramento Municipal Utility District (SMUD) to conduct a residential needs assessment across their residential equity and resource acquisition programs to review what resident needs</w:t>
      </w:r>
    </w:p>
    <w:p w14:paraId="5FB4C4FA" w14:textId="77777777" w:rsidR="00E67794" w:rsidRDefault="00000000">
      <w:pPr>
        <w:numPr>
          <w:ilvl w:val="0"/>
          <w:numId w:val="23"/>
        </w:numPr>
      </w:pPr>
      <w:r>
        <w:t xml:space="preserve">NREN clarified that their residential equity program is a resource program that has not launched program elements with claimable energy savings, which is why there is zero TSB listed in their presentation. </w:t>
      </w:r>
    </w:p>
    <w:p w14:paraId="34F59F09" w14:textId="77777777" w:rsidR="00E67794" w:rsidRDefault="00000000">
      <w:pPr>
        <w:spacing w:before="200" w:after="120" w:line="240" w:lineRule="auto"/>
      </w:pPr>
      <w:r>
        <w:rPr>
          <w:i/>
          <w:iCs/>
          <w:color w:val="2A2A2A"/>
        </w:rPr>
        <w:t xml:space="preserve">Questions, Responses, and Input are available in </w:t>
      </w:r>
      <w:hyperlink w:anchor="_oi7lh3jtjay">
        <w:r>
          <w:rPr>
            <w:i/>
            <w:iCs/>
            <w:color w:val="1155CC"/>
            <w:u w:val="single"/>
          </w:rPr>
          <w:t>Appendix B: NREN Q&amp;A and Input</w:t>
        </w:r>
      </w:hyperlink>
    </w:p>
    <w:p w14:paraId="4DE2EB8B" w14:textId="77777777" w:rsidR="00E67794" w:rsidRDefault="00000000">
      <w:pPr>
        <w:pStyle w:val="Heading2"/>
        <w:keepNext w:val="0"/>
        <w:keepLines w:val="0"/>
      </w:pPr>
      <w:bookmarkStart w:id="17" w:name="_s0s1k9yp9xi" w:colFirst="0" w:colLast="0"/>
      <w:bookmarkEnd w:id="17"/>
      <w:r>
        <w:lastRenderedPageBreak/>
        <w:t>Summary of Discussion on PG&amp;E’s 2025 Semi-Annual Portfolio Performance Report Review</w:t>
      </w:r>
    </w:p>
    <w:p w14:paraId="15731415" w14:textId="77777777" w:rsidR="00E67794" w:rsidRDefault="00000000">
      <w:pPr>
        <w:numPr>
          <w:ilvl w:val="0"/>
          <w:numId w:val="9"/>
        </w:numPr>
      </w:pPr>
      <w:r>
        <w:t xml:space="preserve">PG&amp;E discussed how zonal programs demand more specificity, which can create more challenges and amplify issues, since there is less room to operate. </w:t>
      </w:r>
    </w:p>
    <w:p w14:paraId="7AD62245" w14:textId="77777777" w:rsidR="00E67794" w:rsidRDefault="00000000">
      <w:pPr>
        <w:numPr>
          <w:ilvl w:val="0"/>
          <w:numId w:val="9"/>
        </w:numPr>
      </w:pPr>
      <w:r>
        <w:t xml:space="preserve">PG&amp;E elaborated on the relationship between equity and customer distrust. PG&amp;E shared that while some customers are wary of electrification program benefits and savings, there is not necessarily distrust for equity programs. PG&amp;E noted that ICE agents posing as contractors contribute to distrust. PG&amp;E has responded to these factors by prioritizing partnerships with community-based organizations. </w:t>
      </w:r>
    </w:p>
    <w:p w14:paraId="03EDBD90" w14:textId="77777777" w:rsidR="00E67794" w:rsidRDefault="00000000">
      <w:pPr>
        <w:spacing w:before="200" w:after="120" w:line="240" w:lineRule="auto"/>
      </w:pPr>
      <w:r>
        <w:rPr>
          <w:i/>
          <w:iCs/>
          <w:color w:val="2A2A2A"/>
        </w:rPr>
        <w:t xml:space="preserve">Questions, Responses, and Input are available in </w:t>
      </w:r>
      <w:hyperlink w:anchor="_9pqovk4hvw3g">
        <w:r>
          <w:rPr>
            <w:i/>
            <w:iCs/>
            <w:color w:val="1155CC"/>
            <w:u w:val="single"/>
          </w:rPr>
          <w:t>Appendix B: PG&amp;E Q&amp;A and Input</w:t>
        </w:r>
      </w:hyperlink>
    </w:p>
    <w:p w14:paraId="528DE09A" w14:textId="77777777" w:rsidR="00E67794" w:rsidRDefault="00000000">
      <w:pPr>
        <w:pStyle w:val="Heading2"/>
        <w:keepNext w:val="0"/>
        <w:keepLines w:val="0"/>
      </w:pPr>
      <w:bookmarkStart w:id="18" w:name="_yj0945ra897n" w:colFirst="0" w:colLast="0"/>
      <w:bookmarkEnd w:id="18"/>
      <w:r>
        <w:t>Summary of Discussion on MCE’s 2025 Semi-Annual Portfolio Performance Report Review</w:t>
      </w:r>
    </w:p>
    <w:p w14:paraId="27EE62FE" w14:textId="77777777" w:rsidR="00E67794" w:rsidRDefault="00000000">
      <w:pPr>
        <w:numPr>
          <w:ilvl w:val="0"/>
          <w:numId w:val="5"/>
        </w:numPr>
      </w:pPr>
      <w:r>
        <w:t xml:space="preserve">MCE provided details on how they draw from their Local Programs Fund to support kicker incentives for EE. </w:t>
      </w:r>
    </w:p>
    <w:p w14:paraId="7F586517" w14:textId="77777777" w:rsidR="00E67794" w:rsidRDefault="00000000">
      <w:pPr>
        <w:numPr>
          <w:ilvl w:val="0"/>
          <w:numId w:val="5"/>
        </w:numPr>
      </w:pPr>
      <w:r>
        <w:t xml:space="preserve">MCE expanded on the impacts of incentives on affordability. MCE stated that these efforts improve cost effectiveness of energy efficiency programs without costs accruing to their portfolio–costs get allocated to Local Programs funds, which are reviewed by their Board. Energy Division and MCE discussed how these efforts positively impact ratepayer affordability, since they reduce project costs and increase feasibility. </w:t>
      </w:r>
    </w:p>
    <w:p w14:paraId="7D2B13BF" w14:textId="77777777" w:rsidR="00E67794" w:rsidRDefault="00000000">
      <w:pPr>
        <w:spacing w:before="200"/>
      </w:pPr>
      <w:r>
        <w:rPr>
          <w:i/>
          <w:iCs/>
          <w:color w:val="2A2A2A"/>
        </w:rPr>
        <w:t xml:space="preserve">Questions, Responses, and Input are available in </w:t>
      </w:r>
      <w:hyperlink w:anchor="_n32yai1uwcos">
        <w:r>
          <w:rPr>
            <w:i/>
            <w:iCs/>
            <w:color w:val="1155CC"/>
            <w:u w:val="single"/>
          </w:rPr>
          <w:t>Appendix B: MCE Q&amp;A and Input</w:t>
        </w:r>
      </w:hyperlink>
    </w:p>
    <w:p w14:paraId="78A171E8" w14:textId="77777777" w:rsidR="00E67794" w:rsidRDefault="00000000">
      <w:pPr>
        <w:pStyle w:val="Heading2"/>
        <w:keepNext w:val="0"/>
        <w:keepLines w:val="0"/>
      </w:pPr>
      <w:bookmarkStart w:id="19" w:name="_v1miuk6nus4t" w:colFirst="0" w:colLast="0"/>
      <w:bookmarkEnd w:id="19"/>
      <w:r>
        <w:t>NorCal Regional Q&amp;A</w:t>
      </w:r>
    </w:p>
    <w:p w14:paraId="649BC44B" w14:textId="77777777" w:rsidR="00E67794" w:rsidRDefault="00000000">
      <w:r>
        <w:rPr>
          <w:i/>
          <w:iCs/>
        </w:rPr>
        <w:t>There were no regional questions posed. Questions to the respective PA are included in their Q&amp;A and Input sections.</w:t>
      </w:r>
    </w:p>
    <w:p w14:paraId="46C66A8E" w14:textId="77777777" w:rsidR="00E67794" w:rsidRDefault="00000000">
      <w:pPr>
        <w:pStyle w:val="Heading1"/>
      </w:pPr>
      <w:bookmarkStart w:id="20" w:name="_xu6mbwajcnfk" w:colFirst="0" w:colLast="0"/>
      <w:bookmarkEnd w:id="20"/>
      <w:r>
        <w:t>Central CA Performance Review</w:t>
      </w:r>
    </w:p>
    <w:p w14:paraId="44F2A659" w14:textId="77777777" w:rsidR="00E67794" w:rsidRDefault="00000000">
      <w:r>
        <w:rPr>
          <w:i/>
          <w:iCs/>
          <w:sz w:val="20"/>
          <w:szCs w:val="20"/>
        </w:rPr>
        <w:t>Slides: 113 - 129</w:t>
      </w:r>
    </w:p>
    <w:p w14:paraId="2BE4793A" w14:textId="77777777" w:rsidR="00E67794" w:rsidRDefault="00000000">
      <w:pPr>
        <w:spacing w:before="200"/>
      </w:pPr>
      <w:r>
        <w:t xml:space="preserve">3C-REN and CCR REN presented their respective 2025 Semi-Annual Portfolio Performance Report Review. Each presentation was followed by Questions &amp; Input from CAEECC Members and then by Members of the Public via Slido. The session concluded with a Regional Q&amp;A, providing attendees the opportunity to direct questions to any </w:t>
      </w:r>
      <w:r>
        <w:lastRenderedPageBreak/>
        <w:t xml:space="preserve">specific PA in the region or present high-level themes for multiple PAs to address. The content below is a summary of discussion only - not of the PAs’ presentations. </w:t>
      </w:r>
    </w:p>
    <w:p w14:paraId="770B7830" w14:textId="77777777" w:rsidR="00E67794" w:rsidRDefault="00000000">
      <w:pPr>
        <w:pStyle w:val="Heading2"/>
        <w:keepNext w:val="0"/>
        <w:keepLines w:val="0"/>
      </w:pPr>
      <w:bookmarkStart w:id="21" w:name="_k2baqeps654o" w:colFirst="0" w:colLast="0"/>
      <w:bookmarkEnd w:id="21"/>
      <w:r>
        <w:t>Summary of Discussion on 3C-REN’s 2025 Semi-Annual Portfolio Performance Report Review</w:t>
      </w:r>
    </w:p>
    <w:p w14:paraId="0E0ECCA4" w14:textId="77777777" w:rsidR="00E67794" w:rsidRDefault="00000000">
      <w:pPr>
        <w:numPr>
          <w:ilvl w:val="0"/>
          <w:numId w:val="5"/>
        </w:numPr>
        <w:rPr>
          <w:color w:val="000000"/>
        </w:rPr>
      </w:pPr>
      <w:r>
        <w:t>3C-REN highlighted recent work with a local architectural chapter on a new educational series, hosted at Community Environmental Council, for design and construction professionals.</w:t>
      </w:r>
    </w:p>
    <w:p w14:paraId="68CD6526" w14:textId="77777777" w:rsidR="00E67794" w:rsidRDefault="00000000">
      <w:pPr>
        <w:numPr>
          <w:ilvl w:val="0"/>
          <w:numId w:val="5"/>
        </w:numPr>
        <w:rPr>
          <w:color w:val="000000"/>
        </w:rPr>
      </w:pPr>
      <w:r>
        <w:t xml:space="preserve">3C-REN also highlighted work on supporting Hard-to-Reach customers accessing their programs. 3C-REN also coordinates with other PAs and CCAs in their region to ensure that customers receive cohesive messaging about program opportunities.  </w:t>
      </w:r>
    </w:p>
    <w:p w14:paraId="2AAE5E23" w14:textId="77777777" w:rsidR="00E67794" w:rsidRDefault="00000000">
      <w:pPr>
        <w:numPr>
          <w:ilvl w:val="0"/>
          <w:numId w:val="5"/>
        </w:numPr>
      </w:pPr>
      <w:r>
        <w:t>3C-REN’s single family program was fully subscribed in June 2025. 3C-REN referenced the 2026/2027 forecasts in their Mid-Cycle Advice Letter (MCAL) included reduced incentive multipliers to help avoid future lapses in program offerings and improve the TSB:total program spend ratio. 3C-REN noted that their single-family program is still relatively new, and it now benefits from a strong group of contractors, increased program awareness, and an improved understanding of the market. These factors provide confidence that lower incentive multipliers can extend the budget and support continuous program availability throughout the year.</w:t>
      </w:r>
    </w:p>
    <w:p w14:paraId="7E5E3DCD" w14:textId="77777777" w:rsidR="00E67794" w:rsidRDefault="00000000">
      <w:pPr>
        <w:spacing w:before="200"/>
      </w:pPr>
      <w:r>
        <w:rPr>
          <w:i/>
          <w:iCs/>
          <w:color w:val="2A2A2A"/>
        </w:rPr>
        <w:t xml:space="preserve">Questions, Responses, and Input are available in </w:t>
      </w:r>
      <w:hyperlink w:anchor="_9kaikwkb3xxr">
        <w:r>
          <w:rPr>
            <w:i/>
            <w:iCs/>
            <w:color w:val="1155CC"/>
            <w:u w:val="single"/>
          </w:rPr>
          <w:t>Appendix B: 3C-REN Q&amp;A and Input</w:t>
        </w:r>
      </w:hyperlink>
    </w:p>
    <w:p w14:paraId="0075E08E" w14:textId="77777777" w:rsidR="00E67794" w:rsidRDefault="00000000">
      <w:pPr>
        <w:pStyle w:val="Heading2"/>
        <w:keepNext w:val="0"/>
        <w:keepLines w:val="0"/>
      </w:pPr>
      <w:bookmarkStart w:id="22" w:name="_c4dios4uov2r" w:colFirst="0" w:colLast="0"/>
      <w:bookmarkEnd w:id="22"/>
      <w:r>
        <w:t>Summary of Discussion on CCR REN’s 2025 Semi-Annual Portfolio Performance Report Review</w:t>
      </w:r>
    </w:p>
    <w:p w14:paraId="45345D76" w14:textId="77777777" w:rsidR="00E67794" w:rsidRDefault="00000000">
      <w:r>
        <w:rPr>
          <w:i/>
          <w:iCs/>
        </w:rPr>
        <w:t xml:space="preserve">There were no questions posed to CCR REN. </w:t>
      </w:r>
    </w:p>
    <w:p w14:paraId="04F2425A" w14:textId="77777777" w:rsidR="00E67794" w:rsidRDefault="00000000">
      <w:pPr>
        <w:pStyle w:val="Heading2"/>
        <w:keepNext w:val="0"/>
        <w:keepLines w:val="0"/>
      </w:pPr>
      <w:bookmarkStart w:id="23" w:name="_m4n6u6r4z3cf" w:colFirst="0" w:colLast="0"/>
      <w:bookmarkEnd w:id="23"/>
      <w:r>
        <w:t>Central CA Regional Q&amp;A</w:t>
      </w:r>
    </w:p>
    <w:p w14:paraId="5CE82466" w14:textId="77777777" w:rsidR="00E67794" w:rsidRDefault="00000000">
      <w:r>
        <w:rPr>
          <w:i/>
          <w:iCs/>
        </w:rPr>
        <w:t>There were no regional questions posed. Questions to the respective PA are included in their Q&amp;A and Input sections.</w:t>
      </w:r>
    </w:p>
    <w:p w14:paraId="50C9559D" w14:textId="77777777" w:rsidR="00E67794" w:rsidRDefault="00000000">
      <w:pPr>
        <w:pStyle w:val="Heading1"/>
      </w:pPr>
      <w:bookmarkStart w:id="24" w:name="_ylbck0hkqi0m" w:colFirst="0" w:colLast="0"/>
      <w:bookmarkEnd w:id="24"/>
      <w:r>
        <w:t>Key Themes</w:t>
      </w:r>
    </w:p>
    <w:p w14:paraId="56E64BD7" w14:textId="77777777" w:rsidR="00E67794" w:rsidRDefault="00000000">
      <w:pPr>
        <w:spacing w:after="200"/>
        <w:rPr>
          <w:i/>
          <w:iCs/>
          <w:sz w:val="20"/>
          <w:szCs w:val="20"/>
        </w:rPr>
      </w:pPr>
      <w:r>
        <w:rPr>
          <w:i/>
          <w:iCs/>
          <w:sz w:val="20"/>
          <w:szCs w:val="20"/>
        </w:rPr>
        <w:t>Slides: 131 - 134</w:t>
      </w:r>
    </w:p>
    <w:p w14:paraId="5BF84ED8" w14:textId="77777777" w:rsidR="00E67794" w:rsidRDefault="00000000">
      <w:pPr>
        <w:pStyle w:val="Heading2"/>
        <w:keepNext w:val="0"/>
        <w:keepLines w:val="0"/>
        <w:rPr>
          <w:i/>
          <w:iCs/>
          <w:sz w:val="20"/>
          <w:szCs w:val="20"/>
        </w:rPr>
      </w:pPr>
      <w:bookmarkStart w:id="25" w:name="_cg740sdk86sh" w:colFirst="0" w:colLast="0"/>
      <w:bookmarkEnd w:id="25"/>
      <w:r>
        <w:t>Summary of Key Themes</w:t>
      </w:r>
    </w:p>
    <w:p w14:paraId="5FF5A935" w14:textId="77777777" w:rsidR="00E67794" w:rsidRDefault="00000000">
      <w:pPr>
        <w:spacing w:after="200"/>
      </w:pPr>
      <w:r>
        <w:lastRenderedPageBreak/>
        <w:t>Abrams facilitated a discussion on key themes, by first presenting a summary of what the Facilitation Team heard:</w:t>
      </w:r>
    </w:p>
    <w:p w14:paraId="6E692FF1" w14:textId="77777777" w:rsidR="00E67794" w:rsidRDefault="00000000">
      <w:pPr>
        <w:numPr>
          <w:ilvl w:val="0"/>
          <w:numId w:val="8"/>
        </w:numPr>
      </w:pPr>
      <w:r>
        <w:t>New PAs Ramping Up</w:t>
      </w:r>
    </w:p>
    <w:p w14:paraId="54611AA6" w14:textId="77777777" w:rsidR="00E67794" w:rsidRDefault="00000000">
      <w:pPr>
        <w:numPr>
          <w:ilvl w:val="0"/>
          <w:numId w:val="8"/>
        </w:numPr>
      </w:pPr>
      <w:r>
        <w:t>Workforce Development</w:t>
      </w:r>
    </w:p>
    <w:p w14:paraId="2C4833F0" w14:textId="77777777" w:rsidR="00E67794" w:rsidRDefault="00000000">
      <w:pPr>
        <w:numPr>
          <w:ilvl w:val="0"/>
          <w:numId w:val="8"/>
        </w:numPr>
      </w:pPr>
      <w:r>
        <w:t>Diversity of Programs</w:t>
      </w:r>
    </w:p>
    <w:p w14:paraId="68FD4BA9" w14:textId="77777777" w:rsidR="00E67794" w:rsidRDefault="00000000">
      <w:pPr>
        <w:numPr>
          <w:ilvl w:val="0"/>
          <w:numId w:val="8"/>
        </w:numPr>
      </w:pPr>
      <w:r>
        <w:t>CBO Engagement</w:t>
      </w:r>
    </w:p>
    <w:p w14:paraId="584C8B8D" w14:textId="77777777" w:rsidR="00E67794" w:rsidRDefault="00000000">
      <w:pPr>
        <w:numPr>
          <w:ilvl w:val="0"/>
          <w:numId w:val="8"/>
        </w:numPr>
      </w:pPr>
      <w:r>
        <w:t>Affordability Considerations</w:t>
      </w:r>
    </w:p>
    <w:p w14:paraId="0B92956A" w14:textId="77777777" w:rsidR="00E67794" w:rsidRDefault="00000000">
      <w:pPr>
        <w:numPr>
          <w:ilvl w:val="0"/>
          <w:numId w:val="8"/>
        </w:numPr>
        <w:spacing w:after="200"/>
      </w:pPr>
      <w:r>
        <w:t>Challenges to Portfolio Management</w:t>
      </w:r>
    </w:p>
    <w:p w14:paraId="117ABA49" w14:textId="77777777" w:rsidR="00E67794" w:rsidRDefault="00000000">
      <w:pPr>
        <w:spacing w:before="200"/>
        <w:rPr>
          <w:b/>
          <w:bCs/>
          <w:color w:val="2A2A2A"/>
          <w:sz w:val="28"/>
          <w:szCs w:val="28"/>
        </w:rPr>
      </w:pPr>
      <w:r>
        <w:rPr>
          <w:i/>
          <w:iCs/>
          <w:color w:val="2A2A2A"/>
        </w:rPr>
        <w:t xml:space="preserve">A detailed description of Meeting Key Themes is available in </w:t>
      </w:r>
      <w:hyperlink w:anchor="_r8ll0eybviac">
        <w:r>
          <w:rPr>
            <w:i/>
            <w:iCs/>
            <w:color w:val="1155CC"/>
            <w:u w:val="single"/>
          </w:rPr>
          <w:t>Appendix C: Key Themes</w:t>
        </w:r>
      </w:hyperlink>
    </w:p>
    <w:p w14:paraId="2C492D88" w14:textId="77777777" w:rsidR="00E67794" w:rsidRDefault="00E67794">
      <w:pPr>
        <w:spacing w:before="200"/>
        <w:rPr>
          <w:b/>
          <w:bCs/>
          <w:color w:val="2A2A2A"/>
          <w:sz w:val="28"/>
          <w:szCs w:val="28"/>
        </w:rPr>
      </w:pPr>
    </w:p>
    <w:p w14:paraId="0E6477ED" w14:textId="77777777" w:rsidR="00E67794" w:rsidRDefault="00000000">
      <w:pPr>
        <w:spacing w:after="200"/>
      </w:pPr>
      <w:r>
        <w:rPr>
          <w:b/>
          <w:bCs/>
          <w:color w:val="2A2A2A"/>
          <w:sz w:val="28"/>
          <w:szCs w:val="28"/>
        </w:rPr>
        <w:t>Summary of Discussion on Key Themes</w:t>
      </w:r>
    </w:p>
    <w:p w14:paraId="3F597772" w14:textId="77777777" w:rsidR="00E67794" w:rsidRDefault="00000000">
      <w:pPr>
        <w:numPr>
          <w:ilvl w:val="0"/>
          <w:numId w:val="15"/>
        </w:numPr>
        <w:spacing w:before="200"/>
      </w:pPr>
      <w:r>
        <w:t>Members of Energy Division discussed how fuel substitution affects first year and lifecycle kWh savings, noting that programs may show positive first-year savings but reduced/negative lifecycle savings once fuel substitution is factored in. Members discussed how this impact is amplified by measures with short Effective Useful Lives (EULs), such as Home Energy Reports (HER).</w:t>
      </w:r>
    </w:p>
    <w:p w14:paraId="66481AAA" w14:textId="77777777" w:rsidR="00E67794" w:rsidRDefault="00000000">
      <w:pPr>
        <w:numPr>
          <w:ilvl w:val="0"/>
          <w:numId w:val="15"/>
        </w:numPr>
      </w:pPr>
      <w:r>
        <w:t>A Member highlighted alignment between SoCalREN’s proposed bill impact tool and similar ongoing affordability efforts, noting that multiple parallel initiatives appear to be addressing post-retrofit bill impacts.</w:t>
      </w:r>
    </w:p>
    <w:p w14:paraId="7733EC2F" w14:textId="77777777" w:rsidR="00E67794" w:rsidRDefault="00000000">
      <w:pPr>
        <w:numPr>
          <w:ilvl w:val="0"/>
          <w:numId w:val="21"/>
        </w:numPr>
      </w:pPr>
      <w:r>
        <w:t>A Member provided reflections on recent PA portfolio performance, noting that all IOUs met their goals and Total Resource Cost (TRC) targets, and that the IOUs are on track to achieve the same results this year.</w:t>
      </w:r>
    </w:p>
    <w:p w14:paraId="1DF8ADA7" w14:textId="77777777" w:rsidR="00E67794" w:rsidRDefault="00000000">
      <w:pPr>
        <w:numPr>
          <w:ilvl w:val="0"/>
          <w:numId w:val="21"/>
        </w:numPr>
      </w:pPr>
      <w:r>
        <w:t xml:space="preserve">A Member noted ongoing challenges for PAs in fully utilizing “low-hanging fruit” energy efficiency technologies. A Member highlighted broader issues raised in the Auditor’s Report regarding the Total Resource Cost (TRC), specifically the non-inclusion of participant benefits and inclusion of participant costs, touching on the broader TRC vs. Program Administrator Cost (PAC) vs. societal cost debate. </w:t>
      </w:r>
    </w:p>
    <w:p w14:paraId="682AACC4" w14:textId="77777777" w:rsidR="00E67794" w:rsidRDefault="00000000">
      <w:pPr>
        <w:spacing w:before="200"/>
      </w:pPr>
      <w:r>
        <w:rPr>
          <w:i/>
          <w:iCs/>
          <w:color w:val="2A2A2A"/>
        </w:rPr>
        <w:t xml:space="preserve">Questions, Responses, and Input are available in </w:t>
      </w:r>
      <w:hyperlink w:anchor="_r8ll0eybviac">
        <w:r>
          <w:rPr>
            <w:i/>
            <w:iCs/>
            <w:color w:val="1155CC"/>
            <w:u w:val="single"/>
          </w:rPr>
          <w:t>Appendix C: Key Themes</w:t>
        </w:r>
      </w:hyperlink>
    </w:p>
    <w:p w14:paraId="4832D7E2" w14:textId="77777777" w:rsidR="00E67794" w:rsidRDefault="00000000">
      <w:pPr>
        <w:pStyle w:val="Heading1"/>
      </w:pPr>
      <w:bookmarkStart w:id="26" w:name="_52a008i2162k" w:colFirst="0" w:colLast="0"/>
      <w:bookmarkEnd w:id="26"/>
      <w:r>
        <w:t>Wrap Up</w:t>
      </w:r>
    </w:p>
    <w:p w14:paraId="6190DC88" w14:textId="77777777" w:rsidR="00E67794" w:rsidRDefault="00000000">
      <w:r>
        <w:rPr>
          <w:i/>
          <w:iCs/>
          <w:sz w:val="20"/>
          <w:szCs w:val="20"/>
        </w:rPr>
        <w:t>Slides: 135 - 137</w:t>
      </w:r>
    </w:p>
    <w:p w14:paraId="0D6928AC" w14:textId="77777777" w:rsidR="00E67794" w:rsidRDefault="00000000">
      <w:pPr>
        <w:spacing w:before="200"/>
        <w:rPr>
          <w:color w:val="134F5C"/>
        </w:rPr>
      </w:pPr>
      <w:r>
        <w:t xml:space="preserve">Abrams adjourned the meeting with reminders to PA presenters about the summary and an invitation to the Q4 Full Quarterly CAEECC Meeting #48 on December 9, 2025. </w:t>
      </w:r>
      <w:r>
        <w:br w:type="page"/>
      </w:r>
    </w:p>
    <w:p w14:paraId="164A0B1B" w14:textId="77777777" w:rsidR="00E67794" w:rsidRDefault="00000000">
      <w:pPr>
        <w:pStyle w:val="Heading1"/>
        <w:spacing w:before="360" w:after="200" w:line="240" w:lineRule="auto"/>
        <w:rPr>
          <w:color w:val="134F5C"/>
        </w:rPr>
      </w:pPr>
      <w:bookmarkStart w:id="27" w:name="_1ci93xb" w:colFirst="0" w:colLast="0"/>
      <w:bookmarkEnd w:id="27"/>
      <w:r>
        <w:rPr>
          <w:color w:val="134F5C"/>
        </w:rPr>
        <w:lastRenderedPageBreak/>
        <w:t>Appendix A: Attendees</w:t>
      </w:r>
    </w:p>
    <w:tbl>
      <w:tblPr>
        <w:tblStyle w:val="a"/>
        <w:tblpPr w:leftFromText="180" w:rightFromText="180" w:topFromText="180" w:bottomFromText="180" w:vertAnchor="text" w:tblpX="915"/>
        <w:tblW w:w="7530"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4020"/>
        <w:gridCol w:w="3510"/>
      </w:tblGrid>
      <w:tr w:rsidR="00E67794" w14:paraId="4F47AE24" w14:textId="77777777">
        <w:trPr>
          <w:trHeight w:val="320"/>
          <w:tblHeader/>
        </w:trPr>
        <w:tc>
          <w:tcPr>
            <w:tcW w:w="4020"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3198BC43" w14:textId="77777777" w:rsidR="00E67794" w:rsidRDefault="00000000">
            <w:pPr>
              <w:spacing w:line="240" w:lineRule="auto"/>
              <w:ind w:left="90"/>
              <w:rPr>
                <w:b/>
                <w:bCs/>
                <w:color w:val="223053"/>
              </w:rPr>
            </w:pPr>
            <w:r>
              <w:rPr>
                <w:b/>
                <w:bCs/>
                <w:color w:val="223053"/>
              </w:rPr>
              <w:lastRenderedPageBreak/>
              <w:t>Organization</w:t>
            </w:r>
          </w:p>
        </w:tc>
        <w:tc>
          <w:tcPr>
            <w:tcW w:w="3510"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4B7B2BAF" w14:textId="77777777" w:rsidR="00E67794" w:rsidRDefault="00000000">
            <w:pPr>
              <w:spacing w:line="240" w:lineRule="auto"/>
              <w:ind w:left="90"/>
              <w:rPr>
                <w:b/>
                <w:bCs/>
                <w:color w:val="223053"/>
              </w:rPr>
            </w:pPr>
            <w:r>
              <w:rPr>
                <w:b/>
                <w:bCs/>
                <w:color w:val="223053"/>
              </w:rPr>
              <w:t>Name</w:t>
            </w:r>
          </w:p>
        </w:tc>
      </w:tr>
      <w:tr w:rsidR="00E67794" w14:paraId="2F56AC1D" w14:textId="77777777">
        <w:trPr>
          <w:trHeight w:val="320"/>
          <w:tblHeader/>
        </w:trPr>
        <w:tc>
          <w:tcPr>
            <w:tcW w:w="4020" w:type="dxa"/>
            <w:tcBorders>
              <w:top w:val="single" w:sz="4" w:space="0" w:color="A2C4C9"/>
              <w:bottom w:val="single" w:sz="3" w:space="0" w:color="4A86E8"/>
            </w:tcBorders>
            <w:shd w:val="clear" w:color="auto" w:fill="B4C6E7"/>
            <w:vAlign w:val="bottom"/>
          </w:tcPr>
          <w:p w14:paraId="0BF0858E" w14:textId="77777777" w:rsidR="00E67794" w:rsidRDefault="00000000">
            <w:pPr>
              <w:spacing w:line="240" w:lineRule="auto"/>
              <w:rPr>
                <w:b/>
                <w:bCs/>
                <w:color w:val="002060"/>
              </w:rPr>
            </w:pPr>
            <w:r>
              <w:rPr>
                <w:b/>
                <w:bCs/>
                <w:color w:val="002060"/>
              </w:rPr>
              <w:t xml:space="preserve">CAEECC Members  </w:t>
            </w:r>
          </w:p>
        </w:tc>
        <w:tc>
          <w:tcPr>
            <w:tcW w:w="3510" w:type="dxa"/>
            <w:tcBorders>
              <w:top w:val="single" w:sz="4" w:space="0" w:color="A2C4C9"/>
              <w:bottom w:val="single" w:sz="3" w:space="0" w:color="4A86E8"/>
            </w:tcBorders>
            <w:shd w:val="clear" w:color="auto" w:fill="B4C6E7"/>
            <w:vAlign w:val="bottom"/>
          </w:tcPr>
          <w:p w14:paraId="25405056" w14:textId="77777777" w:rsidR="00E67794" w:rsidRDefault="00E67794">
            <w:pPr>
              <w:spacing w:line="240" w:lineRule="auto"/>
              <w:rPr>
                <w:color w:val="002060"/>
                <w:highlight w:val="yellow"/>
              </w:rPr>
            </w:pPr>
          </w:p>
        </w:tc>
      </w:tr>
      <w:tr w:rsidR="00E67794" w14:paraId="6C3CCBCA" w14:textId="77777777">
        <w:trPr>
          <w:trHeight w:val="320"/>
          <w:tblHeader/>
        </w:trPr>
        <w:tc>
          <w:tcPr>
            <w:tcW w:w="4020" w:type="dxa"/>
            <w:tcBorders>
              <w:top w:val="single" w:sz="3" w:space="0" w:color="4A86E8"/>
              <w:left w:val="single" w:sz="3" w:space="0" w:color="4A86E8"/>
              <w:bottom w:val="single" w:sz="3" w:space="0" w:color="4A86E8"/>
              <w:right w:val="single" w:sz="3" w:space="0" w:color="4A86E8"/>
            </w:tcBorders>
            <w:shd w:val="clear" w:color="auto" w:fill="FFFFFF"/>
            <w:tcMar>
              <w:top w:w="40" w:type="dxa"/>
              <w:left w:w="40" w:type="dxa"/>
              <w:bottom w:w="40" w:type="dxa"/>
              <w:right w:w="40" w:type="dxa"/>
            </w:tcMar>
            <w:vAlign w:val="bottom"/>
          </w:tcPr>
          <w:p w14:paraId="2B15A935" w14:textId="77777777" w:rsidR="00E67794" w:rsidRDefault="00000000">
            <w:pPr>
              <w:pBdr>
                <w:top w:val="nil"/>
                <w:left w:val="nil"/>
                <w:bottom w:val="nil"/>
                <w:right w:val="nil"/>
                <w:between w:val="nil"/>
              </w:pBdr>
              <w:spacing w:line="240" w:lineRule="auto"/>
              <w:rPr>
                <w:color w:val="002060"/>
              </w:rPr>
            </w:pPr>
            <w:r>
              <w:rPr>
                <w:color w:val="002060"/>
              </w:rPr>
              <w:t>3C-REN</w:t>
            </w:r>
          </w:p>
        </w:tc>
        <w:tc>
          <w:tcPr>
            <w:tcW w:w="3510" w:type="dxa"/>
            <w:tcBorders>
              <w:top w:val="single" w:sz="3" w:space="0" w:color="4A86E8"/>
              <w:left w:val="single" w:sz="3" w:space="0" w:color="4A86E8"/>
              <w:bottom w:val="single" w:sz="3" w:space="0" w:color="4A86E8"/>
              <w:right w:val="single" w:sz="3" w:space="0" w:color="4A86E8"/>
            </w:tcBorders>
            <w:shd w:val="clear" w:color="auto" w:fill="FFFFFF"/>
            <w:tcMar>
              <w:top w:w="40" w:type="dxa"/>
              <w:left w:w="40" w:type="dxa"/>
              <w:bottom w:w="40" w:type="dxa"/>
              <w:right w:w="40" w:type="dxa"/>
            </w:tcMar>
            <w:vAlign w:val="bottom"/>
          </w:tcPr>
          <w:p w14:paraId="79091378" w14:textId="77777777" w:rsidR="00E67794" w:rsidRDefault="00000000">
            <w:pPr>
              <w:pBdr>
                <w:top w:val="nil"/>
                <w:left w:val="nil"/>
                <w:bottom w:val="nil"/>
                <w:right w:val="nil"/>
                <w:between w:val="nil"/>
              </w:pBdr>
              <w:spacing w:line="240" w:lineRule="auto"/>
              <w:rPr>
                <w:color w:val="002060"/>
              </w:rPr>
            </w:pPr>
            <w:r>
              <w:rPr>
                <w:color w:val="002060"/>
              </w:rPr>
              <w:t>Erica Helson</w:t>
            </w:r>
          </w:p>
        </w:tc>
      </w:tr>
      <w:tr w:rsidR="00E67794" w14:paraId="0E2FBB49" w14:textId="77777777">
        <w:trPr>
          <w:trHeight w:val="320"/>
          <w:tblHeader/>
        </w:trPr>
        <w:tc>
          <w:tcPr>
            <w:tcW w:w="4020" w:type="dxa"/>
            <w:tcBorders>
              <w:top w:val="single" w:sz="3" w:space="0" w:color="4A86E8"/>
              <w:left w:val="single" w:sz="3" w:space="0" w:color="4A86E8"/>
              <w:bottom w:val="single" w:sz="3" w:space="0" w:color="4A86E8"/>
              <w:right w:val="single" w:sz="3" w:space="0" w:color="4A86E8"/>
            </w:tcBorders>
            <w:shd w:val="clear" w:color="auto" w:fill="FFFFFF"/>
            <w:tcMar>
              <w:top w:w="40" w:type="dxa"/>
              <w:left w:w="40" w:type="dxa"/>
              <w:bottom w:w="40" w:type="dxa"/>
              <w:right w:w="40" w:type="dxa"/>
            </w:tcMar>
            <w:vAlign w:val="bottom"/>
          </w:tcPr>
          <w:p w14:paraId="7363057B" w14:textId="77777777" w:rsidR="00E67794" w:rsidRDefault="00000000">
            <w:pPr>
              <w:pBdr>
                <w:top w:val="nil"/>
                <w:left w:val="nil"/>
                <w:bottom w:val="nil"/>
                <w:right w:val="nil"/>
                <w:between w:val="nil"/>
              </w:pBdr>
              <w:spacing w:line="240" w:lineRule="auto"/>
              <w:rPr>
                <w:color w:val="002060"/>
              </w:rPr>
            </w:pPr>
            <w:r>
              <w:rPr>
                <w:color w:val="002060"/>
              </w:rPr>
              <w:t>BayREN</w:t>
            </w:r>
          </w:p>
        </w:tc>
        <w:tc>
          <w:tcPr>
            <w:tcW w:w="3510" w:type="dxa"/>
            <w:tcBorders>
              <w:top w:val="single" w:sz="3" w:space="0" w:color="4A86E8"/>
              <w:left w:val="single" w:sz="3" w:space="0" w:color="4A86E8"/>
              <w:bottom w:val="single" w:sz="3" w:space="0" w:color="4A86E8"/>
              <w:right w:val="single" w:sz="3" w:space="0" w:color="4A86E8"/>
            </w:tcBorders>
            <w:shd w:val="clear" w:color="auto" w:fill="FFFFFF"/>
            <w:tcMar>
              <w:top w:w="40" w:type="dxa"/>
              <w:left w:w="40" w:type="dxa"/>
              <w:bottom w:w="40" w:type="dxa"/>
              <w:right w:w="40" w:type="dxa"/>
            </w:tcMar>
            <w:vAlign w:val="bottom"/>
          </w:tcPr>
          <w:p w14:paraId="38D63EB0" w14:textId="77777777" w:rsidR="00E67794" w:rsidRDefault="00000000">
            <w:pPr>
              <w:pBdr>
                <w:top w:val="nil"/>
                <w:left w:val="nil"/>
                <w:bottom w:val="nil"/>
                <w:right w:val="nil"/>
                <w:between w:val="nil"/>
              </w:pBdr>
              <w:spacing w:line="240" w:lineRule="auto"/>
              <w:rPr>
                <w:color w:val="002060"/>
              </w:rPr>
            </w:pPr>
            <w:r>
              <w:rPr>
                <w:color w:val="002060"/>
              </w:rPr>
              <w:t>Jane Elias</w:t>
            </w:r>
          </w:p>
        </w:tc>
      </w:tr>
      <w:tr w:rsidR="00E67794" w14:paraId="0A11A653" w14:textId="77777777">
        <w:trPr>
          <w:trHeight w:val="320"/>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58308EB9" w14:textId="77777777" w:rsidR="00E67794" w:rsidRDefault="00000000">
            <w:pPr>
              <w:pBdr>
                <w:top w:val="nil"/>
                <w:left w:val="nil"/>
                <w:bottom w:val="nil"/>
                <w:right w:val="nil"/>
                <w:between w:val="nil"/>
              </w:pBdr>
              <w:spacing w:line="240" w:lineRule="auto"/>
              <w:rPr>
                <w:color w:val="002060"/>
              </w:rPr>
            </w:pPr>
            <w:r>
              <w:rPr>
                <w:color w:val="002060"/>
              </w:rPr>
              <w:t>CodeCycle</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59E039AE" w14:textId="77777777" w:rsidR="00E67794" w:rsidRDefault="00000000">
            <w:pPr>
              <w:pBdr>
                <w:top w:val="nil"/>
                <w:left w:val="nil"/>
                <w:bottom w:val="nil"/>
                <w:right w:val="nil"/>
                <w:between w:val="nil"/>
              </w:pBdr>
              <w:spacing w:line="240" w:lineRule="auto"/>
              <w:rPr>
                <w:color w:val="002060"/>
              </w:rPr>
            </w:pPr>
            <w:r>
              <w:rPr>
                <w:color w:val="002060"/>
              </w:rPr>
              <w:t>Dan Suyeyasu</w:t>
            </w:r>
          </w:p>
        </w:tc>
      </w:tr>
      <w:tr w:rsidR="00E67794" w14:paraId="37D4696A"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62267705" w14:textId="77777777" w:rsidR="00E67794" w:rsidRDefault="00000000">
            <w:pPr>
              <w:pBdr>
                <w:top w:val="nil"/>
                <w:left w:val="nil"/>
                <w:bottom w:val="nil"/>
                <w:right w:val="nil"/>
                <w:between w:val="nil"/>
              </w:pBdr>
              <w:spacing w:line="240" w:lineRule="auto"/>
              <w:rPr>
                <w:color w:val="002060"/>
              </w:rPr>
            </w:pPr>
            <w:r>
              <w:rPr>
                <w:color w:val="002060"/>
              </w:rPr>
              <w:t>CCRREN</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78B0F5D8" w14:textId="77777777" w:rsidR="00E67794" w:rsidRDefault="00000000">
            <w:pPr>
              <w:pBdr>
                <w:top w:val="nil"/>
                <w:left w:val="nil"/>
                <w:bottom w:val="nil"/>
                <w:right w:val="nil"/>
                <w:between w:val="nil"/>
              </w:pBdr>
              <w:spacing w:line="240" w:lineRule="auto"/>
              <w:rPr>
                <w:color w:val="002060"/>
              </w:rPr>
            </w:pPr>
            <w:r>
              <w:rPr>
                <w:color w:val="002060"/>
              </w:rPr>
              <w:t>Jordan Garbayo</w:t>
            </w:r>
          </w:p>
        </w:tc>
      </w:tr>
      <w:tr w:rsidR="00E67794" w14:paraId="5DDC9E35"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6ADCCA6B" w14:textId="77777777" w:rsidR="00E67794" w:rsidRDefault="00000000">
            <w:pPr>
              <w:pBdr>
                <w:top w:val="nil"/>
                <w:left w:val="nil"/>
                <w:bottom w:val="nil"/>
                <w:right w:val="nil"/>
                <w:between w:val="nil"/>
              </w:pBdr>
              <w:spacing w:line="240" w:lineRule="auto"/>
              <w:rPr>
                <w:color w:val="002060"/>
              </w:rPr>
            </w:pPr>
            <w:r>
              <w:rPr>
                <w:color w:val="002060"/>
              </w:rPr>
              <w:t>CSE</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334E4C94" w14:textId="77777777" w:rsidR="00E67794" w:rsidRDefault="00000000">
            <w:pPr>
              <w:pBdr>
                <w:top w:val="nil"/>
                <w:left w:val="nil"/>
                <w:bottom w:val="nil"/>
                <w:right w:val="nil"/>
                <w:between w:val="nil"/>
              </w:pBdr>
              <w:spacing w:line="240" w:lineRule="auto"/>
              <w:rPr>
                <w:color w:val="002060"/>
              </w:rPr>
            </w:pPr>
            <w:r>
              <w:rPr>
                <w:color w:val="002060"/>
              </w:rPr>
              <w:t>Rocky Fernandez</w:t>
            </w:r>
          </w:p>
        </w:tc>
      </w:tr>
      <w:tr w:rsidR="00E67794" w14:paraId="3A97F71B"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73AE4C4A" w14:textId="77777777" w:rsidR="00E67794" w:rsidRDefault="00000000">
            <w:pPr>
              <w:pBdr>
                <w:top w:val="nil"/>
                <w:left w:val="nil"/>
                <w:bottom w:val="nil"/>
                <w:right w:val="nil"/>
                <w:between w:val="nil"/>
              </w:pBdr>
              <w:spacing w:line="240" w:lineRule="auto"/>
              <w:rPr>
                <w:color w:val="002060"/>
              </w:rPr>
            </w:pPr>
            <w:r>
              <w:rPr>
                <w:color w:val="002060"/>
              </w:rPr>
              <w:t>Frontier Energy</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00B1A873" w14:textId="77777777" w:rsidR="00E67794" w:rsidRDefault="00000000">
            <w:pPr>
              <w:pBdr>
                <w:top w:val="nil"/>
                <w:left w:val="nil"/>
                <w:bottom w:val="nil"/>
                <w:right w:val="nil"/>
                <w:between w:val="nil"/>
              </w:pBdr>
              <w:spacing w:line="240" w:lineRule="auto"/>
              <w:rPr>
                <w:color w:val="002060"/>
              </w:rPr>
            </w:pPr>
            <w:r>
              <w:rPr>
                <w:color w:val="002060"/>
              </w:rPr>
              <w:t>Nancy Barba</w:t>
            </w:r>
          </w:p>
        </w:tc>
      </w:tr>
      <w:tr w:rsidR="00E67794" w14:paraId="060203AE"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72EF8A8B" w14:textId="77777777" w:rsidR="00E67794" w:rsidRDefault="00000000">
            <w:pPr>
              <w:pBdr>
                <w:top w:val="nil"/>
                <w:left w:val="nil"/>
                <w:bottom w:val="nil"/>
                <w:right w:val="nil"/>
                <w:between w:val="nil"/>
              </w:pBdr>
              <w:spacing w:line="240" w:lineRule="auto"/>
              <w:rPr>
                <w:color w:val="002060"/>
              </w:rPr>
            </w:pPr>
            <w:r>
              <w:rPr>
                <w:color w:val="002060"/>
              </w:rPr>
              <w:t>I-REN</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6AA2E397" w14:textId="77777777" w:rsidR="00E67794" w:rsidRDefault="00000000">
            <w:pPr>
              <w:pBdr>
                <w:top w:val="nil"/>
                <w:left w:val="nil"/>
                <w:bottom w:val="nil"/>
                <w:right w:val="nil"/>
                <w:between w:val="nil"/>
              </w:pBdr>
              <w:spacing w:line="240" w:lineRule="auto"/>
              <w:rPr>
                <w:color w:val="002060"/>
              </w:rPr>
            </w:pPr>
            <w:r>
              <w:rPr>
                <w:color w:val="002060"/>
              </w:rPr>
              <w:t>Benjamin Druyon</w:t>
            </w:r>
          </w:p>
        </w:tc>
      </w:tr>
      <w:tr w:rsidR="00E67794" w14:paraId="1E4B34BE"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1653EC4D" w14:textId="77777777" w:rsidR="00E67794" w:rsidRDefault="00000000">
            <w:pPr>
              <w:pBdr>
                <w:top w:val="nil"/>
                <w:left w:val="nil"/>
                <w:bottom w:val="nil"/>
                <w:right w:val="nil"/>
                <w:between w:val="nil"/>
              </w:pBdr>
              <w:spacing w:line="240" w:lineRule="auto"/>
              <w:rPr>
                <w:color w:val="002060"/>
              </w:rPr>
            </w:pPr>
            <w:r>
              <w:rPr>
                <w:color w:val="002060"/>
              </w:rPr>
              <w:t>LGSEC</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2C9D0164" w14:textId="77777777" w:rsidR="00E67794" w:rsidRDefault="00000000">
            <w:pPr>
              <w:pBdr>
                <w:top w:val="nil"/>
                <w:left w:val="nil"/>
                <w:bottom w:val="nil"/>
                <w:right w:val="nil"/>
                <w:between w:val="nil"/>
              </w:pBdr>
              <w:spacing w:line="240" w:lineRule="auto"/>
              <w:rPr>
                <w:color w:val="002060"/>
              </w:rPr>
            </w:pPr>
            <w:r>
              <w:rPr>
                <w:color w:val="002060"/>
              </w:rPr>
              <w:t>Amaury Berteaud</w:t>
            </w:r>
          </w:p>
        </w:tc>
      </w:tr>
      <w:tr w:rsidR="00E67794" w14:paraId="235267B3"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46332794" w14:textId="77777777" w:rsidR="00E67794" w:rsidRDefault="00000000">
            <w:pPr>
              <w:pBdr>
                <w:top w:val="nil"/>
                <w:left w:val="nil"/>
                <w:bottom w:val="nil"/>
                <w:right w:val="nil"/>
                <w:between w:val="nil"/>
              </w:pBdr>
              <w:spacing w:line="240" w:lineRule="auto"/>
              <w:rPr>
                <w:color w:val="002060"/>
              </w:rPr>
            </w:pPr>
            <w:r>
              <w:rPr>
                <w:color w:val="002060"/>
              </w:rPr>
              <w:t>MCE</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33822857" w14:textId="77777777" w:rsidR="00E67794" w:rsidRDefault="00000000">
            <w:pPr>
              <w:pBdr>
                <w:top w:val="nil"/>
                <w:left w:val="nil"/>
                <w:bottom w:val="nil"/>
                <w:right w:val="nil"/>
                <w:between w:val="nil"/>
              </w:pBdr>
              <w:spacing w:line="240" w:lineRule="auto"/>
              <w:rPr>
                <w:color w:val="002060"/>
              </w:rPr>
            </w:pPr>
            <w:r>
              <w:rPr>
                <w:color w:val="002060"/>
              </w:rPr>
              <w:t>Alice Havenar-Daughton</w:t>
            </w:r>
          </w:p>
        </w:tc>
      </w:tr>
      <w:tr w:rsidR="00E67794" w14:paraId="2CC8BAB1"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2B610C8E" w14:textId="77777777" w:rsidR="00E67794" w:rsidRDefault="00000000">
            <w:pPr>
              <w:pBdr>
                <w:top w:val="nil"/>
                <w:left w:val="nil"/>
                <w:bottom w:val="nil"/>
                <w:right w:val="nil"/>
                <w:between w:val="nil"/>
              </w:pBdr>
              <w:spacing w:line="240" w:lineRule="auto"/>
              <w:rPr>
                <w:color w:val="002060"/>
              </w:rPr>
            </w:pPr>
            <w:r>
              <w:rPr>
                <w:color w:val="002060"/>
              </w:rPr>
              <w:t>NREN</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452B64D9" w14:textId="77777777" w:rsidR="00E67794" w:rsidRDefault="00000000">
            <w:pPr>
              <w:pBdr>
                <w:top w:val="nil"/>
                <w:left w:val="nil"/>
                <w:bottom w:val="nil"/>
                <w:right w:val="nil"/>
                <w:between w:val="nil"/>
              </w:pBdr>
              <w:spacing w:line="240" w:lineRule="auto"/>
              <w:rPr>
                <w:color w:val="002060"/>
              </w:rPr>
            </w:pPr>
            <w:r>
              <w:rPr>
                <w:color w:val="002060"/>
              </w:rPr>
              <w:t>Stephen Kullman</w:t>
            </w:r>
          </w:p>
        </w:tc>
      </w:tr>
      <w:tr w:rsidR="00E67794" w14:paraId="36589EA8"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2BAED452" w14:textId="77777777" w:rsidR="00E67794" w:rsidRDefault="00000000">
            <w:pPr>
              <w:pBdr>
                <w:top w:val="nil"/>
                <w:left w:val="nil"/>
                <w:bottom w:val="nil"/>
                <w:right w:val="nil"/>
                <w:between w:val="nil"/>
              </w:pBdr>
              <w:spacing w:line="240" w:lineRule="auto"/>
              <w:rPr>
                <w:color w:val="002060"/>
              </w:rPr>
            </w:pPr>
            <w:r>
              <w:rPr>
                <w:color w:val="002060"/>
              </w:rPr>
              <w:t>PG&amp;E</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6D141438" w14:textId="77777777" w:rsidR="00E67794" w:rsidRDefault="00000000">
            <w:pPr>
              <w:pBdr>
                <w:top w:val="nil"/>
                <w:left w:val="nil"/>
                <w:bottom w:val="nil"/>
                <w:right w:val="nil"/>
                <w:between w:val="nil"/>
              </w:pBdr>
              <w:spacing w:line="240" w:lineRule="auto"/>
              <w:rPr>
                <w:color w:val="002060"/>
              </w:rPr>
            </w:pPr>
            <w:r>
              <w:rPr>
                <w:color w:val="002060"/>
              </w:rPr>
              <w:t>Lisa Hunter</w:t>
            </w:r>
          </w:p>
        </w:tc>
      </w:tr>
      <w:tr w:rsidR="00E67794" w14:paraId="5FE6F576"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00CB65AE" w14:textId="77777777" w:rsidR="00E67794" w:rsidRDefault="00000000">
            <w:pPr>
              <w:pBdr>
                <w:top w:val="nil"/>
                <w:left w:val="nil"/>
                <w:bottom w:val="nil"/>
                <w:right w:val="nil"/>
                <w:between w:val="nil"/>
              </w:pBdr>
              <w:spacing w:line="240" w:lineRule="auto"/>
              <w:rPr>
                <w:color w:val="002060"/>
              </w:rPr>
            </w:pPr>
            <w:r>
              <w:rPr>
                <w:color w:val="002060"/>
              </w:rPr>
              <w:t>SBUA</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1608851A" w14:textId="77777777" w:rsidR="00E67794" w:rsidRDefault="00000000">
            <w:pPr>
              <w:pBdr>
                <w:top w:val="nil"/>
                <w:left w:val="nil"/>
                <w:bottom w:val="nil"/>
                <w:right w:val="nil"/>
                <w:between w:val="nil"/>
              </w:pBdr>
              <w:spacing w:line="240" w:lineRule="auto"/>
              <w:rPr>
                <w:color w:val="002060"/>
              </w:rPr>
            </w:pPr>
            <w:r>
              <w:rPr>
                <w:color w:val="002060"/>
              </w:rPr>
              <w:t>Ted Howard</w:t>
            </w:r>
          </w:p>
        </w:tc>
      </w:tr>
      <w:tr w:rsidR="00E67794" w14:paraId="15165A97"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3A638BFE" w14:textId="77777777" w:rsidR="00E67794" w:rsidRDefault="00000000">
            <w:pPr>
              <w:pBdr>
                <w:top w:val="nil"/>
                <w:left w:val="nil"/>
                <w:bottom w:val="nil"/>
                <w:right w:val="nil"/>
                <w:between w:val="nil"/>
              </w:pBdr>
              <w:spacing w:line="240" w:lineRule="auto"/>
              <w:rPr>
                <w:color w:val="002060"/>
              </w:rPr>
            </w:pPr>
            <w:r>
              <w:rPr>
                <w:color w:val="002060"/>
              </w:rPr>
              <w:t>SCE</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17FE6286" w14:textId="77777777" w:rsidR="00E67794" w:rsidRDefault="00000000">
            <w:pPr>
              <w:pBdr>
                <w:top w:val="nil"/>
                <w:left w:val="nil"/>
                <w:bottom w:val="nil"/>
                <w:right w:val="nil"/>
                <w:between w:val="nil"/>
              </w:pBdr>
              <w:spacing w:line="240" w:lineRule="auto"/>
              <w:rPr>
                <w:color w:val="002060"/>
              </w:rPr>
            </w:pPr>
            <w:r>
              <w:rPr>
                <w:color w:val="002060"/>
              </w:rPr>
              <w:t>Jessica Lau</w:t>
            </w:r>
          </w:p>
        </w:tc>
      </w:tr>
      <w:tr w:rsidR="00E67794" w14:paraId="3628C1E7"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159E1745" w14:textId="77777777" w:rsidR="00E67794" w:rsidRDefault="00000000">
            <w:pPr>
              <w:pBdr>
                <w:top w:val="nil"/>
                <w:left w:val="nil"/>
                <w:bottom w:val="nil"/>
                <w:right w:val="nil"/>
                <w:between w:val="nil"/>
              </w:pBdr>
              <w:spacing w:line="240" w:lineRule="auto"/>
              <w:rPr>
                <w:color w:val="002060"/>
              </w:rPr>
            </w:pPr>
            <w:r>
              <w:rPr>
                <w:color w:val="002060"/>
              </w:rPr>
              <w:t>SDG&amp;E</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6CEF5F52" w14:textId="77777777" w:rsidR="00E67794" w:rsidRDefault="00000000">
            <w:pPr>
              <w:pBdr>
                <w:top w:val="nil"/>
                <w:left w:val="nil"/>
                <w:bottom w:val="nil"/>
                <w:right w:val="nil"/>
                <w:between w:val="nil"/>
              </w:pBdr>
              <w:spacing w:line="240" w:lineRule="auto"/>
              <w:rPr>
                <w:color w:val="002060"/>
              </w:rPr>
            </w:pPr>
            <w:r>
              <w:rPr>
                <w:color w:val="002060"/>
              </w:rPr>
              <w:t>Stacie Risley</w:t>
            </w:r>
          </w:p>
        </w:tc>
      </w:tr>
      <w:tr w:rsidR="00E67794" w14:paraId="28A1B872"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54A39129" w14:textId="77777777" w:rsidR="00E67794" w:rsidRDefault="00000000">
            <w:pPr>
              <w:pBdr>
                <w:top w:val="nil"/>
                <w:left w:val="nil"/>
                <w:bottom w:val="nil"/>
                <w:right w:val="nil"/>
                <w:between w:val="nil"/>
              </w:pBdr>
              <w:spacing w:line="240" w:lineRule="auto"/>
              <w:rPr>
                <w:color w:val="002060"/>
              </w:rPr>
            </w:pPr>
            <w:r>
              <w:rPr>
                <w:color w:val="002060"/>
              </w:rPr>
              <w:t>SDREN</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2204AE5C" w14:textId="77777777" w:rsidR="00E67794" w:rsidRDefault="00000000">
            <w:pPr>
              <w:pBdr>
                <w:top w:val="nil"/>
                <w:left w:val="nil"/>
                <w:bottom w:val="nil"/>
                <w:right w:val="nil"/>
                <w:between w:val="nil"/>
              </w:pBdr>
              <w:spacing w:line="240" w:lineRule="auto"/>
              <w:rPr>
                <w:color w:val="002060"/>
              </w:rPr>
            </w:pPr>
            <w:r>
              <w:rPr>
                <w:color w:val="002060"/>
              </w:rPr>
              <w:t>Sheena Tran</w:t>
            </w:r>
          </w:p>
        </w:tc>
      </w:tr>
      <w:tr w:rsidR="00E67794" w14:paraId="24BA9919"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5F2DA9A8" w14:textId="77777777" w:rsidR="00E67794" w:rsidRDefault="00000000">
            <w:pPr>
              <w:pBdr>
                <w:top w:val="nil"/>
                <w:left w:val="nil"/>
                <w:bottom w:val="nil"/>
                <w:right w:val="nil"/>
                <w:between w:val="nil"/>
              </w:pBdr>
              <w:spacing w:line="240" w:lineRule="auto"/>
              <w:rPr>
                <w:color w:val="002060"/>
              </w:rPr>
            </w:pPr>
            <w:r>
              <w:rPr>
                <w:color w:val="002060"/>
              </w:rPr>
              <w:t>SF Dept of the Environment</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75D26D5E" w14:textId="77777777" w:rsidR="00E67794" w:rsidRDefault="00000000">
            <w:pPr>
              <w:pBdr>
                <w:top w:val="nil"/>
                <w:left w:val="nil"/>
                <w:bottom w:val="nil"/>
                <w:right w:val="nil"/>
                <w:between w:val="nil"/>
              </w:pBdr>
              <w:spacing w:line="240" w:lineRule="auto"/>
              <w:rPr>
                <w:color w:val="002060"/>
              </w:rPr>
            </w:pPr>
            <w:r>
              <w:rPr>
                <w:color w:val="002060"/>
              </w:rPr>
              <w:t>Lowell Chu</w:t>
            </w:r>
          </w:p>
        </w:tc>
      </w:tr>
      <w:tr w:rsidR="00E67794" w14:paraId="5275EC23"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259027C7" w14:textId="77777777" w:rsidR="00E67794" w:rsidRDefault="00000000">
            <w:pPr>
              <w:pBdr>
                <w:top w:val="nil"/>
                <w:left w:val="nil"/>
                <w:bottom w:val="nil"/>
                <w:right w:val="nil"/>
                <w:between w:val="nil"/>
              </w:pBdr>
              <w:spacing w:line="240" w:lineRule="auto"/>
              <w:rPr>
                <w:color w:val="002060"/>
              </w:rPr>
            </w:pPr>
            <w:r>
              <w:rPr>
                <w:color w:val="002060"/>
              </w:rPr>
              <w:t>SMW Local 104</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2652D303" w14:textId="77777777" w:rsidR="00E67794" w:rsidRDefault="00000000">
            <w:pPr>
              <w:pBdr>
                <w:top w:val="nil"/>
                <w:left w:val="nil"/>
                <w:bottom w:val="nil"/>
                <w:right w:val="nil"/>
                <w:between w:val="nil"/>
              </w:pBdr>
              <w:spacing w:line="240" w:lineRule="auto"/>
              <w:rPr>
                <w:color w:val="002060"/>
              </w:rPr>
            </w:pPr>
            <w:r>
              <w:rPr>
                <w:color w:val="002060"/>
              </w:rPr>
              <w:t>Chris Ruch</w:t>
            </w:r>
          </w:p>
        </w:tc>
      </w:tr>
      <w:tr w:rsidR="00E67794" w14:paraId="77365A28"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10F0D096" w14:textId="77777777" w:rsidR="00E67794" w:rsidRDefault="00000000">
            <w:pPr>
              <w:pBdr>
                <w:top w:val="nil"/>
                <w:left w:val="nil"/>
                <w:bottom w:val="nil"/>
                <w:right w:val="nil"/>
                <w:between w:val="nil"/>
              </w:pBdr>
              <w:spacing w:line="240" w:lineRule="auto"/>
              <w:rPr>
                <w:color w:val="002060"/>
              </w:rPr>
            </w:pPr>
            <w:r>
              <w:rPr>
                <w:color w:val="002060"/>
              </w:rPr>
              <w:t>SoCalGas</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017EC41E" w14:textId="77777777" w:rsidR="00E67794" w:rsidRDefault="00000000">
            <w:pPr>
              <w:pBdr>
                <w:top w:val="nil"/>
                <w:left w:val="nil"/>
                <w:bottom w:val="nil"/>
                <w:right w:val="nil"/>
                <w:between w:val="nil"/>
              </w:pBdr>
              <w:spacing w:line="240" w:lineRule="auto"/>
              <w:rPr>
                <w:color w:val="002060"/>
              </w:rPr>
            </w:pPr>
            <w:r>
              <w:rPr>
                <w:color w:val="002060"/>
              </w:rPr>
              <w:t>Roy Christian</w:t>
            </w:r>
          </w:p>
        </w:tc>
      </w:tr>
      <w:tr w:rsidR="00E67794" w14:paraId="7378F6B6"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7B2DB7A0" w14:textId="77777777" w:rsidR="00E67794" w:rsidRDefault="00000000">
            <w:pPr>
              <w:pBdr>
                <w:top w:val="nil"/>
                <w:left w:val="nil"/>
                <w:bottom w:val="nil"/>
                <w:right w:val="nil"/>
                <w:between w:val="nil"/>
              </w:pBdr>
              <w:spacing w:line="240" w:lineRule="auto"/>
              <w:rPr>
                <w:color w:val="002060"/>
              </w:rPr>
            </w:pPr>
            <w:r>
              <w:rPr>
                <w:color w:val="002060"/>
              </w:rPr>
              <w:t>SoCalREN</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23EA6D89" w14:textId="77777777" w:rsidR="00E67794" w:rsidRDefault="00000000">
            <w:pPr>
              <w:pBdr>
                <w:top w:val="nil"/>
                <w:left w:val="nil"/>
                <w:bottom w:val="nil"/>
                <w:right w:val="nil"/>
                <w:between w:val="nil"/>
              </w:pBdr>
              <w:spacing w:line="240" w:lineRule="auto"/>
              <w:rPr>
                <w:color w:val="002060"/>
              </w:rPr>
            </w:pPr>
            <w:r>
              <w:rPr>
                <w:color w:val="002060"/>
              </w:rPr>
              <w:t>Lujuana Medina</w:t>
            </w:r>
          </w:p>
        </w:tc>
      </w:tr>
      <w:tr w:rsidR="00E67794" w14:paraId="4E67B61B" w14:textId="77777777">
        <w:trPr>
          <w:trHeight w:val="387"/>
          <w:tblHeader/>
        </w:trPr>
        <w:tc>
          <w:tcPr>
            <w:tcW w:w="402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029D8B13" w14:textId="77777777" w:rsidR="00E67794" w:rsidRDefault="00000000">
            <w:pPr>
              <w:pBdr>
                <w:top w:val="nil"/>
                <w:left w:val="nil"/>
                <w:bottom w:val="nil"/>
                <w:right w:val="nil"/>
                <w:between w:val="nil"/>
              </w:pBdr>
              <w:spacing w:line="240" w:lineRule="auto"/>
              <w:rPr>
                <w:color w:val="002060"/>
              </w:rPr>
            </w:pPr>
            <w:r>
              <w:rPr>
                <w:color w:val="002060"/>
              </w:rPr>
              <w:t>The Energy Coalition</w:t>
            </w:r>
          </w:p>
        </w:tc>
        <w:tc>
          <w:tcPr>
            <w:tcW w:w="3510" w:type="dxa"/>
            <w:tcBorders>
              <w:top w:val="single" w:sz="3" w:space="0" w:color="4A86E8"/>
              <w:left w:val="single" w:sz="3" w:space="0" w:color="4A86E8"/>
              <w:bottom w:val="single" w:sz="3" w:space="0" w:color="4A86E8"/>
              <w:right w:val="single" w:sz="3" w:space="0" w:color="4A86E8"/>
            </w:tcBorders>
            <w:tcMar>
              <w:top w:w="40" w:type="dxa"/>
              <w:left w:w="40" w:type="dxa"/>
              <w:bottom w:w="40" w:type="dxa"/>
              <w:right w:w="40" w:type="dxa"/>
            </w:tcMar>
            <w:vAlign w:val="bottom"/>
          </w:tcPr>
          <w:p w14:paraId="70ECFB0B" w14:textId="77777777" w:rsidR="00E67794" w:rsidRDefault="00000000">
            <w:pPr>
              <w:pBdr>
                <w:top w:val="nil"/>
                <w:left w:val="nil"/>
                <w:bottom w:val="nil"/>
                <w:right w:val="nil"/>
                <w:between w:val="nil"/>
              </w:pBdr>
              <w:spacing w:line="240" w:lineRule="auto"/>
              <w:rPr>
                <w:color w:val="002060"/>
              </w:rPr>
            </w:pPr>
            <w:r>
              <w:rPr>
                <w:color w:val="002060"/>
              </w:rPr>
              <w:t>Laurel Rothschild</w:t>
            </w:r>
          </w:p>
        </w:tc>
      </w:tr>
      <w:tr w:rsidR="00E67794" w14:paraId="1141CBFF" w14:textId="77777777">
        <w:trPr>
          <w:trHeight w:val="320"/>
          <w:tblHeader/>
        </w:trPr>
        <w:tc>
          <w:tcPr>
            <w:tcW w:w="4020" w:type="dxa"/>
            <w:tcBorders>
              <w:top w:val="single" w:sz="3" w:space="0" w:color="4A86E8"/>
              <w:bottom w:val="single" w:sz="3" w:space="0" w:color="C9DAF8"/>
            </w:tcBorders>
            <w:shd w:val="clear" w:color="auto" w:fill="B4C6E7"/>
            <w:vAlign w:val="bottom"/>
          </w:tcPr>
          <w:p w14:paraId="7BC203CB" w14:textId="77777777" w:rsidR="00E67794" w:rsidRDefault="00000000">
            <w:pPr>
              <w:spacing w:line="240" w:lineRule="auto"/>
              <w:rPr>
                <w:b/>
                <w:bCs/>
                <w:color w:val="002060"/>
              </w:rPr>
            </w:pPr>
            <w:r>
              <w:rPr>
                <w:b/>
                <w:bCs/>
                <w:color w:val="002060"/>
              </w:rPr>
              <w:t xml:space="preserve">Ex-Officio </w:t>
            </w:r>
          </w:p>
        </w:tc>
        <w:tc>
          <w:tcPr>
            <w:tcW w:w="3510" w:type="dxa"/>
            <w:tcBorders>
              <w:top w:val="single" w:sz="3" w:space="0" w:color="4A86E8"/>
              <w:bottom w:val="single" w:sz="3" w:space="0" w:color="C9DAF8"/>
            </w:tcBorders>
            <w:shd w:val="clear" w:color="auto" w:fill="B4C6E7"/>
            <w:vAlign w:val="bottom"/>
          </w:tcPr>
          <w:p w14:paraId="5D1888B7" w14:textId="77777777" w:rsidR="00E67794" w:rsidRDefault="00E67794">
            <w:pPr>
              <w:spacing w:line="240" w:lineRule="auto"/>
              <w:rPr>
                <w:color w:val="002060"/>
                <w:highlight w:val="yellow"/>
              </w:rPr>
            </w:pPr>
          </w:p>
        </w:tc>
      </w:tr>
      <w:tr w:rsidR="00E67794" w14:paraId="1C47C380" w14:textId="77777777">
        <w:trPr>
          <w:trHeight w:val="320"/>
          <w:tblHeader/>
        </w:trPr>
        <w:tc>
          <w:tcPr>
            <w:tcW w:w="402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243B9E40" w14:textId="77777777" w:rsidR="00E67794" w:rsidRDefault="00000000">
            <w:pPr>
              <w:pBdr>
                <w:top w:val="nil"/>
                <w:left w:val="nil"/>
                <w:bottom w:val="nil"/>
                <w:right w:val="nil"/>
                <w:between w:val="nil"/>
              </w:pBdr>
              <w:spacing w:line="240" w:lineRule="auto"/>
              <w:rPr>
                <w:color w:val="002060"/>
              </w:rPr>
            </w:pPr>
            <w:r>
              <w:rPr>
                <w:color w:val="002060"/>
              </w:rPr>
              <w:t>CARB</w:t>
            </w:r>
          </w:p>
        </w:tc>
        <w:tc>
          <w:tcPr>
            <w:tcW w:w="351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1E32C1F6" w14:textId="77777777" w:rsidR="00E67794" w:rsidRDefault="00000000">
            <w:pPr>
              <w:pBdr>
                <w:top w:val="nil"/>
                <w:left w:val="nil"/>
                <w:bottom w:val="nil"/>
                <w:right w:val="nil"/>
                <w:between w:val="nil"/>
              </w:pBdr>
              <w:spacing w:line="240" w:lineRule="auto"/>
              <w:rPr>
                <w:color w:val="002060"/>
              </w:rPr>
            </w:pPr>
            <w:r>
              <w:rPr>
                <w:color w:val="002060"/>
              </w:rPr>
              <w:t>Emma Tome</w:t>
            </w:r>
          </w:p>
        </w:tc>
      </w:tr>
      <w:tr w:rsidR="00E67794" w14:paraId="0592EB6C" w14:textId="77777777">
        <w:trPr>
          <w:trHeight w:val="320"/>
          <w:tblHeader/>
        </w:trPr>
        <w:tc>
          <w:tcPr>
            <w:tcW w:w="4020" w:type="dxa"/>
            <w:tcBorders>
              <w:top w:val="single" w:sz="3" w:space="0" w:color="C9DAF8"/>
              <w:left w:val="single" w:sz="3" w:space="0" w:color="C9DAF8"/>
              <w:bottom w:val="single" w:sz="3" w:space="0" w:color="C9DAF8"/>
              <w:right w:val="single" w:sz="3" w:space="0" w:color="C9DAF8"/>
            </w:tcBorders>
            <w:tcMar>
              <w:top w:w="40" w:type="dxa"/>
              <w:left w:w="40" w:type="dxa"/>
              <w:bottom w:w="40" w:type="dxa"/>
              <w:right w:w="40" w:type="dxa"/>
            </w:tcMar>
            <w:vAlign w:val="bottom"/>
          </w:tcPr>
          <w:p w14:paraId="0823C3C5" w14:textId="77777777" w:rsidR="00E67794" w:rsidRDefault="00000000">
            <w:pPr>
              <w:pBdr>
                <w:top w:val="nil"/>
                <w:left w:val="nil"/>
                <w:bottom w:val="nil"/>
                <w:right w:val="nil"/>
                <w:between w:val="nil"/>
              </w:pBdr>
              <w:spacing w:line="240" w:lineRule="auto"/>
              <w:rPr>
                <w:color w:val="002060"/>
              </w:rPr>
            </w:pPr>
            <w:r>
              <w:rPr>
                <w:color w:val="002060"/>
              </w:rPr>
              <w:t>CEC</w:t>
            </w:r>
          </w:p>
        </w:tc>
        <w:tc>
          <w:tcPr>
            <w:tcW w:w="3510" w:type="dxa"/>
            <w:tcBorders>
              <w:top w:val="single" w:sz="3" w:space="0" w:color="C9DAF8"/>
              <w:left w:val="single" w:sz="3" w:space="0" w:color="C9DAF8"/>
              <w:bottom w:val="single" w:sz="3" w:space="0" w:color="C9DAF8"/>
              <w:right w:val="single" w:sz="3" w:space="0" w:color="C9DAF8"/>
            </w:tcBorders>
            <w:tcMar>
              <w:top w:w="40" w:type="dxa"/>
              <w:left w:w="40" w:type="dxa"/>
              <w:bottom w:w="40" w:type="dxa"/>
              <w:right w:w="40" w:type="dxa"/>
            </w:tcMar>
            <w:vAlign w:val="bottom"/>
          </w:tcPr>
          <w:p w14:paraId="5F1A0DDE" w14:textId="77777777" w:rsidR="00E67794" w:rsidRDefault="00000000">
            <w:pPr>
              <w:pBdr>
                <w:top w:val="nil"/>
                <w:left w:val="nil"/>
                <w:bottom w:val="nil"/>
                <w:right w:val="nil"/>
                <w:between w:val="nil"/>
              </w:pBdr>
              <w:spacing w:line="240" w:lineRule="auto"/>
              <w:rPr>
                <w:color w:val="002060"/>
              </w:rPr>
            </w:pPr>
            <w:r>
              <w:rPr>
                <w:color w:val="002060"/>
              </w:rPr>
              <w:t>Kristina Duloglo</w:t>
            </w:r>
          </w:p>
        </w:tc>
      </w:tr>
      <w:tr w:rsidR="00E67794" w14:paraId="0FB76F0E" w14:textId="77777777">
        <w:trPr>
          <w:trHeight w:val="320"/>
          <w:tblHeader/>
        </w:trPr>
        <w:tc>
          <w:tcPr>
            <w:tcW w:w="402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705E45AE" w14:textId="77777777" w:rsidR="00E67794" w:rsidRDefault="00000000">
            <w:pPr>
              <w:pBdr>
                <w:top w:val="nil"/>
                <w:left w:val="nil"/>
                <w:bottom w:val="nil"/>
                <w:right w:val="nil"/>
                <w:between w:val="nil"/>
              </w:pBdr>
              <w:spacing w:line="240" w:lineRule="auto"/>
              <w:rPr>
                <w:color w:val="002060"/>
              </w:rPr>
            </w:pPr>
            <w:r>
              <w:rPr>
                <w:color w:val="002060"/>
              </w:rPr>
              <w:t>CPUC</w:t>
            </w:r>
          </w:p>
        </w:tc>
        <w:tc>
          <w:tcPr>
            <w:tcW w:w="351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6BA40DEF" w14:textId="77777777" w:rsidR="00E67794" w:rsidRDefault="00000000">
            <w:pPr>
              <w:pBdr>
                <w:top w:val="nil"/>
                <w:left w:val="nil"/>
                <w:bottom w:val="nil"/>
                <w:right w:val="nil"/>
                <w:between w:val="nil"/>
              </w:pBdr>
              <w:spacing w:line="240" w:lineRule="auto"/>
              <w:rPr>
                <w:color w:val="002060"/>
              </w:rPr>
            </w:pPr>
            <w:r>
              <w:rPr>
                <w:color w:val="002060"/>
              </w:rPr>
              <w:t>Ely Jacobsohn</w:t>
            </w:r>
          </w:p>
        </w:tc>
      </w:tr>
      <w:tr w:rsidR="00E67794" w14:paraId="6B5306A1" w14:textId="77777777">
        <w:trPr>
          <w:trHeight w:val="320"/>
          <w:tblHeader/>
        </w:trPr>
        <w:tc>
          <w:tcPr>
            <w:tcW w:w="402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0B2C2EDA" w14:textId="77777777" w:rsidR="00E67794" w:rsidRDefault="00000000">
            <w:pPr>
              <w:pBdr>
                <w:top w:val="nil"/>
                <w:left w:val="nil"/>
                <w:bottom w:val="nil"/>
                <w:right w:val="nil"/>
                <w:between w:val="nil"/>
              </w:pBdr>
              <w:spacing w:line="240" w:lineRule="auto"/>
              <w:rPr>
                <w:color w:val="002060"/>
              </w:rPr>
            </w:pPr>
            <w:r>
              <w:rPr>
                <w:color w:val="002060"/>
              </w:rPr>
              <w:t>CPUC</w:t>
            </w:r>
          </w:p>
        </w:tc>
        <w:tc>
          <w:tcPr>
            <w:tcW w:w="351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390E0E9A" w14:textId="77777777" w:rsidR="00E67794" w:rsidRDefault="00000000">
            <w:pPr>
              <w:pBdr>
                <w:top w:val="nil"/>
                <w:left w:val="nil"/>
                <w:bottom w:val="nil"/>
                <w:right w:val="nil"/>
                <w:between w:val="nil"/>
              </w:pBdr>
              <w:spacing w:line="240" w:lineRule="auto"/>
              <w:rPr>
                <w:color w:val="002060"/>
              </w:rPr>
            </w:pPr>
            <w:r>
              <w:rPr>
                <w:color w:val="002060"/>
              </w:rPr>
              <w:t>Pamela Rittelmeyer</w:t>
            </w:r>
          </w:p>
        </w:tc>
      </w:tr>
      <w:tr w:rsidR="00E67794" w14:paraId="51C03E4E" w14:textId="77777777">
        <w:trPr>
          <w:trHeight w:val="320"/>
          <w:tblHeader/>
        </w:trPr>
        <w:tc>
          <w:tcPr>
            <w:tcW w:w="402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6B3242C6" w14:textId="77777777" w:rsidR="00E67794" w:rsidRDefault="00000000">
            <w:pPr>
              <w:pBdr>
                <w:top w:val="nil"/>
                <w:left w:val="nil"/>
                <w:bottom w:val="nil"/>
                <w:right w:val="nil"/>
                <w:between w:val="nil"/>
              </w:pBdr>
              <w:spacing w:line="240" w:lineRule="auto"/>
              <w:rPr>
                <w:color w:val="002060"/>
              </w:rPr>
            </w:pPr>
            <w:r>
              <w:rPr>
                <w:color w:val="002060"/>
              </w:rPr>
              <w:t>CPUC</w:t>
            </w:r>
          </w:p>
        </w:tc>
        <w:tc>
          <w:tcPr>
            <w:tcW w:w="3510" w:type="dxa"/>
            <w:tcBorders>
              <w:top w:val="single" w:sz="3" w:space="0" w:color="C9DAF8"/>
              <w:left w:val="single" w:sz="3" w:space="0" w:color="C9DAF8"/>
              <w:bottom w:val="single" w:sz="3" w:space="0" w:color="C9DAF8"/>
              <w:right w:val="single" w:sz="3" w:space="0" w:color="C9DAF8"/>
            </w:tcBorders>
            <w:shd w:val="clear" w:color="auto" w:fill="FFFFFF"/>
            <w:tcMar>
              <w:top w:w="40" w:type="dxa"/>
              <w:left w:w="40" w:type="dxa"/>
              <w:bottom w:w="40" w:type="dxa"/>
              <w:right w:w="40" w:type="dxa"/>
            </w:tcMar>
            <w:vAlign w:val="bottom"/>
          </w:tcPr>
          <w:p w14:paraId="0238A28A" w14:textId="77777777" w:rsidR="00E67794" w:rsidRDefault="00000000">
            <w:pPr>
              <w:pBdr>
                <w:top w:val="nil"/>
                <w:left w:val="nil"/>
                <w:bottom w:val="nil"/>
                <w:right w:val="nil"/>
                <w:between w:val="nil"/>
              </w:pBdr>
              <w:spacing w:line="240" w:lineRule="auto"/>
              <w:rPr>
                <w:color w:val="002060"/>
              </w:rPr>
            </w:pPr>
            <w:r>
              <w:rPr>
                <w:color w:val="002060"/>
              </w:rPr>
              <w:t>Coby Rudolph</w:t>
            </w:r>
          </w:p>
        </w:tc>
      </w:tr>
      <w:tr w:rsidR="00E67794" w14:paraId="7910816C" w14:textId="77777777">
        <w:trPr>
          <w:trHeight w:val="320"/>
          <w:tblHeader/>
        </w:trPr>
        <w:tc>
          <w:tcPr>
            <w:tcW w:w="7530" w:type="dxa"/>
            <w:gridSpan w:val="2"/>
            <w:tcBorders>
              <w:top w:val="single" w:sz="3" w:space="0" w:color="C9DAF8"/>
            </w:tcBorders>
            <w:shd w:val="clear" w:color="auto" w:fill="B4C6E7"/>
            <w:vAlign w:val="bottom"/>
          </w:tcPr>
          <w:p w14:paraId="57231CB0" w14:textId="77777777" w:rsidR="00E67794" w:rsidRDefault="00000000">
            <w:pPr>
              <w:spacing w:line="240" w:lineRule="auto"/>
              <w:rPr>
                <w:b/>
                <w:bCs/>
                <w:color w:val="002060"/>
              </w:rPr>
            </w:pPr>
            <w:r>
              <w:rPr>
                <w:b/>
                <w:bCs/>
                <w:color w:val="002060"/>
              </w:rPr>
              <w:t>Other Interested Stakeholders</w:t>
            </w:r>
          </w:p>
        </w:tc>
      </w:tr>
      <w:tr w:rsidR="00E67794" w14:paraId="7B0A2B2D" w14:textId="77777777">
        <w:trPr>
          <w:trHeight w:val="320"/>
          <w:tblHeader/>
        </w:trPr>
        <w:tc>
          <w:tcPr>
            <w:tcW w:w="4020" w:type="dxa"/>
            <w:vAlign w:val="bottom"/>
          </w:tcPr>
          <w:p w14:paraId="0942053F" w14:textId="77777777" w:rsidR="00E67794" w:rsidRDefault="00000000">
            <w:pPr>
              <w:spacing w:line="240" w:lineRule="auto"/>
              <w:rPr>
                <w:color w:val="002060"/>
              </w:rPr>
            </w:pPr>
            <w:r>
              <w:rPr>
                <w:color w:val="002060"/>
              </w:rPr>
              <w:lastRenderedPageBreak/>
              <w:t>A La Bonte Advising</w:t>
            </w:r>
          </w:p>
        </w:tc>
        <w:tc>
          <w:tcPr>
            <w:tcW w:w="3510" w:type="dxa"/>
            <w:vAlign w:val="bottom"/>
          </w:tcPr>
          <w:p w14:paraId="44D002D9" w14:textId="77777777" w:rsidR="00E67794" w:rsidRDefault="00000000">
            <w:pPr>
              <w:spacing w:line="240" w:lineRule="auto"/>
              <w:rPr>
                <w:color w:val="002060"/>
              </w:rPr>
            </w:pPr>
            <w:r>
              <w:rPr>
                <w:color w:val="002060"/>
              </w:rPr>
              <w:t>Alison LaBonte</w:t>
            </w:r>
          </w:p>
        </w:tc>
      </w:tr>
      <w:tr w:rsidR="00E67794" w14:paraId="350E58EA" w14:textId="77777777">
        <w:trPr>
          <w:trHeight w:val="320"/>
          <w:tblHeader/>
        </w:trPr>
        <w:tc>
          <w:tcPr>
            <w:tcW w:w="4020" w:type="dxa"/>
            <w:vAlign w:val="bottom"/>
          </w:tcPr>
          <w:p w14:paraId="50275036" w14:textId="77777777" w:rsidR="00E67794" w:rsidRDefault="00000000">
            <w:pPr>
              <w:spacing w:line="240" w:lineRule="auto"/>
              <w:rPr>
                <w:color w:val="002060"/>
              </w:rPr>
            </w:pPr>
            <w:r>
              <w:rPr>
                <w:color w:val="002060"/>
              </w:rPr>
              <w:t>BayREN (contractor)</w:t>
            </w:r>
          </w:p>
        </w:tc>
        <w:tc>
          <w:tcPr>
            <w:tcW w:w="3510" w:type="dxa"/>
            <w:vAlign w:val="bottom"/>
          </w:tcPr>
          <w:p w14:paraId="0F3D12FE" w14:textId="77777777" w:rsidR="00E67794" w:rsidRDefault="00000000">
            <w:pPr>
              <w:spacing w:line="240" w:lineRule="auto"/>
              <w:rPr>
                <w:color w:val="002060"/>
              </w:rPr>
            </w:pPr>
            <w:r>
              <w:rPr>
                <w:color w:val="002060"/>
              </w:rPr>
              <w:t>Tim Olsen</w:t>
            </w:r>
          </w:p>
        </w:tc>
      </w:tr>
      <w:tr w:rsidR="00E67794" w14:paraId="0CDD6E91" w14:textId="77777777">
        <w:trPr>
          <w:trHeight w:val="320"/>
          <w:tblHeader/>
        </w:trPr>
        <w:tc>
          <w:tcPr>
            <w:tcW w:w="4020" w:type="dxa"/>
            <w:vAlign w:val="bottom"/>
          </w:tcPr>
          <w:p w14:paraId="0275DD28" w14:textId="77777777" w:rsidR="00E67794" w:rsidRDefault="00000000">
            <w:pPr>
              <w:spacing w:line="240" w:lineRule="auto"/>
              <w:rPr>
                <w:color w:val="002060"/>
              </w:rPr>
            </w:pPr>
            <w:r>
              <w:rPr>
                <w:color w:val="002060"/>
              </w:rPr>
              <w:t>BluePoint Planning</w:t>
            </w:r>
          </w:p>
        </w:tc>
        <w:tc>
          <w:tcPr>
            <w:tcW w:w="3510" w:type="dxa"/>
            <w:vAlign w:val="bottom"/>
          </w:tcPr>
          <w:p w14:paraId="7EB1FA54" w14:textId="77777777" w:rsidR="00E67794" w:rsidRDefault="00000000">
            <w:pPr>
              <w:spacing w:line="240" w:lineRule="auto"/>
              <w:rPr>
                <w:color w:val="002060"/>
              </w:rPr>
            </w:pPr>
            <w:r>
              <w:rPr>
                <w:color w:val="002060"/>
              </w:rPr>
              <w:t>Bianca Hutner</w:t>
            </w:r>
          </w:p>
        </w:tc>
      </w:tr>
      <w:tr w:rsidR="00E67794" w14:paraId="3FA97372" w14:textId="77777777">
        <w:trPr>
          <w:trHeight w:val="320"/>
          <w:tblHeader/>
        </w:trPr>
        <w:tc>
          <w:tcPr>
            <w:tcW w:w="4020" w:type="dxa"/>
            <w:vAlign w:val="bottom"/>
          </w:tcPr>
          <w:p w14:paraId="25E7796F" w14:textId="77777777" w:rsidR="00E67794" w:rsidRDefault="00000000">
            <w:pPr>
              <w:spacing w:line="240" w:lineRule="auto"/>
              <w:rPr>
                <w:color w:val="002060"/>
              </w:rPr>
            </w:pPr>
            <w:r>
              <w:rPr>
                <w:color w:val="002060"/>
              </w:rPr>
              <w:t>CalPA</w:t>
            </w:r>
          </w:p>
        </w:tc>
        <w:tc>
          <w:tcPr>
            <w:tcW w:w="3510" w:type="dxa"/>
            <w:vAlign w:val="bottom"/>
          </w:tcPr>
          <w:p w14:paraId="3C2A591D" w14:textId="77777777" w:rsidR="00E67794" w:rsidRDefault="00000000">
            <w:pPr>
              <w:spacing w:line="240" w:lineRule="auto"/>
              <w:rPr>
                <w:color w:val="002060"/>
              </w:rPr>
            </w:pPr>
            <w:r>
              <w:rPr>
                <w:color w:val="002060"/>
              </w:rPr>
              <w:t>James Ahlstedt</w:t>
            </w:r>
          </w:p>
        </w:tc>
      </w:tr>
      <w:tr w:rsidR="00E67794" w14:paraId="2D148A8A" w14:textId="77777777">
        <w:trPr>
          <w:trHeight w:val="320"/>
          <w:tblHeader/>
        </w:trPr>
        <w:tc>
          <w:tcPr>
            <w:tcW w:w="4020" w:type="dxa"/>
            <w:vAlign w:val="bottom"/>
          </w:tcPr>
          <w:p w14:paraId="62BEA1F2" w14:textId="77777777" w:rsidR="00E67794" w:rsidRDefault="00000000">
            <w:pPr>
              <w:spacing w:line="240" w:lineRule="auto"/>
              <w:rPr>
                <w:color w:val="002060"/>
              </w:rPr>
            </w:pPr>
            <w:r>
              <w:rPr>
                <w:color w:val="002060"/>
              </w:rPr>
              <w:t>Cascade Energy</w:t>
            </w:r>
          </w:p>
        </w:tc>
        <w:tc>
          <w:tcPr>
            <w:tcW w:w="3510" w:type="dxa"/>
            <w:vAlign w:val="bottom"/>
          </w:tcPr>
          <w:p w14:paraId="4657B055" w14:textId="77777777" w:rsidR="00E67794" w:rsidRDefault="00000000">
            <w:pPr>
              <w:spacing w:line="240" w:lineRule="auto"/>
              <w:rPr>
                <w:color w:val="002060"/>
              </w:rPr>
            </w:pPr>
            <w:r>
              <w:rPr>
                <w:color w:val="002060"/>
              </w:rPr>
              <w:t>Emily Lange</w:t>
            </w:r>
          </w:p>
        </w:tc>
      </w:tr>
      <w:tr w:rsidR="00E67794" w14:paraId="12AF978A" w14:textId="77777777">
        <w:trPr>
          <w:trHeight w:val="320"/>
          <w:tblHeader/>
        </w:trPr>
        <w:tc>
          <w:tcPr>
            <w:tcW w:w="4020" w:type="dxa"/>
            <w:vAlign w:val="bottom"/>
          </w:tcPr>
          <w:p w14:paraId="0813ABEC" w14:textId="77777777" w:rsidR="00E67794" w:rsidRDefault="00000000">
            <w:pPr>
              <w:spacing w:line="240" w:lineRule="auto"/>
              <w:rPr>
                <w:color w:val="002060"/>
              </w:rPr>
            </w:pPr>
            <w:r>
              <w:rPr>
                <w:color w:val="002060"/>
              </w:rPr>
              <w:t>CEC</w:t>
            </w:r>
          </w:p>
        </w:tc>
        <w:tc>
          <w:tcPr>
            <w:tcW w:w="3510" w:type="dxa"/>
            <w:vAlign w:val="bottom"/>
          </w:tcPr>
          <w:p w14:paraId="75B743C3" w14:textId="77777777" w:rsidR="00E67794" w:rsidRDefault="00000000">
            <w:pPr>
              <w:spacing w:line="240" w:lineRule="auto"/>
              <w:rPr>
                <w:color w:val="002060"/>
              </w:rPr>
            </w:pPr>
            <w:r>
              <w:rPr>
                <w:color w:val="002060"/>
              </w:rPr>
              <w:t>Elicia Yoffee</w:t>
            </w:r>
          </w:p>
        </w:tc>
      </w:tr>
      <w:tr w:rsidR="00E67794" w14:paraId="514A61FB" w14:textId="77777777">
        <w:trPr>
          <w:trHeight w:val="320"/>
          <w:tblHeader/>
        </w:trPr>
        <w:tc>
          <w:tcPr>
            <w:tcW w:w="4020" w:type="dxa"/>
            <w:vAlign w:val="bottom"/>
          </w:tcPr>
          <w:p w14:paraId="75553ACF" w14:textId="77777777" w:rsidR="00E67794" w:rsidRDefault="00000000">
            <w:pPr>
              <w:spacing w:line="240" w:lineRule="auto"/>
              <w:rPr>
                <w:color w:val="002060"/>
              </w:rPr>
            </w:pPr>
            <w:r>
              <w:rPr>
                <w:color w:val="002060"/>
              </w:rPr>
              <w:t>CPUC</w:t>
            </w:r>
          </w:p>
        </w:tc>
        <w:tc>
          <w:tcPr>
            <w:tcW w:w="3510" w:type="dxa"/>
            <w:vAlign w:val="bottom"/>
          </w:tcPr>
          <w:p w14:paraId="61BE0172" w14:textId="77777777" w:rsidR="00E67794" w:rsidRDefault="00000000">
            <w:pPr>
              <w:spacing w:line="240" w:lineRule="auto"/>
              <w:rPr>
                <w:color w:val="002060"/>
              </w:rPr>
            </w:pPr>
            <w:r>
              <w:rPr>
                <w:color w:val="002060"/>
              </w:rPr>
              <w:t>Peter Franzese</w:t>
            </w:r>
          </w:p>
        </w:tc>
      </w:tr>
      <w:tr w:rsidR="00E67794" w14:paraId="1A395BAD" w14:textId="77777777">
        <w:trPr>
          <w:trHeight w:val="320"/>
          <w:tblHeader/>
        </w:trPr>
        <w:tc>
          <w:tcPr>
            <w:tcW w:w="4020" w:type="dxa"/>
            <w:vAlign w:val="bottom"/>
          </w:tcPr>
          <w:p w14:paraId="2D9DC5C8" w14:textId="77777777" w:rsidR="00E67794" w:rsidRDefault="00000000">
            <w:pPr>
              <w:spacing w:line="240" w:lineRule="auto"/>
              <w:rPr>
                <w:b/>
                <w:bCs/>
                <w:color w:val="002060"/>
              </w:rPr>
            </w:pPr>
            <w:r>
              <w:rPr>
                <w:color w:val="002060"/>
              </w:rPr>
              <w:t>CPUC</w:t>
            </w:r>
          </w:p>
        </w:tc>
        <w:tc>
          <w:tcPr>
            <w:tcW w:w="3510" w:type="dxa"/>
            <w:vAlign w:val="bottom"/>
          </w:tcPr>
          <w:p w14:paraId="18B95D34" w14:textId="77777777" w:rsidR="00E67794" w:rsidRDefault="00000000">
            <w:pPr>
              <w:spacing w:line="240" w:lineRule="auto"/>
              <w:rPr>
                <w:color w:val="002060"/>
              </w:rPr>
            </w:pPr>
            <w:r>
              <w:rPr>
                <w:color w:val="002060"/>
              </w:rPr>
              <w:t>William Graswich</w:t>
            </w:r>
          </w:p>
        </w:tc>
      </w:tr>
      <w:tr w:rsidR="00E67794" w14:paraId="514FF763" w14:textId="77777777">
        <w:trPr>
          <w:trHeight w:val="320"/>
          <w:tblHeader/>
        </w:trPr>
        <w:tc>
          <w:tcPr>
            <w:tcW w:w="4020" w:type="dxa"/>
            <w:vAlign w:val="bottom"/>
          </w:tcPr>
          <w:p w14:paraId="257EAFC6" w14:textId="77777777" w:rsidR="00E67794" w:rsidRDefault="00000000">
            <w:pPr>
              <w:spacing w:line="240" w:lineRule="auto"/>
              <w:rPr>
                <w:color w:val="002060"/>
              </w:rPr>
            </w:pPr>
            <w:r>
              <w:rPr>
                <w:color w:val="002060"/>
              </w:rPr>
              <w:t>CPUC</w:t>
            </w:r>
          </w:p>
        </w:tc>
        <w:tc>
          <w:tcPr>
            <w:tcW w:w="3510" w:type="dxa"/>
            <w:vAlign w:val="bottom"/>
          </w:tcPr>
          <w:p w14:paraId="082A140D" w14:textId="77777777" w:rsidR="00E67794" w:rsidRDefault="00000000">
            <w:pPr>
              <w:spacing w:line="240" w:lineRule="auto"/>
              <w:rPr>
                <w:color w:val="002060"/>
              </w:rPr>
            </w:pPr>
            <w:r>
              <w:rPr>
                <w:color w:val="002060"/>
              </w:rPr>
              <w:t>Leanne Hoadley</w:t>
            </w:r>
          </w:p>
        </w:tc>
      </w:tr>
      <w:tr w:rsidR="00E67794" w14:paraId="0C34CA49" w14:textId="77777777">
        <w:trPr>
          <w:trHeight w:val="320"/>
          <w:tblHeader/>
        </w:trPr>
        <w:tc>
          <w:tcPr>
            <w:tcW w:w="4020" w:type="dxa"/>
            <w:vAlign w:val="bottom"/>
          </w:tcPr>
          <w:p w14:paraId="03D26171" w14:textId="77777777" w:rsidR="00E67794" w:rsidRDefault="00000000">
            <w:pPr>
              <w:spacing w:line="240" w:lineRule="auto"/>
              <w:rPr>
                <w:color w:val="002060"/>
              </w:rPr>
            </w:pPr>
            <w:r>
              <w:rPr>
                <w:color w:val="002060"/>
              </w:rPr>
              <w:t>CPUC</w:t>
            </w:r>
          </w:p>
        </w:tc>
        <w:tc>
          <w:tcPr>
            <w:tcW w:w="3510" w:type="dxa"/>
            <w:vAlign w:val="bottom"/>
          </w:tcPr>
          <w:p w14:paraId="38F0E2AD" w14:textId="77777777" w:rsidR="00E67794" w:rsidRDefault="00000000">
            <w:pPr>
              <w:spacing w:line="240" w:lineRule="auto"/>
              <w:rPr>
                <w:color w:val="002060"/>
              </w:rPr>
            </w:pPr>
            <w:r>
              <w:rPr>
                <w:color w:val="002060"/>
              </w:rPr>
              <w:t>Kapil Kulkarni</w:t>
            </w:r>
          </w:p>
        </w:tc>
      </w:tr>
      <w:tr w:rsidR="00E67794" w14:paraId="79AD7268" w14:textId="77777777">
        <w:trPr>
          <w:trHeight w:val="320"/>
          <w:tblHeader/>
        </w:trPr>
        <w:tc>
          <w:tcPr>
            <w:tcW w:w="4020" w:type="dxa"/>
            <w:vAlign w:val="bottom"/>
          </w:tcPr>
          <w:p w14:paraId="60411847" w14:textId="77777777" w:rsidR="00E67794" w:rsidRDefault="00000000">
            <w:pPr>
              <w:spacing w:line="240" w:lineRule="auto"/>
              <w:rPr>
                <w:color w:val="002060"/>
              </w:rPr>
            </w:pPr>
            <w:r>
              <w:rPr>
                <w:color w:val="002060"/>
              </w:rPr>
              <w:t>CPUC</w:t>
            </w:r>
          </w:p>
        </w:tc>
        <w:tc>
          <w:tcPr>
            <w:tcW w:w="3510" w:type="dxa"/>
            <w:vAlign w:val="bottom"/>
          </w:tcPr>
          <w:p w14:paraId="3C4D39C1" w14:textId="77777777" w:rsidR="00E67794" w:rsidRDefault="00000000">
            <w:pPr>
              <w:spacing w:line="240" w:lineRule="auto"/>
              <w:rPr>
                <w:color w:val="002060"/>
              </w:rPr>
            </w:pPr>
            <w:r>
              <w:rPr>
                <w:color w:val="002060"/>
              </w:rPr>
              <w:t xml:space="preserve">Yeshi Lemma </w:t>
            </w:r>
          </w:p>
        </w:tc>
      </w:tr>
      <w:tr w:rsidR="00E67794" w14:paraId="0DBF8B41" w14:textId="77777777">
        <w:trPr>
          <w:trHeight w:val="320"/>
          <w:tblHeader/>
        </w:trPr>
        <w:tc>
          <w:tcPr>
            <w:tcW w:w="4020" w:type="dxa"/>
            <w:vAlign w:val="bottom"/>
          </w:tcPr>
          <w:p w14:paraId="0E0B030F" w14:textId="77777777" w:rsidR="00E67794" w:rsidRDefault="00000000">
            <w:pPr>
              <w:spacing w:line="240" w:lineRule="auto"/>
              <w:rPr>
                <w:color w:val="002060"/>
              </w:rPr>
            </w:pPr>
            <w:r>
              <w:rPr>
                <w:color w:val="002060"/>
              </w:rPr>
              <w:t>CPUC</w:t>
            </w:r>
          </w:p>
        </w:tc>
        <w:tc>
          <w:tcPr>
            <w:tcW w:w="3510" w:type="dxa"/>
            <w:vAlign w:val="bottom"/>
          </w:tcPr>
          <w:p w14:paraId="578112EA" w14:textId="77777777" w:rsidR="00E67794" w:rsidRDefault="00000000">
            <w:pPr>
              <w:spacing w:line="240" w:lineRule="auto"/>
              <w:rPr>
                <w:color w:val="002060"/>
              </w:rPr>
            </w:pPr>
            <w:r>
              <w:rPr>
                <w:color w:val="002060"/>
              </w:rPr>
              <w:t>Jessie Levine</w:t>
            </w:r>
          </w:p>
        </w:tc>
      </w:tr>
      <w:tr w:rsidR="00E67794" w14:paraId="0330B878" w14:textId="77777777">
        <w:trPr>
          <w:trHeight w:val="320"/>
          <w:tblHeader/>
        </w:trPr>
        <w:tc>
          <w:tcPr>
            <w:tcW w:w="4020" w:type="dxa"/>
            <w:vAlign w:val="bottom"/>
          </w:tcPr>
          <w:p w14:paraId="084DF3D7" w14:textId="77777777" w:rsidR="00E67794" w:rsidRDefault="00000000">
            <w:pPr>
              <w:spacing w:line="240" w:lineRule="auto"/>
              <w:rPr>
                <w:color w:val="002060"/>
              </w:rPr>
            </w:pPr>
            <w:r>
              <w:rPr>
                <w:color w:val="002060"/>
              </w:rPr>
              <w:t>CPUC</w:t>
            </w:r>
          </w:p>
        </w:tc>
        <w:tc>
          <w:tcPr>
            <w:tcW w:w="3510" w:type="dxa"/>
            <w:vAlign w:val="bottom"/>
          </w:tcPr>
          <w:p w14:paraId="31902D90" w14:textId="77777777" w:rsidR="00E67794" w:rsidRDefault="00000000">
            <w:pPr>
              <w:spacing w:line="240" w:lineRule="auto"/>
              <w:rPr>
                <w:color w:val="002060"/>
              </w:rPr>
            </w:pPr>
            <w:r>
              <w:rPr>
                <w:color w:val="002060"/>
              </w:rPr>
              <w:t>Savannah McLaughlin</w:t>
            </w:r>
          </w:p>
        </w:tc>
      </w:tr>
      <w:tr w:rsidR="00E67794" w14:paraId="746F469F" w14:textId="77777777">
        <w:trPr>
          <w:trHeight w:val="320"/>
          <w:tblHeader/>
        </w:trPr>
        <w:tc>
          <w:tcPr>
            <w:tcW w:w="4020" w:type="dxa"/>
            <w:vAlign w:val="bottom"/>
          </w:tcPr>
          <w:p w14:paraId="7F218E2F" w14:textId="77777777" w:rsidR="00E67794" w:rsidRDefault="00000000">
            <w:pPr>
              <w:spacing w:line="240" w:lineRule="auto"/>
              <w:rPr>
                <w:color w:val="002060"/>
              </w:rPr>
            </w:pPr>
            <w:r>
              <w:rPr>
                <w:color w:val="002060"/>
              </w:rPr>
              <w:t>CPUC</w:t>
            </w:r>
          </w:p>
        </w:tc>
        <w:tc>
          <w:tcPr>
            <w:tcW w:w="3510" w:type="dxa"/>
            <w:vAlign w:val="bottom"/>
          </w:tcPr>
          <w:p w14:paraId="4558A2ED" w14:textId="77777777" w:rsidR="00E67794" w:rsidRDefault="00000000">
            <w:pPr>
              <w:spacing w:line="240" w:lineRule="auto"/>
              <w:rPr>
                <w:color w:val="002060"/>
              </w:rPr>
            </w:pPr>
            <w:r>
              <w:rPr>
                <w:color w:val="002060"/>
              </w:rPr>
              <w:t xml:space="preserve">Amy Reardon </w:t>
            </w:r>
          </w:p>
        </w:tc>
      </w:tr>
      <w:tr w:rsidR="00E67794" w14:paraId="614A3B1A" w14:textId="77777777">
        <w:trPr>
          <w:trHeight w:val="320"/>
          <w:tblHeader/>
        </w:trPr>
        <w:tc>
          <w:tcPr>
            <w:tcW w:w="4020" w:type="dxa"/>
            <w:vAlign w:val="bottom"/>
          </w:tcPr>
          <w:p w14:paraId="6BF52A82" w14:textId="77777777" w:rsidR="00E67794" w:rsidRDefault="00000000">
            <w:pPr>
              <w:spacing w:line="240" w:lineRule="auto"/>
              <w:rPr>
                <w:color w:val="002060"/>
              </w:rPr>
            </w:pPr>
            <w:r>
              <w:rPr>
                <w:color w:val="002060"/>
              </w:rPr>
              <w:t>CPUC</w:t>
            </w:r>
          </w:p>
        </w:tc>
        <w:tc>
          <w:tcPr>
            <w:tcW w:w="3510" w:type="dxa"/>
            <w:vAlign w:val="bottom"/>
          </w:tcPr>
          <w:p w14:paraId="376CBAE2" w14:textId="77777777" w:rsidR="00E67794" w:rsidRDefault="00000000">
            <w:pPr>
              <w:spacing w:line="240" w:lineRule="auto"/>
              <w:rPr>
                <w:color w:val="002060"/>
              </w:rPr>
            </w:pPr>
            <w:r>
              <w:rPr>
                <w:color w:val="002060"/>
              </w:rPr>
              <w:t>Gillian Weaver</w:t>
            </w:r>
          </w:p>
        </w:tc>
      </w:tr>
      <w:tr w:rsidR="00E67794" w14:paraId="7701ED3B" w14:textId="77777777">
        <w:trPr>
          <w:trHeight w:val="320"/>
          <w:tblHeader/>
        </w:trPr>
        <w:tc>
          <w:tcPr>
            <w:tcW w:w="4020" w:type="dxa"/>
            <w:vAlign w:val="bottom"/>
          </w:tcPr>
          <w:p w14:paraId="77CA4DD3" w14:textId="77777777" w:rsidR="00E67794" w:rsidRDefault="00000000">
            <w:pPr>
              <w:spacing w:line="240" w:lineRule="auto"/>
              <w:rPr>
                <w:color w:val="002060"/>
              </w:rPr>
            </w:pPr>
            <w:r>
              <w:rPr>
                <w:color w:val="002060"/>
              </w:rPr>
              <w:t>CPUC</w:t>
            </w:r>
          </w:p>
        </w:tc>
        <w:tc>
          <w:tcPr>
            <w:tcW w:w="3510" w:type="dxa"/>
            <w:vAlign w:val="bottom"/>
          </w:tcPr>
          <w:p w14:paraId="2718A1BF" w14:textId="77777777" w:rsidR="00E67794" w:rsidRDefault="00000000">
            <w:pPr>
              <w:spacing w:line="240" w:lineRule="auto"/>
              <w:rPr>
                <w:color w:val="002060"/>
              </w:rPr>
            </w:pPr>
            <w:r>
              <w:rPr>
                <w:color w:val="002060"/>
              </w:rPr>
              <w:t>Ana Zapata</w:t>
            </w:r>
          </w:p>
        </w:tc>
      </w:tr>
      <w:tr w:rsidR="00E67794" w14:paraId="4F9CC266" w14:textId="77777777">
        <w:trPr>
          <w:trHeight w:val="320"/>
          <w:tblHeader/>
        </w:trPr>
        <w:tc>
          <w:tcPr>
            <w:tcW w:w="4020" w:type="dxa"/>
            <w:vAlign w:val="bottom"/>
          </w:tcPr>
          <w:p w14:paraId="1FF6F043" w14:textId="77777777" w:rsidR="00E67794" w:rsidRDefault="00000000">
            <w:pPr>
              <w:spacing w:line="240" w:lineRule="auto"/>
              <w:rPr>
                <w:color w:val="002060"/>
              </w:rPr>
            </w:pPr>
            <w:r>
              <w:rPr>
                <w:color w:val="002060"/>
              </w:rPr>
              <w:t>DNV</w:t>
            </w:r>
          </w:p>
        </w:tc>
        <w:tc>
          <w:tcPr>
            <w:tcW w:w="3510" w:type="dxa"/>
            <w:vAlign w:val="bottom"/>
          </w:tcPr>
          <w:p w14:paraId="5F6C0F88" w14:textId="77777777" w:rsidR="00E67794" w:rsidRDefault="00000000">
            <w:pPr>
              <w:spacing w:line="240" w:lineRule="auto"/>
              <w:rPr>
                <w:color w:val="002060"/>
              </w:rPr>
            </w:pPr>
            <w:r>
              <w:rPr>
                <w:color w:val="002060"/>
              </w:rPr>
              <w:t>Lindsay Keane</w:t>
            </w:r>
          </w:p>
        </w:tc>
      </w:tr>
      <w:tr w:rsidR="00E67794" w14:paraId="557B2160" w14:textId="77777777">
        <w:trPr>
          <w:trHeight w:val="320"/>
          <w:tblHeader/>
        </w:trPr>
        <w:tc>
          <w:tcPr>
            <w:tcW w:w="4020" w:type="dxa"/>
            <w:vAlign w:val="bottom"/>
          </w:tcPr>
          <w:p w14:paraId="4BDAB5C5" w14:textId="77777777" w:rsidR="00E67794" w:rsidRDefault="00000000">
            <w:pPr>
              <w:spacing w:line="240" w:lineRule="auto"/>
              <w:rPr>
                <w:color w:val="002060"/>
              </w:rPr>
            </w:pPr>
            <w:r>
              <w:rPr>
                <w:color w:val="002060"/>
              </w:rPr>
              <w:t>Ecology Action</w:t>
            </w:r>
          </w:p>
        </w:tc>
        <w:tc>
          <w:tcPr>
            <w:tcW w:w="3510" w:type="dxa"/>
            <w:vAlign w:val="bottom"/>
          </w:tcPr>
          <w:p w14:paraId="207C23EE" w14:textId="77777777" w:rsidR="00E67794" w:rsidRDefault="00000000">
            <w:pPr>
              <w:spacing w:line="240" w:lineRule="auto"/>
              <w:rPr>
                <w:color w:val="002060"/>
              </w:rPr>
            </w:pPr>
            <w:r>
              <w:rPr>
                <w:color w:val="002060"/>
              </w:rPr>
              <w:t>Lore James</w:t>
            </w:r>
          </w:p>
        </w:tc>
      </w:tr>
      <w:tr w:rsidR="00E67794" w14:paraId="4F3C2605" w14:textId="77777777">
        <w:trPr>
          <w:trHeight w:val="320"/>
          <w:tblHeader/>
        </w:trPr>
        <w:tc>
          <w:tcPr>
            <w:tcW w:w="4020" w:type="dxa"/>
            <w:vAlign w:val="bottom"/>
          </w:tcPr>
          <w:p w14:paraId="6FBC3763" w14:textId="77777777" w:rsidR="00E67794" w:rsidRDefault="00000000">
            <w:pPr>
              <w:spacing w:line="240" w:lineRule="auto"/>
              <w:rPr>
                <w:color w:val="002060"/>
              </w:rPr>
            </w:pPr>
            <w:r>
              <w:rPr>
                <w:color w:val="002060"/>
              </w:rPr>
              <w:t>Energy Infrastructure Partners</w:t>
            </w:r>
          </w:p>
        </w:tc>
        <w:tc>
          <w:tcPr>
            <w:tcW w:w="3510" w:type="dxa"/>
            <w:vAlign w:val="bottom"/>
          </w:tcPr>
          <w:p w14:paraId="22A5D72A" w14:textId="77777777" w:rsidR="00E67794" w:rsidRDefault="00000000">
            <w:pPr>
              <w:spacing w:line="240" w:lineRule="auto"/>
              <w:rPr>
                <w:color w:val="002060"/>
              </w:rPr>
            </w:pPr>
            <w:r>
              <w:rPr>
                <w:color w:val="002060"/>
              </w:rPr>
              <w:t>Renwick Paige</w:t>
            </w:r>
          </w:p>
        </w:tc>
      </w:tr>
      <w:tr w:rsidR="00E67794" w14:paraId="794BFD86" w14:textId="77777777">
        <w:trPr>
          <w:trHeight w:val="320"/>
          <w:tblHeader/>
        </w:trPr>
        <w:tc>
          <w:tcPr>
            <w:tcW w:w="4020" w:type="dxa"/>
            <w:vAlign w:val="bottom"/>
          </w:tcPr>
          <w:p w14:paraId="518B7DC2" w14:textId="77777777" w:rsidR="00E67794" w:rsidRDefault="00000000">
            <w:pPr>
              <w:spacing w:line="240" w:lineRule="auto"/>
              <w:rPr>
                <w:color w:val="002060"/>
              </w:rPr>
            </w:pPr>
            <w:r>
              <w:rPr>
                <w:color w:val="002060"/>
              </w:rPr>
              <w:t>Environmental Innovations</w:t>
            </w:r>
          </w:p>
        </w:tc>
        <w:tc>
          <w:tcPr>
            <w:tcW w:w="3510" w:type="dxa"/>
            <w:vAlign w:val="bottom"/>
          </w:tcPr>
          <w:p w14:paraId="6F64638D" w14:textId="77777777" w:rsidR="00E67794" w:rsidRDefault="00000000">
            <w:pPr>
              <w:spacing w:line="240" w:lineRule="auto"/>
              <w:rPr>
                <w:color w:val="002060"/>
              </w:rPr>
            </w:pPr>
            <w:r>
              <w:rPr>
                <w:color w:val="002060"/>
              </w:rPr>
              <w:t>Brooke Wright</w:t>
            </w:r>
          </w:p>
        </w:tc>
      </w:tr>
      <w:tr w:rsidR="00E67794" w14:paraId="459444E2" w14:textId="77777777">
        <w:trPr>
          <w:trHeight w:val="320"/>
          <w:tblHeader/>
        </w:trPr>
        <w:tc>
          <w:tcPr>
            <w:tcW w:w="4020" w:type="dxa"/>
            <w:vAlign w:val="bottom"/>
          </w:tcPr>
          <w:p w14:paraId="7349EDB2" w14:textId="77777777" w:rsidR="00E67794" w:rsidRDefault="00000000">
            <w:pPr>
              <w:spacing w:line="240" w:lineRule="auto"/>
              <w:rPr>
                <w:color w:val="002060"/>
              </w:rPr>
            </w:pPr>
            <w:r>
              <w:rPr>
                <w:color w:val="002060"/>
              </w:rPr>
              <w:t>Frontier Energy</w:t>
            </w:r>
          </w:p>
        </w:tc>
        <w:tc>
          <w:tcPr>
            <w:tcW w:w="3510" w:type="dxa"/>
            <w:vAlign w:val="bottom"/>
          </w:tcPr>
          <w:p w14:paraId="7630B4C8" w14:textId="77777777" w:rsidR="00E67794" w:rsidRDefault="00000000">
            <w:pPr>
              <w:spacing w:line="240" w:lineRule="auto"/>
              <w:rPr>
                <w:color w:val="002060"/>
              </w:rPr>
            </w:pPr>
            <w:r>
              <w:rPr>
                <w:color w:val="002060"/>
              </w:rPr>
              <w:t>Berenice Alfaro</w:t>
            </w:r>
          </w:p>
        </w:tc>
      </w:tr>
      <w:tr w:rsidR="00E67794" w14:paraId="42D514E7" w14:textId="77777777">
        <w:trPr>
          <w:trHeight w:val="320"/>
          <w:tblHeader/>
        </w:trPr>
        <w:tc>
          <w:tcPr>
            <w:tcW w:w="4020" w:type="dxa"/>
            <w:vAlign w:val="bottom"/>
          </w:tcPr>
          <w:p w14:paraId="64235F0D" w14:textId="77777777" w:rsidR="00E67794" w:rsidRDefault="00000000">
            <w:pPr>
              <w:spacing w:line="240" w:lineRule="auto"/>
              <w:rPr>
                <w:color w:val="002060"/>
              </w:rPr>
            </w:pPr>
            <w:r>
              <w:rPr>
                <w:color w:val="002060"/>
              </w:rPr>
              <w:t>Frontier Energy</w:t>
            </w:r>
          </w:p>
        </w:tc>
        <w:tc>
          <w:tcPr>
            <w:tcW w:w="3510" w:type="dxa"/>
            <w:vAlign w:val="bottom"/>
          </w:tcPr>
          <w:p w14:paraId="3C026478" w14:textId="77777777" w:rsidR="00E67794" w:rsidRDefault="00000000">
            <w:pPr>
              <w:spacing w:line="240" w:lineRule="auto"/>
              <w:rPr>
                <w:color w:val="002060"/>
              </w:rPr>
            </w:pPr>
            <w:r>
              <w:rPr>
                <w:color w:val="002060"/>
              </w:rPr>
              <w:t>Emily Carter</w:t>
            </w:r>
          </w:p>
        </w:tc>
      </w:tr>
      <w:tr w:rsidR="00E67794" w14:paraId="7F84EB35" w14:textId="77777777">
        <w:trPr>
          <w:trHeight w:val="320"/>
          <w:tblHeader/>
        </w:trPr>
        <w:tc>
          <w:tcPr>
            <w:tcW w:w="4020" w:type="dxa"/>
            <w:vAlign w:val="bottom"/>
          </w:tcPr>
          <w:p w14:paraId="038FBC6F" w14:textId="77777777" w:rsidR="00E67794" w:rsidRDefault="00000000">
            <w:pPr>
              <w:spacing w:line="240" w:lineRule="auto"/>
              <w:rPr>
                <w:color w:val="002060"/>
              </w:rPr>
            </w:pPr>
            <w:r>
              <w:rPr>
                <w:color w:val="002060"/>
              </w:rPr>
              <w:t>Frontier Energy</w:t>
            </w:r>
          </w:p>
        </w:tc>
        <w:tc>
          <w:tcPr>
            <w:tcW w:w="3510" w:type="dxa"/>
            <w:vAlign w:val="bottom"/>
          </w:tcPr>
          <w:p w14:paraId="3C3CB1FC" w14:textId="77777777" w:rsidR="00E67794" w:rsidRDefault="00000000">
            <w:pPr>
              <w:spacing w:line="240" w:lineRule="auto"/>
              <w:rPr>
                <w:color w:val="002060"/>
              </w:rPr>
            </w:pPr>
            <w:r>
              <w:rPr>
                <w:color w:val="002060"/>
              </w:rPr>
              <w:t>Jesse Farber-Eger</w:t>
            </w:r>
          </w:p>
        </w:tc>
      </w:tr>
      <w:tr w:rsidR="00E67794" w14:paraId="22C679A3" w14:textId="77777777">
        <w:trPr>
          <w:trHeight w:val="320"/>
          <w:tblHeader/>
        </w:trPr>
        <w:tc>
          <w:tcPr>
            <w:tcW w:w="4020" w:type="dxa"/>
            <w:vAlign w:val="bottom"/>
          </w:tcPr>
          <w:p w14:paraId="29404837" w14:textId="77777777" w:rsidR="00E67794" w:rsidRDefault="00000000">
            <w:pPr>
              <w:spacing w:line="240" w:lineRule="auto"/>
              <w:rPr>
                <w:color w:val="002060"/>
              </w:rPr>
            </w:pPr>
            <w:r>
              <w:rPr>
                <w:color w:val="002060"/>
              </w:rPr>
              <w:t>Frontier Energy</w:t>
            </w:r>
          </w:p>
        </w:tc>
        <w:tc>
          <w:tcPr>
            <w:tcW w:w="3510" w:type="dxa"/>
            <w:vAlign w:val="bottom"/>
          </w:tcPr>
          <w:p w14:paraId="221F387B" w14:textId="77777777" w:rsidR="00E67794" w:rsidRDefault="00000000">
            <w:pPr>
              <w:spacing w:line="240" w:lineRule="auto"/>
              <w:rPr>
                <w:color w:val="002060"/>
              </w:rPr>
            </w:pPr>
            <w:r>
              <w:rPr>
                <w:color w:val="002060"/>
              </w:rPr>
              <w:t>Aaron Jones</w:t>
            </w:r>
          </w:p>
        </w:tc>
      </w:tr>
      <w:tr w:rsidR="00E67794" w14:paraId="183274FC" w14:textId="77777777">
        <w:trPr>
          <w:trHeight w:val="320"/>
          <w:tblHeader/>
        </w:trPr>
        <w:tc>
          <w:tcPr>
            <w:tcW w:w="4020" w:type="dxa"/>
            <w:vAlign w:val="bottom"/>
          </w:tcPr>
          <w:p w14:paraId="33352979" w14:textId="77777777" w:rsidR="00E67794" w:rsidRDefault="00000000">
            <w:pPr>
              <w:spacing w:line="240" w:lineRule="auto"/>
              <w:rPr>
                <w:color w:val="002060"/>
              </w:rPr>
            </w:pPr>
            <w:r>
              <w:rPr>
                <w:color w:val="002060"/>
              </w:rPr>
              <w:t>Frontier Energy</w:t>
            </w:r>
          </w:p>
        </w:tc>
        <w:tc>
          <w:tcPr>
            <w:tcW w:w="3510" w:type="dxa"/>
            <w:vAlign w:val="bottom"/>
          </w:tcPr>
          <w:p w14:paraId="1984D6D5" w14:textId="77777777" w:rsidR="00E67794" w:rsidRDefault="00000000">
            <w:pPr>
              <w:spacing w:line="240" w:lineRule="auto"/>
              <w:rPr>
                <w:color w:val="002060"/>
              </w:rPr>
            </w:pPr>
            <w:r>
              <w:rPr>
                <w:color w:val="002060"/>
              </w:rPr>
              <w:t>Kristin Larson</w:t>
            </w:r>
          </w:p>
        </w:tc>
      </w:tr>
      <w:tr w:rsidR="00E67794" w14:paraId="1A32052C" w14:textId="77777777">
        <w:trPr>
          <w:trHeight w:val="320"/>
          <w:tblHeader/>
        </w:trPr>
        <w:tc>
          <w:tcPr>
            <w:tcW w:w="4020" w:type="dxa"/>
            <w:vAlign w:val="bottom"/>
          </w:tcPr>
          <w:p w14:paraId="62BEA596" w14:textId="77777777" w:rsidR="00E67794" w:rsidRDefault="00000000">
            <w:pPr>
              <w:spacing w:line="240" w:lineRule="auto"/>
              <w:rPr>
                <w:color w:val="002060"/>
              </w:rPr>
            </w:pPr>
            <w:r>
              <w:rPr>
                <w:color w:val="002060"/>
              </w:rPr>
              <w:t>Frontier Energy</w:t>
            </w:r>
          </w:p>
        </w:tc>
        <w:tc>
          <w:tcPr>
            <w:tcW w:w="3510" w:type="dxa"/>
            <w:vAlign w:val="bottom"/>
          </w:tcPr>
          <w:p w14:paraId="46E3549E" w14:textId="77777777" w:rsidR="00E67794" w:rsidRDefault="00000000">
            <w:pPr>
              <w:spacing w:line="240" w:lineRule="auto"/>
              <w:rPr>
                <w:color w:val="002060"/>
              </w:rPr>
            </w:pPr>
            <w:r>
              <w:rPr>
                <w:color w:val="002060"/>
              </w:rPr>
              <w:t>Margaret Marchant</w:t>
            </w:r>
          </w:p>
        </w:tc>
      </w:tr>
      <w:tr w:rsidR="00E67794" w14:paraId="0610BB5F" w14:textId="77777777">
        <w:trPr>
          <w:trHeight w:val="300"/>
          <w:tblHeader/>
        </w:trPr>
        <w:tc>
          <w:tcPr>
            <w:tcW w:w="4020" w:type="dxa"/>
            <w:vAlign w:val="bottom"/>
          </w:tcPr>
          <w:p w14:paraId="0BFD1F50" w14:textId="77777777" w:rsidR="00E67794" w:rsidRDefault="00000000">
            <w:pPr>
              <w:spacing w:line="240" w:lineRule="auto"/>
              <w:rPr>
                <w:color w:val="002060"/>
              </w:rPr>
            </w:pPr>
            <w:r>
              <w:rPr>
                <w:color w:val="002060"/>
              </w:rPr>
              <w:t xml:space="preserve">Grounded Research </w:t>
            </w:r>
          </w:p>
        </w:tc>
        <w:tc>
          <w:tcPr>
            <w:tcW w:w="3510" w:type="dxa"/>
            <w:vAlign w:val="bottom"/>
          </w:tcPr>
          <w:p w14:paraId="08A6E7A1" w14:textId="77777777" w:rsidR="00E67794" w:rsidRDefault="00000000">
            <w:pPr>
              <w:spacing w:line="240" w:lineRule="auto"/>
              <w:rPr>
                <w:color w:val="002060"/>
              </w:rPr>
            </w:pPr>
            <w:r>
              <w:rPr>
                <w:color w:val="002060"/>
              </w:rPr>
              <w:t>Mary Sutter</w:t>
            </w:r>
          </w:p>
        </w:tc>
      </w:tr>
      <w:tr w:rsidR="00E67794" w14:paraId="64F7E4B1" w14:textId="77777777">
        <w:trPr>
          <w:trHeight w:val="300"/>
          <w:tblHeader/>
        </w:trPr>
        <w:tc>
          <w:tcPr>
            <w:tcW w:w="4020" w:type="dxa"/>
            <w:vAlign w:val="bottom"/>
          </w:tcPr>
          <w:p w14:paraId="4AF0E19C" w14:textId="77777777" w:rsidR="00E67794" w:rsidRDefault="00000000">
            <w:pPr>
              <w:spacing w:line="240" w:lineRule="auto"/>
              <w:rPr>
                <w:color w:val="002060"/>
              </w:rPr>
            </w:pPr>
            <w:r>
              <w:rPr>
                <w:color w:val="002060"/>
              </w:rPr>
              <w:t>ICF</w:t>
            </w:r>
          </w:p>
        </w:tc>
        <w:tc>
          <w:tcPr>
            <w:tcW w:w="3510" w:type="dxa"/>
            <w:vAlign w:val="bottom"/>
          </w:tcPr>
          <w:p w14:paraId="160BFD0F" w14:textId="77777777" w:rsidR="00E67794" w:rsidRDefault="00000000">
            <w:pPr>
              <w:spacing w:line="240" w:lineRule="auto"/>
              <w:rPr>
                <w:color w:val="002060"/>
              </w:rPr>
            </w:pPr>
            <w:r>
              <w:rPr>
                <w:color w:val="002060"/>
              </w:rPr>
              <w:t>Mark Ouellette</w:t>
            </w:r>
          </w:p>
        </w:tc>
      </w:tr>
      <w:tr w:rsidR="00E67794" w14:paraId="550D56F4" w14:textId="77777777">
        <w:trPr>
          <w:trHeight w:val="320"/>
          <w:tblHeader/>
        </w:trPr>
        <w:tc>
          <w:tcPr>
            <w:tcW w:w="4020" w:type="dxa"/>
            <w:vAlign w:val="bottom"/>
          </w:tcPr>
          <w:p w14:paraId="150D35A4" w14:textId="77777777" w:rsidR="00E67794" w:rsidRDefault="00000000">
            <w:pPr>
              <w:spacing w:line="240" w:lineRule="auto"/>
              <w:rPr>
                <w:color w:val="002060"/>
              </w:rPr>
            </w:pPr>
            <w:r>
              <w:rPr>
                <w:color w:val="002060"/>
              </w:rPr>
              <w:t>Illume</w:t>
            </w:r>
          </w:p>
        </w:tc>
        <w:tc>
          <w:tcPr>
            <w:tcW w:w="3510" w:type="dxa"/>
            <w:vAlign w:val="bottom"/>
          </w:tcPr>
          <w:p w14:paraId="36CF982A" w14:textId="77777777" w:rsidR="00E67794" w:rsidRDefault="00000000">
            <w:pPr>
              <w:spacing w:line="240" w:lineRule="auto"/>
              <w:rPr>
                <w:color w:val="002060"/>
              </w:rPr>
            </w:pPr>
            <w:r>
              <w:rPr>
                <w:color w:val="002060"/>
              </w:rPr>
              <w:t>Emily Morris</w:t>
            </w:r>
          </w:p>
        </w:tc>
      </w:tr>
      <w:tr w:rsidR="00E67794" w14:paraId="4954E489" w14:textId="77777777">
        <w:trPr>
          <w:trHeight w:val="320"/>
          <w:tblHeader/>
        </w:trPr>
        <w:tc>
          <w:tcPr>
            <w:tcW w:w="4020" w:type="dxa"/>
            <w:vAlign w:val="bottom"/>
          </w:tcPr>
          <w:p w14:paraId="7BCDA45B" w14:textId="77777777" w:rsidR="00E67794" w:rsidRDefault="00000000">
            <w:pPr>
              <w:spacing w:line="240" w:lineRule="auto"/>
              <w:rPr>
                <w:color w:val="002060"/>
              </w:rPr>
            </w:pPr>
            <w:r>
              <w:rPr>
                <w:color w:val="002060"/>
              </w:rPr>
              <w:t>MCE</w:t>
            </w:r>
          </w:p>
        </w:tc>
        <w:tc>
          <w:tcPr>
            <w:tcW w:w="3510" w:type="dxa"/>
            <w:vAlign w:val="bottom"/>
          </w:tcPr>
          <w:p w14:paraId="1B272F79" w14:textId="77777777" w:rsidR="00E67794" w:rsidRDefault="00000000">
            <w:pPr>
              <w:spacing w:line="240" w:lineRule="auto"/>
              <w:rPr>
                <w:color w:val="002060"/>
              </w:rPr>
            </w:pPr>
            <w:r>
              <w:rPr>
                <w:color w:val="002060"/>
              </w:rPr>
              <w:t>Jennifer Green</w:t>
            </w:r>
          </w:p>
        </w:tc>
      </w:tr>
      <w:tr w:rsidR="00E67794" w14:paraId="3669333A" w14:textId="77777777">
        <w:trPr>
          <w:trHeight w:val="320"/>
          <w:tblHeader/>
        </w:trPr>
        <w:tc>
          <w:tcPr>
            <w:tcW w:w="4020" w:type="dxa"/>
            <w:vAlign w:val="bottom"/>
          </w:tcPr>
          <w:p w14:paraId="58D042B8" w14:textId="77777777" w:rsidR="00E67794" w:rsidRDefault="00000000">
            <w:pPr>
              <w:spacing w:line="240" w:lineRule="auto"/>
              <w:rPr>
                <w:color w:val="002060"/>
              </w:rPr>
            </w:pPr>
            <w:r>
              <w:rPr>
                <w:color w:val="002060"/>
              </w:rPr>
              <w:t>MCE</w:t>
            </w:r>
          </w:p>
        </w:tc>
        <w:tc>
          <w:tcPr>
            <w:tcW w:w="3510" w:type="dxa"/>
            <w:vAlign w:val="bottom"/>
          </w:tcPr>
          <w:p w14:paraId="489C7CB6" w14:textId="77777777" w:rsidR="00E67794" w:rsidRDefault="00000000">
            <w:pPr>
              <w:spacing w:line="240" w:lineRule="auto"/>
              <w:rPr>
                <w:color w:val="002060"/>
              </w:rPr>
            </w:pPr>
            <w:r>
              <w:rPr>
                <w:color w:val="002060"/>
              </w:rPr>
              <w:t>Wade Stano</w:t>
            </w:r>
          </w:p>
        </w:tc>
      </w:tr>
      <w:tr w:rsidR="00E67794" w14:paraId="076BE30F" w14:textId="77777777">
        <w:trPr>
          <w:trHeight w:val="320"/>
          <w:tblHeader/>
        </w:trPr>
        <w:tc>
          <w:tcPr>
            <w:tcW w:w="4020" w:type="dxa"/>
            <w:vAlign w:val="bottom"/>
          </w:tcPr>
          <w:p w14:paraId="7CDEFB21" w14:textId="77777777" w:rsidR="00E67794" w:rsidRDefault="00000000">
            <w:pPr>
              <w:spacing w:line="240" w:lineRule="auto"/>
              <w:rPr>
                <w:color w:val="002060"/>
              </w:rPr>
            </w:pPr>
            <w:r>
              <w:rPr>
                <w:color w:val="002060"/>
              </w:rPr>
              <w:t>MCE</w:t>
            </w:r>
          </w:p>
        </w:tc>
        <w:tc>
          <w:tcPr>
            <w:tcW w:w="3510" w:type="dxa"/>
            <w:vAlign w:val="bottom"/>
          </w:tcPr>
          <w:p w14:paraId="115510A2" w14:textId="77777777" w:rsidR="00E67794" w:rsidRDefault="00000000">
            <w:pPr>
              <w:spacing w:line="240" w:lineRule="auto"/>
              <w:rPr>
                <w:color w:val="002060"/>
              </w:rPr>
            </w:pPr>
            <w:r>
              <w:rPr>
                <w:color w:val="002060"/>
              </w:rPr>
              <w:t>Alex Valenti</w:t>
            </w:r>
          </w:p>
        </w:tc>
      </w:tr>
      <w:tr w:rsidR="00E67794" w14:paraId="24F53228" w14:textId="77777777">
        <w:trPr>
          <w:trHeight w:val="320"/>
          <w:tblHeader/>
        </w:trPr>
        <w:tc>
          <w:tcPr>
            <w:tcW w:w="4020" w:type="dxa"/>
            <w:vAlign w:val="bottom"/>
          </w:tcPr>
          <w:p w14:paraId="50F25F82" w14:textId="77777777" w:rsidR="00E67794" w:rsidRDefault="00000000">
            <w:pPr>
              <w:spacing w:line="240" w:lineRule="auto"/>
              <w:rPr>
                <w:color w:val="002060"/>
              </w:rPr>
            </w:pPr>
            <w:r>
              <w:rPr>
                <w:color w:val="002060"/>
              </w:rPr>
              <w:t>MCE</w:t>
            </w:r>
          </w:p>
        </w:tc>
        <w:tc>
          <w:tcPr>
            <w:tcW w:w="3510" w:type="dxa"/>
            <w:vAlign w:val="bottom"/>
          </w:tcPr>
          <w:p w14:paraId="7D46ECBE" w14:textId="77777777" w:rsidR="00E67794" w:rsidRDefault="00000000">
            <w:pPr>
              <w:spacing w:line="240" w:lineRule="auto"/>
              <w:rPr>
                <w:color w:val="002060"/>
              </w:rPr>
            </w:pPr>
            <w:r>
              <w:rPr>
                <w:color w:val="002060"/>
              </w:rPr>
              <w:t>Qua Vallery</w:t>
            </w:r>
          </w:p>
        </w:tc>
      </w:tr>
      <w:tr w:rsidR="00E67794" w14:paraId="3021BD6C" w14:textId="77777777">
        <w:trPr>
          <w:trHeight w:val="320"/>
          <w:tblHeader/>
        </w:trPr>
        <w:tc>
          <w:tcPr>
            <w:tcW w:w="4020" w:type="dxa"/>
            <w:vAlign w:val="bottom"/>
          </w:tcPr>
          <w:p w14:paraId="6D91E90B" w14:textId="77777777" w:rsidR="00E67794" w:rsidRDefault="00000000">
            <w:pPr>
              <w:spacing w:line="240" w:lineRule="auto"/>
              <w:rPr>
                <w:color w:val="002060"/>
              </w:rPr>
            </w:pPr>
            <w:r>
              <w:rPr>
                <w:color w:val="002060"/>
              </w:rPr>
              <w:t>MW Consulting</w:t>
            </w:r>
          </w:p>
        </w:tc>
        <w:tc>
          <w:tcPr>
            <w:tcW w:w="3510" w:type="dxa"/>
            <w:vAlign w:val="bottom"/>
          </w:tcPr>
          <w:p w14:paraId="11A633E6" w14:textId="77777777" w:rsidR="00E67794" w:rsidRDefault="00000000">
            <w:pPr>
              <w:spacing w:line="240" w:lineRule="auto"/>
              <w:rPr>
                <w:color w:val="002060"/>
              </w:rPr>
            </w:pPr>
            <w:r>
              <w:rPr>
                <w:color w:val="002060"/>
              </w:rPr>
              <w:t>Mark Wallenrod</w:t>
            </w:r>
          </w:p>
        </w:tc>
      </w:tr>
      <w:tr w:rsidR="00E67794" w14:paraId="2BD39494" w14:textId="77777777">
        <w:trPr>
          <w:trHeight w:val="320"/>
          <w:tblHeader/>
        </w:trPr>
        <w:tc>
          <w:tcPr>
            <w:tcW w:w="4020" w:type="dxa"/>
            <w:vAlign w:val="bottom"/>
          </w:tcPr>
          <w:p w14:paraId="196C9AEC" w14:textId="77777777" w:rsidR="00E67794" w:rsidRDefault="00000000">
            <w:pPr>
              <w:spacing w:line="240" w:lineRule="auto"/>
              <w:rPr>
                <w:color w:val="002060"/>
              </w:rPr>
            </w:pPr>
            <w:r>
              <w:rPr>
                <w:color w:val="002060"/>
              </w:rPr>
              <w:t>NREN</w:t>
            </w:r>
          </w:p>
        </w:tc>
        <w:tc>
          <w:tcPr>
            <w:tcW w:w="3510" w:type="dxa"/>
            <w:vAlign w:val="bottom"/>
          </w:tcPr>
          <w:p w14:paraId="76801C88" w14:textId="77777777" w:rsidR="00E67794" w:rsidRDefault="00000000">
            <w:pPr>
              <w:spacing w:line="240" w:lineRule="auto"/>
              <w:rPr>
                <w:color w:val="002060"/>
              </w:rPr>
            </w:pPr>
            <w:r>
              <w:rPr>
                <w:color w:val="002060"/>
              </w:rPr>
              <w:t>Jennifer Brennan</w:t>
            </w:r>
          </w:p>
        </w:tc>
      </w:tr>
      <w:tr w:rsidR="00E67794" w14:paraId="323E0281" w14:textId="77777777">
        <w:trPr>
          <w:trHeight w:val="320"/>
          <w:tblHeader/>
        </w:trPr>
        <w:tc>
          <w:tcPr>
            <w:tcW w:w="4020" w:type="dxa"/>
            <w:vAlign w:val="bottom"/>
          </w:tcPr>
          <w:p w14:paraId="6EF7BF50" w14:textId="77777777" w:rsidR="00E67794" w:rsidRDefault="00000000">
            <w:pPr>
              <w:spacing w:line="240" w:lineRule="auto"/>
              <w:rPr>
                <w:color w:val="002060"/>
              </w:rPr>
            </w:pPr>
            <w:r>
              <w:rPr>
                <w:color w:val="002060"/>
              </w:rPr>
              <w:t>NREN</w:t>
            </w:r>
          </w:p>
        </w:tc>
        <w:tc>
          <w:tcPr>
            <w:tcW w:w="3510" w:type="dxa"/>
            <w:vAlign w:val="bottom"/>
          </w:tcPr>
          <w:p w14:paraId="31736031" w14:textId="77777777" w:rsidR="00E67794" w:rsidRDefault="00000000">
            <w:pPr>
              <w:spacing w:line="240" w:lineRule="auto"/>
              <w:rPr>
                <w:color w:val="002060"/>
              </w:rPr>
            </w:pPr>
            <w:r>
              <w:rPr>
                <w:color w:val="002060"/>
              </w:rPr>
              <w:t>Shea Donnelly</w:t>
            </w:r>
          </w:p>
        </w:tc>
      </w:tr>
      <w:tr w:rsidR="00E67794" w14:paraId="6F206AD8" w14:textId="77777777">
        <w:trPr>
          <w:trHeight w:val="320"/>
          <w:tblHeader/>
        </w:trPr>
        <w:tc>
          <w:tcPr>
            <w:tcW w:w="4020" w:type="dxa"/>
            <w:vAlign w:val="bottom"/>
          </w:tcPr>
          <w:p w14:paraId="0FF2EC61" w14:textId="77777777" w:rsidR="00E67794" w:rsidRDefault="00000000">
            <w:pPr>
              <w:spacing w:line="240" w:lineRule="auto"/>
              <w:rPr>
                <w:color w:val="002060"/>
              </w:rPr>
            </w:pPr>
            <w:r>
              <w:rPr>
                <w:color w:val="002060"/>
              </w:rPr>
              <w:t>NREN</w:t>
            </w:r>
          </w:p>
        </w:tc>
        <w:tc>
          <w:tcPr>
            <w:tcW w:w="3510" w:type="dxa"/>
            <w:vAlign w:val="bottom"/>
          </w:tcPr>
          <w:p w14:paraId="7562ECB9" w14:textId="77777777" w:rsidR="00E67794" w:rsidRDefault="00000000">
            <w:pPr>
              <w:spacing w:line="240" w:lineRule="auto"/>
              <w:rPr>
                <w:color w:val="002060"/>
              </w:rPr>
            </w:pPr>
            <w:r>
              <w:rPr>
                <w:color w:val="002060"/>
              </w:rPr>
              <w:t>Ryan O’Neill</w:t>
            </w:r>
          </w:p>
        </w:tc>
      </w:tr>
      <w:tr w:rsidR="00E67794" w14:paraId="3E0F41EF" w14:textId="77777777">
        <w:trPr>
          <w:trHeight w:val="320"/>
          <w:tblHeader/>
        </w:trPr>
        <w:tc>
          <w:tcPr>
            <w:tcW w:w="4020" w:type="dxa"/>
            <w:vAlign w:val="bottom"/>
          </w:tcPr>
          <w:p w14:paraId="49AFC10D" w14:textId="77777777" w:rsidR="00E67794" w:rsidRDefault="00000000">
            <w:pPr>
              <w:spacing w:line="240" w:lineRule="auto"/>
              <w:rPr>
                <w:color w:val="002060"/>
              </w:rPr>
            </w:pPr>
            <w:r>
              <w:rPr>
                <w:color w:val="002060"/>
              </w:rPr>
              <w:t>NREN</w:t>
            </w:r>
          </w:p>
        </w:tc>
        <w:tc>
          <w:tcPr>
            <w:tcW w:w="3510" w:type="dxa"/>
            <w:vAlign w:val="bottom"/>
          </w:tcPr>
          <w:p w14:paraId="768DEECE" w14:textId="77777777" w:rsidR="00E67794" w:rsidRDefault="00000000">
            <w:pPr>
              <w:spacing w:line="240" w:lineRule="auto"/>
              <w:rPr>
                <w:color w:val="002060"/>
              </w:rPr>
            </w:pPr>
            <w:r>
              <w:rPr>
                <w:color w:val="002060"/>
              </w:rPr>
              <w:t>Sam Smith</w:t>
            </w:r>
          </w:p>
        </w:tc>
      </w:tr>
      <w:tr w:rsidR="00E67794" w14:paraId="4D23D117" w14:textId="77777777">
        <w:trPr>
          <w:trHeight w:val="320"/>
          <w:tblHeader/>
        </w:trPr>
        <w:tc>
          <w:tcPr>
            <w:tcW w:w="4020" w:type="dxa"/>
            <w:vAlign w:val="bottom"/>
          </w:tcPr>
          <w:p w14:paraId="6A613348" w14:textId="77777777" w:rsidR="00E67794" w:rsidRDefault="00000000">
            <w:pPr>
              <w:spacing w:line="240" w:lineRule="auto"/>
              <w:rPr>
                <w:color w:val="002060"/>
              </w:rPr>
            </w:pPr>
            <w:r>
              <w:rPr>
                <w:color w:val="002060"/>
              </w:rPr>
              <w:t>NREN</w:t>
            </w:r>
          </w:p>
        </w:tc>
        <w:tc>
          <w:tcPr>
            <w:tcW w:w="3510" w:type="dxa"/>
            <w:vAlign w:val="bottom"/>
          </w:tcPr>
          <w:p w14:paraId="2DF9399C" w14:textId="77777777" w:rsidR="00E67794" w:rsidRDefault="00000000">
            <w:pPr>
              <w:spacing w:line="240" w:lineRule="auto"/>
              <w:rPr>
                <w:color w:val="002060"/>
              </w:rPr>
            </w:pPr>
            <w:r>
              <w:rPr>
                <w:color w:val="002060"/>
              </w:rPr>
              <w:t>Patricia Terry</w:t>
            </w:r>
          </w:p>
        </w:tc>
      </w:tr>
      <w:tr w:rsidR="00E67794" w14:paraId="3CF10EE9" w14:textId="77777777">
        <w:trPr>
          <w:trHeight w:val="320"/>
          <w:tblHeader/>
        </w:trPr>
        <w:tc>
          <w:tcPr>
            <w:tcW w:w="4020" w:type="dxa"/>
            <w:vAlign w:val="bottom"/>
          </w:tcPr>
          <w:p w14:paraId="72193AC4" w14:textId="77777777" w:rsidR="00E67794" w:rsidRDefault="00000000">
            <w:pPr>
              <w:spacing w:line="240" w:lineRule="auto"/>
              <w:rPr>
                <w:color w:val="002060"/>
              </w:rPr>
            </w:pPr>
            <w:r>
              <w:rPr>
                <w:color w:val="002060"/>
              </w:rPr>
              <w:lastRenderedPageBreak/>
              <w:t>Oracle</w:t>
            </w:r>
          </w:p>
        </w:tc>
        <w:tc>
          <w:tcPr>
            <w:tcW w:w="3510" w:type="dxa"/>
            <w:vAlign w:val="bottom"/>
          </w:tcPr>
          <w:p w14:paraId="4CF0621F" w14:textId="77777777" w:rsidR="00E67794" w:rsidRDefault="00000000">
            <w:pPr>
              <w:spacing w:line="240" w:lineRule="auto"/>
              <w:rPr>
                <w:color w:val="002060"/>
              </w:rPr>
            </w:pPr>
            <w:r>
              <w:rPr>
                <w:color w:val="002060"/>
              </w:rPr>
              <w:t>Serj Berelson</w:t>
            </w:r>
          </w:p>
        </w:tc>
      </w:tr>
      <w:tr w:rsidR="00E67794" w14:paraId="0A626D89" w14:textId="77777777">
        <w:trPr>
          <w:trHeight w:val="320"/>
          <w:tblHeader/>
        </w:trPr>
        <w:tc>
          <w:tcPr>
            <w:tcW w:w="4020" w:type="dxa"/>
            <w:vAlign w:val="bottom"/>
          </w:tcPr>
          <w:p w14:paraId="06D5DDB6" w14:textId="77777777" w:rsidR="00E67794" w:rsidRDefault="00000000">
            <w:pPr>
              <w:spacing w:line="240" w:lineRule="auto"/>
              <w:rPr>
                <w:color w:val="002060"/>
              </w:rPr>
            </w:pPr>
            <w:r>
              <w:rPr>
                <w:color w:val="002060"/>
              </w:rPr>
              <w:t>PacifiCorp</w:t>
            </w:r>
          </w:p>
        </w:tc>
        <w:tc>
          <w:tcPr>
            <w:tcW w:w="3510" w:type="dxa"/>
            <w:vAlign w:val="bottom"/>
          </w:tcPr>
          <w:p w14:paraId="55A73328" w14:textId="77777777" w:rsidR="00E67794" w:rsidRDefault="00000000">
            <w:pPr>
              <w:spacing w:line="240" w:lineRule="auto"/>
              <w:rPr>
                <w:color w:val="002060"/>
              </w:rPr>
            </w:pPr>
            <w:r>
              <w:rPr>
                <w:color w:val="002060"/>
              </w:rPr>
              <w:t>Jay Olson</w:t>
            </w:r>
          </w:p>
        </w:tc>
      </w:tr>
      <w:tr w:rsidR="00E67794" w14:paraId="633F86C7" w14:textId="77777777">
        <w:trPr>
          <w:trHeight w:val="320"/>
          <w:tblHeader/>
        </w:trPr>
        <w:tc>
          <w:tcPr>
            <w:tcW w:w="4020" w:type="dxa"/>
            <w:vAlign w:val="bottom"/>
          </w:tcPr>
          <w:p w14:paraId="7D10D8BD" w14:textId="77777777" w:rsidR="00E67794" w:rsidRDefault="00000000">
            <w:pPr>
              <w:spacing w:line="240" w:lineRule="auto"/>
              <w:rPr>
                <w:color w:val="002060"/>
              </w:rPr>
            </w:pPr>
            <w:r>
              <w:rPr>
                <w:color w:val="002060"/>
              </w:rPr>
              <w:t>Peninsula Clean Energy</w:t>
            </w:r>
          </w:p>
        </w:tc>
        <w:tc>
          <w:tcPr>
            <w:tcW w:w="3510" w:type="dxa"/>
            <w:vAlign w:val="bottom"/>
          </w:tcPr>
          <w:p w14:paraId="0A57BECD" w14:textId="77777777" w:rsidR="00E67794" w:rsidRDefault="00000000">
            <w:pPr>
              <w:spacing w:line="240" w:lineRule="auto"/>
              <w:rPr>
                <w:color w:val="002060"/>
              </w:rPr>
            </w:pPr>
            <w:r>
              <w:rPr>
                <w:color w:val="002060"/>
              </w:rPr>
              <w:t>Matthew Rutherford</w:t>
            </w:r>
          </w:p>
        </w:tc>
      </w:tr>
      <w:tr w:rsidR="00E67794" w14:paraId="3B9865B7" w14:textId="77777777">
        <w:trPr>
          <w:trHeight w:val="320"/>
          <w:tblHeader/>
        </w:trPr>
        <w:tc>
          <w:tcPr>
            <w:tcW w:w="4020" w:type="dxa"/>
            <w:vAlign w:val="bottom"/>
          </w:tcPr>
          <w:p w14:paraId="17226500" w14:textId="77777777" w:rsidR="00E67794" w:rsidRDefault="00000000">
            <w:pPr>
              <w:spacing w:line="240" w:lineRule="auto"/>
              <w:rPr>
                <w:color w:val="002060"/>
              </w:rPr>
            </w:pPr>
            <w:r>
              <w:rPr>
                <w:color w:val="002060"/>
              </w:rPr>
              <w:t>PG&amp;E</w:t>
            </w:r>
          </w:p>
        </w:tc>
        <w:tc>
          <w:tcPr>
            <w:tcW w:w="3510" w:type="dxa"/>
            <w:vAlign w:val="bottom"/>
          </w:tcPr>
          <w:p w14:paraId="1D896946" w14:textId="77777777" w:rsidR="00E67794" w:rsidRDefault="00000000">
            <w:pPr>
              <w:spacing w:line="240" w:lineRule="auto"/>
              <w:rPr>
                <w:color w:val="002060"/>
              </w:rPr>
            </w:pPr>
            <w:r>
              <w:rPr>
                <w:color w:val="002060"/>
              </w:rPr>
              <w:t>Rob Bohn</w:t>
            </w:r>
          </w:p>
        </w:tc>
      </w:tr>
      <w:tr w:rsidR="00E67794" w14:paraId="696243EA" w14:textId="77777777">
        <w:trPr>
          <w:trHeight w:val="320"/>
          <w:tblHeader/>
        </w:trPr>
        <w:tc>
          <w:tcPr>
            <w:tcW w:w="4020" w:type="dxa"/>
            <w:vAlign w:val="bottom"/>
          </w:tcPr>
          <w:p w14:paraId="6082FBAA" w14:textId="77777777" w:rsidR="00E67794" w:rsidRDefault="00000000">
            <w:pPr>
              <w:spacing w:line="240" w:lineRule="auto"/>
              <w:rPr>
                <w:color w:val="002060"/>
              </w:rPr>
            </w:pPr>
            <w:r>
              <w:rPr>
                <w:color w:val="002060"/>
              </w:rPr>
              <w:t>PG&amp;E</w:t>
            </w:r>
          </w:p>
        </w:tc>
        <w:tc>
          <w:tcPr>
            <w:tcW w:w="3510" w:type="dxa"/>
            <w:vAlign w:val="bottom"/>
          </w:tcPr>
          <w:p w14:paraId="1BFD8EF6" w14:textId="77777777" w:rsidR="00E67794" w:rsidRDefault="00000000">
            <w:pPr>
              <w:spacing w:line="240" w:lineRule="auto"/>
              <w:rPr>
                <w:color w:val="002060"/>
              </w:rPr>
            </w:pPr>
            <w:r>
              <w:rPr>
                <w:color w:val="002060"/>
              </w:rPr>
              <w:t>Claire Braico</w:t>
            </w:r>
          </w:p>
        </w:tc>
      </w:tr>
      <w:tr w:rsidR="00E67794" w14:paraId="37224C91" w14:textId="77777777">
        <w:trPr>
          <w:trHeight w:val="320"/>
          <w:tblHeader/>
        </w:trPr>
        <w:tc>
          <w:tcPr>
            <w:tcW w:w="4020" w:type="dxa"/>
            <w:vAlign w:val="bottom"/>
          </w:tcPr>
          <w:p w14:paraId="79D44BF5" w14:textId="77777777" w:rsidR="00E67794" w:rsidRDefault="00000000">
            <w:pPr>
              <w:spacing w:line="240" w:lineRule="auto"/>
              <w:rPr>
                <w:color w:val="002060"/>
              </w:rPr>
            </w:pPr>
            <w:r>
              <w:rPr>
                <w:color w:val="002060"/>
              </w:rPr>
              <w:t>PG&amp;E</w:t>
            </w:r>
          </w:p>
        </w:tc>
        <w:tc>
          <w:tcPr>
            <w:tcW w:w="3510" w:type="dxa"/>
            <w:vAlign w:val="bottom"/>
          </w:tcPr>
          <w:p w14:paraId="6073020B" w14:textId="77777777" w:rsidR="00E67794" w:rsidRDefault="00000000">
            <w:pPr>
              <w:spacing w:line="240" w:lineRule="auto"/>
              <w:rPr>
                <w:color w:val="002060"/>
              </w:rPr>
            </w:pPr>
            <w:r>
              <w:rPr>
                <w:color w:val="002060"/>
              </w:rPr>
              <w:t>Sebastien Csapo</w:t>
            </w:r>
          </w:p>
        </w:tc>
      </w:tr>
      <w:tr w:rsidR="00E67794" w14:paraId="12EFDF79" w14:textId="77777777">
        <w:trPr>
          <w:trHeight w:val="320"/>
          <w:tblHeader/>
        </w:trPr>
        <w:tc>
          <w:tcPr>
            <w:tcW w:w="4020" w:type="dxa"/>
            <w:vAlign w:val="bottom"/>
          </w:tcPr>
          <w:p w14:paraId="39E03815" w14:textId="77777777" w:rsidR="00E67794" w:rsidRDefault="00000000">
            <w:pPr>
              <w:spacing w:line="240" w:lineRule="auto"/>
              <w:rPr>
                <w:color w:val="002060"/>
              </w:rPr>
            </w:pPr>
            <w:r>
              <w:rPr>
                <w:color w:val="002060"/>
              </w:rPr>
              <w:t>PG&amp;E</w:t>
            </w:r>
          </w:p>
        </w:tc>
        <w:tc>
          <w:tcPr>
            <w:tcW w:w="3510" w:type="dxa"/>
            <w:vAlign w:val="bottom"/>
          </w:tcPr>
          <w:p w14:paraId="69D45C90" w14:textId="77777777" w:rsidR="00E67794" w:rsidRDefault="00000000">
            <w:pPr>
              <w:spacing w:line="240" w:lineRule="auto"/>
              <w:rPr>
                <w:color w:val="002060"/>
              </w:rPr>
            </w:pPr>
            <w:r>
              <w:rPr>
                <w:color w:val="002060"/>
              </w:rPr>
              <w:t>Alero Moju</w:t>
            </w:r>
          </w:p>
        </w:tc>
      </w:tr>
      <w:tr w:rsidR="00E67794" w14:paraId="239A34C3" w14:textId="77777777">
        <w:trPr>
          <w:trHeight w:val="320"/>
          <w:tblHeader/>
        </w:trPr>
        <w:tc>
          <w:tcPr>
            <w:tcW w:w="4020" w:type="dxa"/>
            <w:vAlign w:val="bottom"/>
          </w:tcPr>
          <w:p w14:paraId="175CF2A9" w14:textId="77777777" w:rsidR="00E67794" w:rsidRDefault="00000000">
            <w:pPr>
              <w:spacing w:line="240" w:lineRule="auto"/>
              <w:rPr>
                <w:color w:val="002060"/>
              </w:rPr>
            </w:pPr>
            <w:r>
              <w:rPr>
                <w:color w:val="002060"/>
              </w:rPr>
              <w:t>PG&amp;E</w:t>
            </w:r>
          </w:p>
        </w:tc>
        <w:tc>
          <w:tcPr>
            <w:tcW w:w="3510" w:type="dxa"/>
            <w:vAlign w:val="bottom"/>
          </w:tcPr>
          <w:p w14:paraId="63D5FEBB" w14:textId="77777777" w:rsidR="00E67794" w:rsidRDefault="00000000">
            <w:pPr>
              <w:spacing w:line="240" w:lineRule="auto"/>
              <w:rPr>
                <w:color w:val="002060"/>
              </w:rPr>
            </w:pPr>
            <w:r>
              <w:rPr>
                <w:color w:val="002060"/>
              </w:rPr>
              <w:t>Samantha McNabola</w:t>
            </w:r>
          </w:p>
        </w:tc>
      </w:tr>
      <w:tr w:rsidR="00E67794" w14:paraId="73835118" w14:textId="77777777">
        <w:trPr>
          <w:trHeight w:val="320"/>
          <w:tblHeader/>
        </w:trPr>
        <w:tc>
          <w:tcPr>
            <w:tcW w:w="4020" w:type="dxa"/>
            <w:vAlign w:val="bottom"/>
          </w:tcPr>
          <w:p w14:paraId="6DE6D4BC" w14:textId="77777777" w:rsidR="00E67794" w:rsidRDefault="00000000">
            <w:pPr>
              <w:spacing w:line="240" w:lineRule="auto"/>
              <w:rPr>
                <w:color w:val="002060"/>
              </w:rPr>
            </w:pPr>
            <w:r>
              <w:rPr>
                <w:color w:val="002060"/>
              </w:rPr>
              <w:t>PG&amp;E</w:t>
            </w:r>
          </w:p>
        </w:tc>
        <w:tc>
          <w:tcPr>
            <w:tcW w:w="3510" w:type="dxa"/>
            <w:vAlign w:val="bottom"/>
          </w:tcPr>
          <w:p w14:paraId="4B7C1D78" w14:textId="77777777" w:rsidR="00E67794" w:rsidRDefault="00000000">
            <w:pPr>
              <w:spacing w:line="240" w:lineRule="auto"/>
              <w:rPr>
                <w:color w:val="002060"/>
              </w:rPr>
            </w:pPr>
            <w:r>
              <w:rPr>
                <w:color w:val="002060"/>
              </w:rPr>
              <w:t>Patricia Neri</w:t>
            </w:r>
          </w:p>
        </w:tc>
      </w:tr>
      <w:tr w:rsidR="00E67794" w14:paraId="77F207AC" w14:textId="77777777">
        <w:trPr>
          <w:trHeight w:val="320"/>
          <w:tblHeader/>
        </w:trPr>
        <w:tc>
          <w:tcPr>
            <w:tcW w:w="4020" w:type="dxa"/>
            <w:vAlign w:val="bottom"/>
          </w:tcPr>
          <w:p w14:paraId="0FCAF105" w14:textId="77777777" w:rsidR="00E67794" w:rsidRDefault="00000000">
            <w:pPr>
              <w:spacing w:line="240" w:lineRule="auto"/>
              <w:rPr>
                <w:color w:val="002060"/>
              </w:rPr>
            </w:pPr>
            <w:r>
              <w:rPr>
                <w:color w:val="002060"/>
              </w:rPr>
              <w:t>PG&amp;E</w:t>
            </w:r>
          </w:p>
        </w:tc>
        <w:tc>
          <w:tcPr>
            <w:tcW w:w="3510" w:type="dxa"/>
            <w:vAlign w:val="bottom"/>
          </w:tcPr>
          <w:p w14:paraId="778D047C" w14:textId="77777777" w:rsidR="00E67794" w:rsidRDefault="00000000">
            <w:pPr>
              <w:spacing w:line="240" w:lineRule="auto"/>
              <w:rPr>
                <w:color w:val="002060"/>
              </w:rPr>
            </w:pPr>
            <w:r>
              <w:rPr>
                <w:color w:val="002060"/>
              </w:rPr>
              <w:t>Jake Richardson</w:t>
            </w:r>
          </w:p>
        </w:tc>
      </w:tr>
      <w:tr w:rsidR="00E67794" w14:paraId="1FA1B577" w14:textId="77777777">
        <w:trPr>
          <w:trHeight w:val="320"/>
          <w:tblHeader/>
        </w:trPr>
        <w:tc>
          <w:tcPr>
            <w:tcW w:w="4020" w:type="dxa"/>
            <w:vAlign w:val="bottom"/>
          </w:tcPr>
          <w:p w14:paraId="1B1D50A4" w14:textId="77777777" w:rsidR="00E67794" w:rsidRDefault="00000000">
            <w:pPr>
              <w:spacing w:line="240" w:lineRule="auto"/>
              <w:rPr>
                <w:color w:val="002060"/>
              </w:rPr>
            </w:pPr>
            <w:r>
              <w:rPr>
                <w:color w:val="002060"/>
              </w:rPr>
              <w:t>PG&amp;E</w:t>
            </w:r>
          </w:p>
        </w:tc>
        <w:tc>
          <w:tcPr>
            <w:tcW w:w="3510" w:type="dxa"/>
            <w:vAlign w:val="bottom"/>
          </w:tcPr>
          <w:p w14:paraId="4EAB607F" w14:textId="77777777" w:rsidR="00E67794" w:rsidRDefault="00000000">
            <w:pPr>
              <w:spacing w:line="240" w:lineRule="auto"/>
              <w:rPr>
                <w:color w:val="002060"/>
              </w:rPr>
            </w:pPr>
            <w:r>
              <w:rPr>
                <w:color w:val="002060"/>
              </w:rPr>
              <w:t>Billy Roderick</w:t>
            </w:r>
          </w:p>
        </w:tc>
      </w:tr>
      <w:tr w:rsidR="00E67794" w14:paraId="4627039F" w14:textId="77777777">
        <w:trPr>
          <w:trHeight w:val="320"/>
          <w:tblHeader/>
        </w:trPr>
        <w:tc>
          <w:tcPr>
            <w:tcW w:w="4020" w:type="dxa"/>
            <w:vAlign w:val="bottom"/>
          </w:tcPr>
          <w:p w14:paraId="19BB5B18" w14:textId="77777777" w:rsidR="00E67794" w:rsidRDefault="00000000">
            <w:pPr>
              <w:spacing w:line="240" w:lineRule="auto"/>
              <w:rPr>
                <w:color w:val="002060"/>
              </w:rPr>
            </w:pPr>
            <w:r>
              <w:rPr>
                <w:color w:val="002060"/>
              </w:rPr>
              <w:t>PG&amp;E</w:t>
            </w:r>
          </w:p>
        </w:tc>
        <w:tc>
          <w:tcPr>
            <w:tcW w:w="3510" w:type="dxa"/>
            <w:vAlign w:val="bottom"/>
          </w:tcPr>
          <w:p w14:paraId="43A2586C" w14:textId="77777777" w:rsidR="00E67794" w:rsidRDefault="00000000">
            <w:pPr>
              <w:spacing w:line="240" w:lineRule="auto"/>
              <w:rPr>
                <w:color w:val="002060"/>
              </w:rPr>
            </w:pPr>
            <w:r>
              <w:rPr>
                <w:color w:val="002060"/>
              </w:rPr>
              <w:t>Lindsey Tillisch</w:t>
            </w:r>
          </w:p>
        </w:tc>
      </w:tr>
      <w:tr w:rsidR="00E67794" w14:paraId="6492BFDD" w14:textId="77777777">
        <w:trPr>
          <w:trHeight w:val="320"/>
          <w:tblHeader/>
        </w:trPr>
        <w:tc>
          <w:tcPr>
            <w:tcW w:w="4020" w:type="dxa"/>
            <w:vAlign w:val="bottom"/>
          </w:tcPr>
          <w:p w14:paraId="61C2C32D" w14:textId="77777777" w:rsidR="00E67794" w:rsidRDefault="00000000">
            <w:pPr>
              <w:spacing w:line="240" w:lineRule="auto"/>
              <w:rPr>
                <w:color w:val="002060"/>
              </w:rPr>
            </w:pPr>
            <w:r>
              <w:rPr>
                <w:color w:val="002060"/>
              </w:rPr>
              <w:t>PG&amp;E</w:t>
            </w:r>
          </w:p>
        </w:tc>
        <w:tc>
          <w:tcPr>
            <w:tcW w:w="3510" w:type="dxa"/>
            <w:vAlign w:val="bottom"/>
          </w:tcPr>
          <w:p w14:paraId="07C67C14" w14:textId="77777777" w:rsidR="00E67794" w:rsidRDefault="00000000">
            <w:pPr>
              <w:spacing w:line="240" w:lineRule="auto"/>
              <w:rPr>
                <w:color w:val="002060"/>
              </w:rPr>
            </w:pPr>
            <w:r>
              <w:rPr>
                <w:color w:val="002060"/>
              </w:rPr>
              <w:t>Mark Tiemens</w:t>
            </w:r>
          </w:p>
        </w:tc>
      </w:tr>
      <w:tr w:rsidR="00E67794" w14:paraId="4222185A" w14:textId="77777777">
        <w:trPr>
          <w:trHeight w:val="320"/>
          <w:tblHeader/>
        </w:trPr>
        <w:tc>
          <w:tcPr>
            <w:tcW w:w="4020" w:type="dxa"/>
            <w:vAlign w:val="bottom"/>
          </w:tcPr>
          <w:p w14:paraId="6CD76EC1" w14:textId="77777777" w:rsidR="00E67794" w:rsidRDefault="00000000">
            <w:pPr>
              <w:spacing w:line="240" w:lineRule="auto"/>
              <w:rPr>
                <w:color w:val="002060"/>
              </w:rPr>
            </w:pPr>
            <w:r>
              <w:rPr>
                <w:color w:val="002060"/>
              </w:rPr>
              <w:t>Resource Innovations</w:t>
            </w:r>
          </w:p>
        </w:tc>
        <w:tc>
          <w:tcPr>
            <w:tcW w:w="3510" w:type="dxa"/>
            <w:vAlign w:val="bottom"/>
          </w:tcPr>
          <w:p w14:paraId="1FC0CA6A" w14:textId="77777777" w:rsidR="00E67794" w:rsidRDefault="00000000">
            <w:pPr>
              <w:spacing w:line="240" w:lineRule="auto"/>
              <w:rPr>
                <w:color w:val="002060"/>
              </w:rPr>
            </w:pPr>
            <w:r>
              <w:rPr>
                <w:color w:val="002060"/>
              </w:rPr>
              <w:t>Vivek Joshi</w:t>
            </w:r>
          </w:p>
        </w:tc>
      </w:tr>
      <w:tr w:rsidR="00E67794" w14:paraId="700F4B1D" w14:textId="77777777">
        <w:trPr>
          <w:trHeight w:val="320"/>
          <w:tblHeader/>
        </w:trPr>
        <w:tc>
          <w:tcPr>
            <w:tcW w:w="4020" w:type="dxa"/>
            <w:vAlign w:val="bottom"/>
          </w:tcPr>
          <w:p w14:paraId="310D185A" w14:textId="77777777" w:rsidR="00E67794" w:rsidRDefault="00000000">
            <w:pPr>
              <w:spacing w:line="240" w:lineRule="auto"/>
              <w:rPr>
                <w:color w:val="002060"/>
              </w:rPr>
            </w:pPr>
            <w:r>
              <w:rPr>
                <w:color w:val="002060"/>
              </w:rPr>
              <w:t>SCE</w:t>
            </w:r>
          </w:p>
        </w:tc>
        <w:tc>
          <w:tcPr>
            <w:tcW w:w="3510" w:type="dxa"/>
            <w:vAlign w:val="bottom"/>
          </w:tcPr>
          <w:p w14:paraId="5E6BFE80" w14:textId="77777777" w:rsidR="00E67794" w:rsidRDefault="00000000">
            <w:pPr>
              <w:spacing w:line="240" w:lineRule="auto"/>
              <w:rPr>
                <w:color w:val="002060"/>
              </w:rPr>
            </w:pPr>
            <w:r>
              <w:rPr>
                <w:color w:val="002060"/>
              </w:rPr>
              <w:t>Sara Ahn</w:t>
            </w:r>
          </w:p>
        </w:tc>
      </w:tr>
      <w:tr w:rsidR="00E67794" w14:paraId="13942274" w14:textId="77777777">
        <w:trPr>
          <w:trHeight w:val="320"/>
          <w:tblHeader/>
        </w:trPr>
        <w:tc>
          <w:tcPr>
            <w:tcW w:w="4020" w:type="dxa"/>
            <w:vAlign w:val="bottom"/>
          </w:tcPr>
          <w:p w14:paraId="15C196D7" w14:textId="77777777" w:rsidR="00E67794" w:rsidRDefault="00000000">
            <w:pPr>
              <w:spacing w:line="240" w:lineRule="auto"/>
              <w:rPr>
                <w:color w:val="002060"/>
              </w:rPr>
            </w:pPr>
            <w:r>
              <w:rPr>
                <w:color w:val="002060"/>
              </w:rPr>
              <w:t>SCE</w:t>
            </w:r>
          </w:p>
        </w:tc>
        <w:tc>
          <w:tcPr>
            <w:tcW w:w="3510" w:type="dxa"/>
            <w:vAlign w:val="bottom"/>
          </w:tcPr>
          <w:p w14:paraId="3EC480F6" w14:textId="77777777" w:rsidR="00E67794" w:rsidRDefault="00000000">
            <w:pPr>
              <w:spacing w:line="240" w:lineRule="auto"/>
              <w:rPr>
                <w:color w:val="002060"/>
              </w:rPr>
            </w:pPr>
            <w:r>
              <w:rPr>
                <w:color w:val="002060"/>
              </w:rPr>
              <w:t>Elizabeth Gomez</w:t>
            </w:r>
          </w:p>
        </w:tc>
      </w:tr>
      <w:tr w:rsidR="00E67794" w14:paraId="6E4FEF77" w14:textId="77777777">
        <w:trPr>
          <w:trHeight w:val="320"/>
          <w:tblHeader/>
        </w:trPr>
        <w:tc>
          <w:tcPr>
            <w:tcW w:w="4020" w:type="dxa"/>
            <w:vAlign w:val="bottom"/>
          </w:tcPr>
          <w:p w14:paraId="34FA81C0" w14:textId="77777777" w:rsidR="00E67794" w:rsidRDefault="00000000">
            <w:pPr>
              <w:spacing w:line="240" w:lineRule="auto"/>
              <w:rPr>
                <w:color w:val="002060"/>
              </w:rPr>
            </w:pPr>
            <w:r>
              <w:rPr>
                <w:color w:val="002060"/>
              </w:rPr>
              <w:t>SCE</w:t>
            </w:r>
          </w:p>
        </w:tc>
        <w:tc>
          <w:tcPr>
            <w:tcW w:w="3510" w:type="dxa"/>
            <w:vAlign w:val="bottom"/>
          </w:tcPr>
          <w:p w14:paraId="095072C7" w14:textId="77777777" w:rsidR="00E67794" w:rsidRDefault="00000000">
            <w:pPr>
              <w:spacing w:line="240" w:lineRule="auto"/>
              <w:rPr>
                <w:color w:val="002060"/>
              </w:rPr>
            </w:pPr>
            <w:r>
              <w:rPr>
                <w:color w:val="002060"/>
              </w:rPr>
              <w:t>Arturo Gonzalez</w:t>
            </w:r>
          </w:p>
        </w:tc>
      </w:tr>
      <w:tr w:rsidR="00E67794" w14:paraId="3F3C91A3" w14:textId="77777777">
        <w:trPr>
          <w:trHeight w:val="320"/>
          <w:tblHeader/>
        </w:trPr>
        <w:tc>
          <w:tcPr>
            <w:tcW w:w="4020" w:type="dxa"/>
            <w:vAlign w:val="bottom"/>
          </w:tcPr>
          <w:p w14:paraId="0BA2AAC2" w14:textId="77777777" w:rsidR="00E67794" w:rsidRDefault="00000000">
            <w:pPr>
              <w:spacing w:line="240" w:lineRule="auto"/>
              <w:rPr>
                <w:color w:val="002060"/>
              </w:rPr>
            </w:pPr>
            <w:r>
              <w:rPr>
                <w:color w:val="002060"/>
              </w:rPr>
              <w:t>SCE</w:t>
            </w:r>
          </w:p>
        </w:tc>
        <w:tc>
          <w:tcPr>
            <w:tcW w:w="3510" w:type="dxa"/>
            <w:vAlign w:val="bottom"/>
          </w:tcPr>
          <w:p w14:paraId="7A7D97FC" w14:textId="77777777" w:rsidR="00E67794" w:rsidRDefault="00000000">
            <w:pPr>
              <w:spacing w:line="240" w:lineRule="auto"/>
              <w:rPr>
                <w:color w:val="002060"/>
              </w:rPr>
            </w:pPr>
            <w:r>
              <w:rPr>
                <w:color w:val="002060"/>
              </w:rPr>
              <w:t>Ashley Hall</w:t>
            </w:r>
          </w:p>
        </w:tc>
      </w:tr>
      <w:tr w:rsidR="00E67794" w14:paraId="057781DF" w14:textId="77777777">
        <w:trPr>
          <w:trHeight w:val="320"/>
          <w:tblHeader/>
        </w:trPr>
        <w:tc>
          <w:tcPr>
            <w:tcW w:w="4020" w:type="dxa"/>
            <w:vAlign w:val="bottom"/>
          </w:tcPr>
          <w:p w14:paraId="11ABF40F" w14:textId="77777777" w:rsidR="00E67794" w:rsidRDefault="00000000">
            <w:pPr>
              <w:spacing w:line="240" w:lineRule="auto"/>
              <w:rPr>
                <w:color w:val="002060"/>
              </w:rPr>
            </w:pPr>
            <w:r>
              <w:rPr>
                <w:color w:val="002060"/>
              </w:rPr>
              <w:t>SCE</w:t>
            </w:r>
          </w:p>
        </w:tc>
        <w:tc>
          <w:tcPr>
            <w:tcW w:w="3510" w:type="dxa"/>
            <w:vAlign w:val="bottom"/>
          </w:tcPr>
          <w:p w14:paraId="0CBE8EC3" w14:textId="77777777" w:rsidR="00E67794" w:rsidRDefault="00000000">
            <w:pPr>
              <w:spacing w:line="240" w:lineRule="auto"/>
              <w:rPr>
                <w:color w:val="002060"/>
              </w:rPr>
            </w:pPr>
            <w:r>
              <w:rPr>
                <w:color w:val="002060"/>
              </w:rPr>
              <w:t>Erica Keating</w:t>
            </w:r>
          </w:p>
        </w:tc>
      </w:tr>
      <w:tr w:rsidR="00E67794" w14:paraId="704B2DF7" w14:textId="77777777">
        <w:trPr>
          <w:trHeight w:val="320"/>
          <w:tblHeader/>
        </w:trPr>
        <w:tc>
          <w:tcPr>
            <w:tcW w:w="4020" w:type="dxa"/>
            <w:vAlign w:val="bottom"/>
          </w:tcPr>
          <w:p w14:paraId="54BDEFDF" w14:textId="77777777" w:rsidR="00E67794" w:rsidRDefault="00000000">
            <w:pPr>
              <w:spacing w:line="240" w:lineRule="auto"/>
              <w:rPr>
                <w:color w:val="002060"/>
              </w:rPr>
            </w:pPr>
            <w:r>
              <w:rPr>
                <w:color w:val="002060"/>
              </w:rPr>
              <w:t>SCE</w:t>
            </w:r>
          </w:p>
        </w:tc>
        <w:tc>
          <w:tcPr>
            <w:tcW w:w="3510" w:type="dxa"/>
            <w:vAlign w:val="bottom"/>
          </w:tcPr>
          <w:p w14:paraId="15A83021" w14:textId="77777777" w:rsidR="00E67794" w:rsidRDefault="00000000">
            <w:pPr>
              <w:spacing w:line="240" w:lineRule="auto"/>
              <w:rPr>
                <w:color w:val="002060"/>
              </w:rPr>
            </w:pPr>
            <w:r>
              <w:rPr>
                <w:color w:val="002060"/>
              </w:rPr>
              <w:t>Mara Portlock</w:t>
            </w:r>
          </w:p>
        </w:tc>
      </w:tr>
      <w:tr w:rsidR="00E67794" w14:paraId="2BFBF11A" w14:textId="77777777">
        <w:trPr>
          <w:trHeight w:val="320"/>
          <w:tblHeader/>
        </w:trPr>
        <w:tc>
          <w:tcPr>
            <w:tcW w:w="4020" w:type="dxa"/>
            <w:vAlign w:val="bottom"/>
          </w:tcPr>
          <w:p w14:paraId="0F2F3D9E" w14:textId="77777777" w:rsidR="00E67794" w:rsidRDefault="00000000">
            <w:pPr>
              <w:spacing w:line="240" w:lineRule="auto"/>
              <w:rPr>
                <w:color w:val="002060"/>
              </w:rPr>
            </w:pPr>
            <w:r>
              <w:rPr>
                <w:color w:val="002060"/>
              </w:rPr>
              <w:t>SCE</w:t>
            </w:r>
          </w:p>
        </w:tc>
        <w:tc>
          <w:tcPr>
            <w:tcW w:w="3510" w:type="dxa"/>
            <w:vAlign w:val="bottom"/>
          </w:tcPr>
          <w:p w14:paraId="225B84A2" w14:textId="77777777" w:rsidR="00E67794" w:rsidRDefault="00000000">
            <w:pPr>
              <w:spacing w:line="240" w:lineRule="auto"/>
              <w:rPr>
                <w:color w:val="002060"/>
              </w:rPr>
            </w:pPr>
            <w:r>
              <w:rPr>
                <w:color w:val="002060"/>
              </w:rPr>
              <w:t>Larry Tabizon</w:t>
            </w:r>
          </w:p>
        </w:tc>
      </w:tr>
      <w:tr w:rsidR="00E67794" w14:paraId="5D8E1ABE" w14:textId="77777777">
        <w:trPr>
          <w:trHeight w:val="320"/>
          <w:tblHeader/>
        </w:trPr>
        <w:tc>
          <w:tcPr>
            <w:tcW w:w="4020" w:type="dxa"/>
            <w:vAlign w:val="bottom"/>
          </w:tcPr>
          <w:p w14:paraId="7B5D3966" w14:textId="77777777" w:rsidR="00E67794" w:rsidRDefault="00000000">
            <w:pPr>
              <w:spacing w:line="240" w:lineRule="auto"/>
              <w:rPr>
                <w:color w:val="002060"/>
              </w:rPr>
            </w:pPr>
            <w:r>
              <w:rPr>
                <w:color w:val="002060"/>
              </w:rPr>
              <w:t>SDGE</w:t>
            </w:r>
          </w:p>
        </w:tc>
        <w:tc>
          <w:tcPr>
            <w:tcW w:w="3510" w:type="dxa"/>
            <w:vAlign w:val="bottom"/>
          </w:tcPr>
          <w:p w14:paraId="426FFEC8" w14:textId="77777777" w:rsidR="00E67794" w:rsidRDefault="00000000">
            <w:pPr>
              <w:spacing w:line="240" w:lineRule="auto"/>
              <w:rPr>
                <w:color w:val="002060"/>
              </w:rPr>
            </w:pPr>
            <w:r>
              <w:rPr>
                <w:color w:val="002060"/>
              </w:rPr>
              <w:t>Kelvin Valenzuela</w:t>
            </w:r>
          </w:p>
        </w:tc>
      </w:tr>
      <w:tr w:rsidR="00E67794" w14:paraId="34B5542A" w14:textId="77777777">
        <w:trPr>
          <w:trHeight w:val="320"/>
          <w:tblHeader/>
        </w:trPr>
        <w:tc>
          <w:tcPr>
            <w:tcW w:w="4020" w:type="dxa"/>
            <w:vAlign w:val="bottom"/>
          </w:tcPr>
          <w:p w14:paraId="2FA4CDEE" w14:textId="77777777" w:rsidR="00E67794" w:rsidRDefault="00000000">
            <w:pPr>
              <w:spacing w:line="240" w:lineRule="auto"/>
              <w:rPr>
                <w:color w:val="002060"/>
              </w:rPr>
            </w:pPr>
            <w:r>
              <w:rPr>
                <w:color w:val="002060"/>
              </w:rPr>
              <w:t>SEI</w:t>
            </w:r>
          </w:p>
        </w:tc>
        <w:tc>
          <w:tcPr>
            <w:tcW w:w="3510" w:type="dxa"/>
            <w:vAlign w:val="bottom"/>
          </w:tcPr>
          <w:p w14:paraId="607CF44F" w14:textId="77777777" w:rsidR="00E67794" w:rsidRDefault="00000000">
            <w:pPr>
              <w:spacing w:line="240" w:lineRule="auto"/>
              <w:rPr>
                <w:color w:val="002060"/>
              </w:rPr>
            </w:pPr>
            <w:r>
              <w:rPr>
                <w:color w:val="002060"/>
              </w:rPr>
              <w:t>Jake Pollack</w:t>
            </w:r>
          </w:p>
        </w:tc>
      </w:tr>
      <w:tr w:rsidR="00E67794" w14:paraId="1D042149" w14:textId="77777777">
        <w:trPr>
          <w:trHeight w:val="320"/>
          <w:tblHeader/>
        </w:trPr>
        <w:tc>
          <w:tcPr>
            <w:tcW w:w="4020" w:type="dxa"/>
            <w:vAlign w:val="bottom"/>
          </w:tcPr>
          <w:p w14:paraId="2B6AA474" w14:textId="77777777" w:rsidR="00E67794" w:rsidRDefault="00000000">
            <w:pPr>
              <w:spacing w:line="240" w:lineRule="auto"/>
              <w:rPr>
                <w:color w:val="002060"/>
              </w:rPr>
            </w:pPr>
            <w:r>
              <w:rPr>
                <w:color w:val="002060"/>
              </w:rPr>
              <w:t>SDREN</w:t>
            </w:r>
          </w:p>
        </w:tc>
        <w:tc>
          <w:tcPr>
            <w:tcW w:w="3510" w:type="dxa"/>
            <w:vAlign w:val="bottom"/>
          </w:tcPr>
          <w:p w14:paraId="3533BDC6" w14:textId="77777777" w:rsidR="00E67794" w:rsidRDefault="00000000">
            <w:pPr>
              <w:spacing w:line="240" w:lineRule="auto"/>
              <w:rPr>
                <w:color w:val="002060"/>
              </w:rPr>
            </w:pPr>
            <w:r>
              <w:rPr>
                <w:color w:val="002060"/>
              </w:rPr>
              <w:t>Mark Alfaro</w:t>
            </w:r>
          </w:p>
        </w:tc>
      </w:tr>
      <w:tr w:rsidR="00E67794" w14:paraId="2282A8F4" w14:textId="77777777">
        <w:trPr>
          <w:trHeight w:val="320"/>
          <w:tblHeader/>
        </w:trPr>
        <w:tc>
          <w:tcPr>
            <w:tcW w:w="4020" w:type="dxa"/>
            <w:vAlign w:val="bottom"/>
          </w:tcPr>
          <w:p w14:paraId="427DA484" w14:textId="77777777" w:rsidR="00E67794" w:rsidRDefault="00000000">
            <w:pPr>
              <w:spacing w:line="240" w:lineRule="auto"/>
              <w:rPr>
                <w:color w:val="002060"/>
              </w:rPr>
            </w:pPr>
            <w:r>
              <w:rPr>
                <w:color w:val="002060"/>
              </w:rPr>
              <w:t>SDREN</w:t>
            </w:r>
          </w:p>
        </w:tc>
        <w:tc>
          <w:tcPr>
            <w:tcW w:w="3510" w:type="dxa"/>
            <w:vAlign w:val="bottom"/>
          </w:tcPr>
          <w:p w14:paraId="691D423A" w14:textId="77777777" w:rsidR="00E67794" w:rsidRDefault="00000000">
            <w:pPr>
              <w:spacing w:line="240" w:lineRule="auto"/>
              <w:rPr>
                <w:color w:val="002060"/>
              </w:rPr>
            </w:pPr>
            <w:r>
              <w:rPr>
                <w:color w:val="002060"/>
              </w:rPr>
              <w:t>Aisha Cissna</w:t>
            </w:r>
          </w:p>
        </w:tc>
      </w:tr>
      <w:tr w:rsidR="00E67794" w14:paraId="24FD8DAF" w14:textId="77777777">
        <w:trPr>
          <w:trHeight w:val="320"/>
          <w:tblHeader/>
        </w:trPr>
        <w:tc>
          <w:tcPr>
            <w:tcW w:w="4020" w:type="dxa"/>
            <w:vAlign w:val="bottom"/>
          </w:tcPr>
          <w:p w14:paraId="0998521D" w14:textId="77777777" w:rsidR="00E67794" w:rsidRDefault="00000000">
            <w:pPr>
              <w:spacing w:line="240" w:lineRule="auto"/>
              <w:rPr>
                <w:color w:val="002060"/>
              </w:rPr>
            </w:pPr>
            <w:r>
              <w:rPr>
                <w:color w:val="002060"/>
              </w:rPr>
              <w:t>SDREN</w:t>
            </w:r>
          </w:p>
        </w:tc>
        <w:tc>
          <w:tcPr>
            <w:tcW w:w="3510" w:type="dxa"/>
            <w:vAlign w:val="bottom"/>
          </w:tcPr>
          <w:p w14:paraId="3392E23A" w14:textId="77777777" w:rsidR="00E67794" w:rsidRDefault="00000000">
            <w:pPr>
              <w:spacing w:line="240" w:lineRule="auto"/>
              <w:rPr>
                <w:color w:val="002060"/>
              </w:rPr>
            </w:pPr>
            <w:r>
              <w:rPr>
                <w:color w:val="002060"/>
              </w:rPr>
              <w:t>Alison Scurlock</w:t>
            </w:r>
          </w:p>
        </w:tc>
      </w:tr>
      <w:tr w:rsidR="00E67794" w14:paraId="11995D4C" w14:textId="77777777">
        <w:trPr>
          <w:trHeight w:val="320"/>
          <w:tblHeader/>
        </w:trPr>
        <w:tc>
          <w:tcPr>
            <w:tcW w:w="4020" w:type="dxa"/>
            <w:vAlign w:val="bottom"/>
          </w:tcPr>
          <w:p w14:paraId="2E313869" w14:textId="77777777" w:rsidR="00E67794" w:rsidRDefault="00000000">
            <w:pPr>
              <w:spacing w:line="240" w:lineRule="auto"/>
              <w:rPr>
                <w:color w:val="002060"/>
              </w:rPr>
            </w:pPr>
            <w:r>
              <w:rPr>
                <w:color w:val="002060"/>
              </w:rPr>
              <w:t>SDREN</w:t>
            </w:r>
          </w:p>
        </w:tc>
        <w:tc>
          <w:tcPr>
            <w:tcW w:w="3510" w:type="dxa"/>
            <w:vAlign w:val="bottom"/>
          </w:tcPr>
          <w:p w14:paraId="314DD2B6" w14:textId="77777777" w:rsidR="00E67794" w:rsidRDefault="00000000">
            <w:pPr>
              <w:spacing w:line="240" w:lineRule="auto"/>
              <w:rPr>
                <w:color w:val="002060"/>
              </w:rPr>
            </w:pPr>
            <w:r>
              <w:rPr>
                <w:color w:val="002060"/>
              </w:rPr>
              <w:t>Colin Santulli</w:t>
            </w:r>
          </w:p>
        </w:tc>
      </w:tr>
      <w:tr w:rsidR="00E67794" w14:paraId="2C81C31F" w14:textId="77777777">
        <w:trPr>
          <w:trHeight w:val="320"/>
          <w:tblHeader/>
        </w:trPr>
        <w:tc>
          <w:tcPr>
            <w:tcW w:w="4020" w:type="dxa"/>
            <w:vAlign w:val="bottom"/>
          </w:tcPr>
          <w:p w14:paraId="439CE388" w14:textId="77777777" w:rsidR="00E67794" w:rsidRDefault="00000000">
            <w:pPr>
              <w:spacing w:line="240" w:lineRule="auto"/>
              <w:rPr>
                <w:color w:val="002060"/>
              </w:rPr>
            </w:pPr>
            <w:r>
              <w:rPr>
                <w:color w:val="002060"/>
              </w:rPr>
              <w:t>SDREN</w:t>
            </w:r>
          </w:p>
        </w:tc>
        <w:tc>
          <w:tcPr>
            <w:tcW w:w="3510" w:type="dxa"/>
            <w:vAlign w:val="bottom"/>
          </w:tcPr>
          <w:p w14:paraId="74D1B7B6" w14:textId="77777777" w:rsidR="00E67794" w:rsidRDefault="00000000">
            <w:pPr>
              <w:spacing w:line="240" w:lineRule="auto"/>
              <w:rPr>
                <w:color w:val="002060"/>
              </w:rPr>
            </w:pPr>
            <w:r>
              <w:rPr>
                <w:color w:val="002060"/>
              </w:rPr>
              <w:t>Amy Whitehouse</w:t>
            </w:r>
          </w:p>
        </w:tc>
      </w:tr>
      <w:tr w:rsidR="00E67794" w14:paraId="7FC200F5" w14:textId="77777777">
        <w:trPr>
          <w:trHeight w:val="320"/>
          <w:tblHeader/>
        </w:trPr>
        <w:tc>
          <w:tcPr>
            <w:tcW w:w="4020" w:type="dxa"/>
            <w:vAlign w:val="bottom"/>
          </w:tcPr>
          <w:p w14:paraId="09273570" w14:textId="77777777" w:rsidR="00E67794" w:rsidRDefault="00000000">
            <w:pPr>
              <w:spacing w:line="240" w:lineRule="auto"/>
              <w:rPr>
                <w:color w:val="002060"/>
              </w:rPr>
            </w:pPr>
            <w:r>
              <w:rPr>
                <w:color w:val="002060"/>
              </w:rPr>
              <w:t>Silent Running</w:t>
            </w:r>
          </w:p>
        </w:tc>
        <w:tc>
          <w:tcPr>
            <w:tcW w:w="3510" w:type="dxa"/>
            <w:vAlign w:val="bottom"/>
          </w:tcPr>
          <w:p w14:paraId="4039AD81" w14:textId="77777777" w:rsidR="00E67794" w:rsidRDefault="00000000">
            <w:pPr>
              <w:spacing w:line="240" w:lineRule="auto"/>
              <w:rPr>
                <w:color w:val="002060"/>
              </w:rPr>
            </w:pPr>
            <w:r>
              <w:rPr>
                <w:color w:val="002060"/>
              </w:rPr>
              <w:t>Jim Dodenhoff</w:t>
            </w:r>
          </w:p>
        </w:tc>
      </w:tr>
      <w:tr w:rsidR="00E67794" w14:paraId="0B83CFDF" w14:textId="77777777">
        <w:trPr>
          <w:trHeight w:val="320"/>
          <w:tblHeader/>
        </w:trPr>
        <w:tc>
          <w:tcPr>
            <w:tcW w:w="4020" w:type="dxa"/>
            <w:vAlign w:val="bottom"/>
          </w:tcPr>
          <w:p w14:paraId="50ABA1B3" w14:textId="77777777" w:rsidR="00E67794" w:rsidRDefault="00000000">
            <w:pPr>
              <w:spacing w:line="240" w:lineRule="auto"/>
              <w:rPr>
                <w:color w:val="002060"/>
              </w:rPr>
            </w:pPr>
            <w:r>
              <w:rPr>
                <w:color w:val="002060"/>
              </w:rPr>
              <w:t>SoCalGas</w:t>
            </w:r>
          </w:p>
        </w:tc>
        <w:tc>
          <w:tcPr>
            <w:tcW w:w="3510" w:type="dxa"/>
            <w:vAlign w:val="bottom"/>
          </w:tcPr>
          <w:p w14:paraId="6367430A" w14:textId="77777777" w:rsidR="00E67794" w:rsidRDefault="00000000">
            <w:pPr>
              <w:spacing w:line="240" w:lineRule="auto"/>
              <w:rPr>
                <w:color w:val="002060"/>
              </w:rPr>
            </w:pPr>
            <w:r>
              <w:rPr>
                <w:color w:val="002060"/>
              </w:rPr>
              <w:t>Mori Farid</w:t>
            </w:r>
          </w:p>
        </w:tc>
      </w:tr>
      <w:tr w:rsidR="00E67794" w14:paraId="77407AEB" w14:textId="77777777">
        <w:trPr>
          <w:trHeight w:val="320"/>
          <w:tblHeader/>
        </w:trPr>
        <w:tc>
          <w:tcPr>
            <w:tcW w:w="4020" w:type="dxa"/>
            <w:vAlign w:val="bottom"/>
          </w:tcPr>
          <w:p w14:paraId="5ACA4D71" w14:textId="77777777" w:rsidR="00E67794" w:rsidRDefault="00000000">
            <w:pPr>
              <w:spacing w:line="240" w:lineRule="auto"/>
              <w:rPr>
                <w:color w:val="002060"/>
              </w:rPr>
            </w:pPr>
            <w:r>
              <w:rPr>
                <w:color w:val="002060"/>
              </w:rPr>
              <w:t>SoCalGas</w:t>
            </w:r>
          </w:p>
        </w:tc>
        <w:tc>
          <w:tcPr>
            <w:tcW w:w="3510" w:type="dxa"/>
            <w:vAlign w:val="bottom"/>
          </w:tcPr>
          <w:p w14:paraId="1E09C111" w14:textId="77777777" w:rsidR="00E67794" w:rsidRDefault="00000000">
            <w:pPr>
              <w:spacing w:line="240" w:lineRule="auto"/>
              <w:rPr>
                <w:color w:val="002060"/>
              </w:rPr>
            </w:pPr>
            <w:r>
              <w:rPr>
                <w:color w:val="002060"/>
              </w:rPr>
              <w:t>Sandra Gonzalez</w:t>
            </w:r>
          </w:p>
        </w:tc>
      </w:tr>
      <w:tr w:rsidR="00E67794" w14:paraId="58E514DA" w14:textId="77777777">
        <w:trPr>
          <w:trHeight w:val="320"/>
          <w:tblHeader/>
        </w:trPr>
        <w:tc>
          <w:tcPr>
            <w:tcW w:w="4020" w:type="dxa"/>
            <w:vAlign w:val="bottom"/>
          </w:tcPr>
          <w:p w14:paraId="7FB89017" w14:textId="77777777" w:rsidR="00E67794" w:rsidRDefault="00000000">
            <w:pPr>
              <w:spacing w:line="240" w:lineRule="auto"/>
              <w:rPr>
                <w:color w:val="002060"/>
              </w:rPr>
            </w:pPr>
            <w:r>
              <w:rPr>
                <w:color w:val="002060"/>
              </w:rPr>
              <w:t>SoCalGas</w:t>
            </w:r>
          </w:p>
        </w:tc>
        <w:tc>
          <w:tcPr>
            <w:tcW w:w="3510" w:type="dxa"/>
            <w:vAlign w:val="bottom"/>
          </w:tcPr>
          <w:p w14:paraId="667CB2D2" w14:textId="77777777" w:rsidR="00E67794" w:rsidRDefault="00000000">
            <w:pPr>
              <w:spacing w:line="240" w:lineRule="auto"/>
              <w:rPr>
                <w:color w:val="002060"/>
              </w:rPr>
            </w:pPr>
            <w:r>
              <w:rPr>
                <w:color w:val="002060"/>
              </w:rPr>
              <w:t>Darren Hanway</w:t>
            </w:r>
          </w:p>
        </w:tc>
      </w:tr>
      <w:tr w:rsidR="00E67794" w14:paraId="13325329" w14:textId="77777777">
        <w:trPr>
          <w:trHeight w:val="320"/>
          <w:tblHeader/>
        </w:trPr>
        <w:tc>
          <w:tcPr>
            <w:tcW w:w="4020" w:type="dxa"/>
            <w:vAlign w:val="bottom"/>
          </w:tcPr>
          <w:p w14:paraId="675DE4FB" w14:textId="77777777" w:rsidR="00E67794" w:rsidRDefault="00000000">
            <w:pPr>
              <w:spacing w:line="240" w:lineRule="auto"/>
              <w:rPr>
                <w:color w:val="002060"/>
              </w:rPr>
            </w:pPr>
            <w:r>
              <w:rPr>
                <w:color w:val="002060"/>
              </w:rPr>
              <w:t>SoCalREN</w:t>
            </w:r>
          </w:p>
        </w:tc>
        <w:tc>
          <w:tcPr>
            <w:tcW w:w="3510" w:type="dxa"/>
            <w:vAlign w:val="bottom"/>
          </w:tcPr>
          <w:p w14:paraId="18265FB5" w14:textId="77777777" w:rsidR="00E67794" w:rsidRDefault="00000000">
            <w:pPr>
              <w:spacing w:line="240" w:lineRule="auto"/>
              <w:rPr>
                <w:color w:val="002060"/>
              </w:rPr>
            </w:pPr>
            <w:r>
              <w:rPr>
                <w:color w:val="002060"/>
              </w:rPr>
              <w:t>Audrey Bragg</w:t>
            </w:r>
          </w:p>
        </w:tc>
      </w:tr>
      <w:tr w:rsidR="00E67794" w14:paraId="58EF2A70" w14:textId="77777777">
        <w:trPr>
          <w:trHeight w:val="320"/>
          <w:tblHeader/>
        </w:trPr>
        <w:tc>
          <w:tcPr>
            <w:tcW w:w="4020" w:type="dxa"/>
            <w:vAlign w:val="bottom"/>
          </w:tcPr>
          <w:p w14:paraId="0CAD0C69" w14:textId="77777777" w:rsidR="00E67794" w:rsidRDefault="00000000">
            <w:pPr>
              <w:spacing w:line="240" w:lineRule="auto"/>
              <w:rPr>
                <w:color w:val="002060"/>
              </w:rPr>
            </w:pPr>
            <w:r>
              <w:rPr>
                <w:color w:val="002060"/>
              </w:rPr>
              <w:t>SoCalREN</w:t>
            </w:r>
          </w:p>
        </w:tc>
        <w:tc>
          <w:tcPr>
            <w:tcW w:w="3510" w:type="dxa"/>
            <w:vAlign w:val="bottom"/>
          </w:tcPr>
          <w:p w14:paraId="65C1DAAE" w14:textId="77777777" w:rsidR="00E67794" w:rsidRDefault="00000000">
            <w:pPr>
              <w:spacing w:line="240" w:lineRule="auto"/>
              <w:rPr>
                <w:color w:val="002060"/>
              </w:rPr>
            </w:pPr>
            <w:r>
              <w:rPr>
                <w:color w:val="002060"/>
              </w:rPr>
              <w:t>Tory Coffin</w:t>
            </w:r>
          </w:p>
        </w:tc>
      </w:tr>
      <w:tr w:rsidR="00E67794" w14:paraId="0C219DAE" w14:textId="77777777">
        <w:trPr>
          <w:trHeight w:val="320"/>
          <w:tblHeader/>
        </w:trPr>
        <w:tc>
          <w:tcPr>
            <w:tcW w:w="4020" w:type="dxa"/>
            <w:vAlign w:val="bottom"/>
          </w:tcPr>
          <w:p w14:paraId="6A3BF3BC" w14:textId="77777777" w:rsidR="00E67794" w:rsidRDefault="00000000">
            <w:pPr>
              <w:spacing w:line="240" w:lineRule="auto"/>
              <w:rPr>
                <w:color w:val="002060"/>
              </w:rPr>
            </w:pPr>
            <w:r>
              <w:rPr>
                <w:color w:val="002060"/>
              </w:rPr>
              <w:t>SoCalREN</w:t>
            </w:r>
          </w:p>
        </w:tc>
        <w:tc>
          <w:tcPr>
            <w:tcW w:w="3510" w:type="dxa"/>
            <w:vAlign w:val="bottom"/>
          </w:tcPr>
          <w:p w14:paraId="19026677" w14:textId="77777777" w:rsidR="00E67794" w:rsidRDefault="00000000">
            <w:pPr>
              <w:spacing w:line="240" w:lineRule="auto"/>
              <w:rPr>
                <w:color w:val="002060"/>
              </w:rPr>
            </w:pPr>
            <w:r>
              <w:rPr>
                <w:color w:val="002060"/>
              </w:rPr>
              <w:t>Fernanda Craig</w:t>
            </w:r>
          </w:p>
        </w:tc>
      </w:tr>
      <w:tr w:rsidR="00E67794" w14:paraId="367AB7FF" w14:textId="77777777">
        <w:trPr>
          <w:trHeight w:val="320"/>
          <w:tblHeader/>
        </w:trPr>
        <w:tc>
          <w:tcPr>
            <w:tcW w:w="4020" w:type="dxa"/>
            <w:vAlign w:val="bottom"/>
          </w:tcPr>
          <w:p w14:paraId="00AAC367" w14:textId="77777777" w:rsidR="00E67794" w:rsidRDefault="00000000">
            <w:pPr>
              <w:spacing w:line="240" w:lineRule="auto"/>
              <w:rPr>
                <w:color w:val="002060"/>
              </w:rPr>
            </w:pPr>
            <w:r>
              <w:rPr>
                <w:color w:val="002060"/>
              </w:rPr>
              <w:t>SoCalREN</w:t>
            </w:r>
          </w:p>
        </w:tc>
        <w:tc>
          <w:tcPr>
            <w:tcW w:w="3510" w:type="dxa"/>
            <w:vAlign w:val="bottom"/>
          </w:tcPr>
          <w:p w14:paraId="3216F9D2" w14:textId="77777777" w:rsidR="00E67794" w:rsidRDefault="00000000">
            <w:pPr>
              <w:spacing w:line="240" w:lineRule="auto"/>
              <w:rPr>
                <w:color w:val="002060"/>
              </w:rPr>
            </w:pPr>
            <w:r>
              <w:rPr>
                <w:color w:val="002060"/>
              </w:rPr>
              <w:t>Sulma Hernandez</w:t>
            </w:r>
          </w:p>
        </w:tc>
      </w:tr>
      <w:tr w:rsidR="00E67794" w14:paraId="035A8C71" w14:textId="77777777">
        <w:trPr>
          <w:trHeight w:val="320"/>
          <w:tblHeader/>
        </w:trPr>
        <w:tc>
          <w:tcPr>
            <w:tcW w:w="4020" w:type="dxa"/>
            <w:vAlign w:val="bottom"/>
          </w:tcPr>
          <w:p w14:paraId="1CF1744A" w14:textId="77777777" w:rsidR="00E67794" w:rsidRDefault="00000000">
            <w:pPr>
              <w:spacing w:line="240" w:lineRule="auto"/>
              <w:rPr>
                <w:color w:val="002060"/>
              </w:rPr>
            </w:pPr>
            <w:r>
              <w:rPr>
                <w:color w:val="002060"/>
              </w:rPr>
              <w:t>SoCalREN</w:t>
            </w:r>
          </w:p>
        </w:tc>
        <w:tc>
          <w:tcPr>
            <w:tcW w:w="3510" w:type="dxa"/>
            <w:vAlign w:val="bottom"/>
          </w:tcPr>
          <w:p w14:paraId="7606F10E" w14:textId="77777777" w:rsidR="00E67794" w:rsidRDefault="00000000">
            <w:pPr>
              <w:spacing w:line="240" w:lineRule="auto"/>
              <w:rPr>
                <w:color w:val="002060"/>
              </w:rPr>
            </w:pPr>
            <w:r>
              <w:rPr>
                <w:color w:val="002060"/>
              </w:rPr>
              <w:t>Bryan Lopez</w:t>
            </w:r>
          </w:p>
        </w:tc>
      </w:tr>
      <w:tr w:rsidR="00E67794" w14:paraId="4E023517" w14:textId="77777777">
        <w:trPr>
          <w:trHeight w:val="320"/>
          <w:tblHeader/>
        </w:trPr>
        <w:tc>
          <w:tcPr>
            <w:tcW w:w="4020" w:type="dxa"/>
            <w:vAlign w:val="bottom"/>
          </w:tcPr>
          <w:p w14:paraId="43CA832C" w14:textId="77777777" w:rsidR="00E67794" w:rsidRDefault="00000000">
            <w:pPr>
              <w:spacing w:line="240" w:lineRule="auto"/>
              <w:rPr>
                <w:color w:val="002060"/>
              </w:rPr>
            </w:pPr>
            <w:r>
              <w:rPr>
                <w:color w:val="002060"/>
              </w:rPr>
              <w:t>The Energy Coalition</w:t>
            </w:r>
          </w:p>
        </w:tc>
        <w:tc>
          <w:tcPr>
            <w:tcW w:w="3510" w:type="dxa"/>
            <w:vAlign w:val="bottom"/>
          </w:tcPr>
          <w:p w14:paraId="4B170AB2" w14:textId="77777777" w:rsidR="00E67794" w:rsidRDefault="00000000">
            <w:pPr>
              <w:spacing w:line="240" w:lineRule="auto"/>
              <w:rPr>
                <w:color w:val="002060"/>
              </w:rPr>
            </w:pPr>
            <w:r>
              <w:rPr>
                <w:color w:val="002060"/>
              </w:rPr>
              <w:t>Rebecca Hausheer</w:t>
            </w:r>
          </w:p>
        </w:tc>
      </w:tr>
      <w:tr w:rsidR="00E67794" w14:paraId="24447030" w14:textId="77777777">
        <w:trPr>
          <w:trHeight w:val="320"/>
          <w:tblHeader/>
        </w:trPr>
        <w:tc>
          <w:tcPr>
            <w:tcW w:w="4020" w:type="dxa"/>
            <w:vAlign w:val="bottom"/>
          </w:tcPr>
          <w:p w14:paraId="45BB98CF" w14:textId="77777777" w:rsidR="00E67794" w:rsidRDefault="00000000">
            <w:pPr>
              <w:spacing w:line="240" w:lineRule="auto"/>
              <w:rPr>
                <w:color w:val="002060"/>
              </w:rPr>
            </w:pPr>
            <w:r>
              <w:rPr>
                <w:color w:val="002060"/>
              </w:rPr>
              <w:lastRenderedPageBreak/>
              <w:t>Willdan</w:t>
            </w:r>
          </w:p>
        </w:tc>
        <w:tc>
          <w:tcPr>
            <w:tcW w:w="3510" w:type="dxa"/>
            <w:vAlign w:val="bottom"/>
          </w:tcPr>
          <w:p w14:paraId="48E214CA" w14:textId="77777777" w:rsidR="00E67794" w:rsidRDefault="00000000">
            <w:pPr>
              <w:spacing w:line="240" w:lineRule="auto"/>
              <w:rPr>
                <w:color w:val="002060"/>
              </w:rPr>
            </w:pPr>
            <w:r>
              <w:rPr>
                <w:color w:val="002060"/>
              </w:rPr>
              <w:t>Jeanne Huntsman</w:t>
            </w:r>
          </w:p>
        </w:tc>
      </w:tr>
      <w:tr w:rsidR="00E67794" w14:paraId="2794E6CB" w14:textId="77777777">
        <w:trPr>
          <w:trHeight w:val="320"/>
          <w:tblHeader/>
        </w:trPr>
        <w:tc>
          <w:tcPr>
            <w:tcW w:w="4020" w:type="dxa"/>
            <w:vAlign w:val="bottom"/>
          </w:tcPr>
          <w:p w14:paraId="70909D01" w14:textId="77777777" w:rsidR="00E67794" w:rsidRDefault="00000000">
            <w:pPr>
              <w:spacing w:line="240" w:lineRule="auto"/>
              <w:rPr>
                <w:color w:val="002060"/>
              </w:rPr>
            </w:pPr>
            <w:r>
              <w:rPr>
                <w:color w:val="002060"/>
              </w:rPr>
              <w:t>Willdan</w:t>
            </w:r>
          </w:p>
        </w:tc>
        <w:tc>
          <w:tcPr>
            <w:tcW w:w="3510" w:type="dxa"/>
            <w:vAlign w:val="bottom"/>
          </w:tcPr>
          <w:p w14:paraId="76E418B6" w14:textId="77777777" w:rsidR="00E67794" w:rsidRDefault="00000000">
            <w:pPr>
              <w:spacing w:line="240" w:lineRule="auto"/>
              <w:rPr>
                <w:color w:val="002060"/>
              </w:rPr>
            </w:pPr>
            <w:r>
              <w:rPr>
                <w:color w:val="002060"/>
              </w:rPr>
              <w:t>Rosie Kang</w:t>
            </w:r>
          </w:p>
        </w:tc>
      </w:tr>
      <w:tr w:rsidR="00E67794" w14:paraId="5B084D6C" w14:textId="77777777">
        <w:trPr>
          <w:trHeight w:val="320"/>
          <w:tblHeader/>
        </w:trPr>
        <w:tc>
          <w:tcPr>
            <w:tcW w:w="4020" w:type="dxa"/>
            <w:shd w:val="clear" w:color="auto" w:fill="B4C6E7"/>
            <w:vAlign w:val="bottom"/>
          </w:tcPr>
          <w:p w14:paraId="1666CA26" w14:textId="77777777" w:rsidR="00E67794" w:rsidRDefault="00000000">
            <w:pPr>
              <w:spacing w:line="240" w:lineRule="auto"/>
              <w:rPr>
                <w:b/>
                <w:bCs/>
                <w:color w:val="002060"/>
              </w:rPr>
            </w:pPr>
            <w:r>
              <w:rPr>
                <w:b/>
                <w:bCs/>
                <w:color w:val="002060"/>
              </w:rPr>
              <w:t>Facilitators</w:t>
            </w:r>
          </w:p>
        </w:tc>
        <w:tc>
          <w:tcPr>
            <w:tcW w:w="3510" w:type="dxa"/>
            <w:shd w:val="clear" w:color="auto" w:fill="B4C6E7"/>
            <w:vAlign w:val="bottom"/>
          </w:tcPr>
          <w:p w14:paraId="0065C377" w14:textId="77777777" w:rsidR="00E67794" w:rsidRDefault="00E67794">
            <w:pPr>
              <w:spacing w:line="240" w:lineRule="auto"/>
              <w:rPr>
                <w:color w:val="002060"/>
              </w:rPr>
            </w:pPr>
          </w:p>
        </w:tc>
      </w:tr>
      <w:tr w:rsidR="00E67794" w14:paraId="63B6F7D4" w14:textId="77777777">
        <w:trPr>
          <w:trHeight w:val="320"/>
          <w:tblHeader/>
        </w:trPr>
        <w:tc>
          <w:tcPr>
            <w:tcW w:w="4020" w:type="dxa"/>
            <w:vAlign w:val="bottom"/>
          </w:tcPr>
          <w:p w14:paraId="688F13FB" w14:textId="77777777" w:rsidR="00E67794" w:rsidRDefault="00000000">
            <w:pPr>
              <w:spacing w:line="240" w:lineRule="auto"/>
              <w:rPr>
                <w:color w:val="002060"/>
              </w:rPr>
            </w:pPr>
            <w:r>
              <w:rPr>
                <w:color w:val="002060"/>
              </w:rPr>
              <w:t>Birch Road Consulting</w:t>
            </w:r>
          </w:p>
        </w:tc>
        <w:tc>
          <w:tcPr>
            <w:tcW w:w="3510" w:type="dxa"/>
            <w:vAlign w:val="bottom"/>
          </w:tcPr>
          <w:p w14:paraId="53FE740D" w14:textId="77777777" w:rsidR="00E67794" w:rsidRDefault="00000000">
            <w:pPr>
              <w:spacing w:line="240" w:lineRule="auto"/>
              <w:rPr>
                <w:color w:val="002060"/>
              </w:rPr>
            </w:pPr>
            <w:r>
              <w:rPr>
                <w:color w:val="002060"/>
              </w:rPr>
              <w:t>Katie Abrams</w:t>
            </w:r>
          </w:p>
        </w:tc>
      </w:tr>
      <w:tr w:rsidR="00E67794" w14:paraId="7B4AD214" w14:textId="77777777">
        <w:trPr>
          <w:trHeight w:val="320"/>
          <w:tblHeader/>
        </w:trPr>
        <w:tc>
          <w:tcPr>
            <w:tcW w:w="4020" w:type="dxa"/>
            <w:vAlign w:val="bottom"/>
          </w:tcPr>
          <w:p w14:paraId="7D4E6970" w14:textId="77777777" w:rsidR="00E67794" w:rsidRDefault="00000000">
            <w:pPr>
              <w:spacing w:line="240" w:lineRule="auto"/>
              <w:rPr>
                <w:color w:val="002060"/>
              </w:rPr>
            </w:pPr>
            <w:r>
              <w:rPr>
                <w:color w:val="002060"/>
              </w:rPr>
              <w:t>Common Spark Consulting</w:t>
            </w:r>
          </w:p>
        </w:tc>
        <w:tc>
          <w:tcPr>
            <w:tcW w:w="3510" w:type="dxa"/>
            <w:vAlign w:val="bottom"/>
          </w:tcPr>
          <w:p w14:paraId="442FDD55" w14:textId="77777777" w:rsidR="00E67794" w:rsidRDefault="00000000">
            <w:pPr>
              <w:spacing w:line="240" w:lineRule="auto"/>
              <w:rPr>
                <w:color w:val="002060"/>
              </w:rPr>
            </w:pPr>
            <w:r>
              <w:rPr>
                <w:color w:val="002060"/>
              </w:rPr>
              <w:t>Michelle Vigen-Ralston</w:t>
            </w:r>
          </w:p>
        </w:tc>
      </w:tr>
      <w:tr w:rsidR="00E67794" w14:paraId="69D2554A" w14:textId="77777777">
        <w:trPr>
          <w:trHeight w:val="320"/>
          <w:tblHeader/>
        </w:trPr>
        <w:tc>
          <w:tcPr>
            <w:tcW w:w="4020" w:type="dxa"/>
            <w:vAlign w:val="bottom"/>
          </w:tcPr>
          <w:p w14:paraId="006A3F0F" w14:textId="77777777" w:rsidR="00E67794" w:rsidRDefault="00000000">
            <w:pPr>
              <w:spacing w:line="240" w:lineRule="auto"/>
              <w:rPr>
                <w:color w:val="002060"/>
              </w:rPr>
            </w:pPr>
            <w:r>
              <w:rPr>
                <w:color w:val="002060"/>
              </w:rPr>
              <w:t>Common Spark Consulting</w:t>
            </w:r>
          </w:p>
        </w:tc>
        <w:tc>
          <w:tcPr>
            <w:tcW w:w="3510" w:type="dxa"/>
            <w:vAlign w:val="bottom"/>
          </w:tcPr>
          <w:p w14:paraId="0701C43F" w14:textId="77777777" w:rsidR="00E67794" w:rsidRDefault="00000000">
            <w:pPr>
              <w:spacing w:line="240" w:lineRule="auto"/>
              <w:rPr>
                <w:color w:val="002060"/>
              </w:rPr>
            </w:pPr>
            <w:r>
              <w:rPr>
                <w:color w:val="002060"/>
              </w:rPr>
              <w:t>Mahal Garcia Liu</w:t>
            </w:r>
          </w:p>
        </w:tc>
      </w:tr>
      <w:tr w:rsidR="00E67794" w14:paraId="04F9B342" w14:textId="77777777">
        <w:trPr>
          <w:trHeight w:val="320"/>
          <w:tblHeader/>
        </w:trPr>
        <w:tc>
          <w:tcPr>
            <w:tcW w:w="4020" w:type="dxa"/>
            <w:vAlign w:val="bottom"/>
          </w:tcPr>
          <w:p w14:paraId="451EEA43" w14:textId="77777777" w:rsidR="00E67794" w:rsidRDefault="00000000">
            <w:pPr>
              <w:spacing w:line="240" w:lineRule="auto"/>
              <w:rPr>
                <w:color w:val="002060"/>
              </w:rPr>
            </w:pPr>
            <w:r>
              <w:rPr>
                <w:color w:val="002060"/>
              </w:rPr>
              <w:t>Raab Associates, Ltd.</w:t>
            </w:r>
          </w:p>
        </w:tc>
        <w:tc>
          <w:tcPr>
            <w:tcW w:w="3510" w:type="dxa"/>
            <w:vAlign w:val="bottom"/>
          </w:tcPr>
          <w:p w14:paraId="4E0DDD90" w14:textId="77777777" w:rsidR="00E67794" w:rsidRDefault="00000000">
            <w:pPr>
              <w:spacing w:line="240" w:lineRule="auto"/>
              <w:rPr>
                <w:color w:val="002060"/>
              </w:rPr>
            </w:pPr>
            <w:r>
              <w:rPr>
                <w:color w:val="002060"/>
              </w:rPr>
              <w:t>Susan Rivo</w:t>
            </w:r>
          </w:p>
        </w:tc>
      </w:tr>
    </w:tbl>
    <w:p w14:paraId="7A5EAB90" w14:textId="77777777" w:rsidR="00E67794" w:rsidRDefault="00000000">
      <w:pPr>
        <w:pStyle w:val="Heading1"/>
        <w:spacing w:before="360" w:after="200" w:line="240" w:lineRule="auto"/>
        <w:rPr>
          <w:color w:val="134F5C"/>
        </w:rPr>
      </w:pPr>
      <w:bookmarkStart w:id="28" w:name="_ojq8yejdejfw" w:colFirst="0" w:colLast="0"/>
      <w:bookmarkEnd w:id="28"/>
      <w:r>
        <w:br w:type="page"/>
      </w:r>
    </w:p>
    <w:p w14:paraId="1CE8A32F" w14:textId="77777777" w:rsidR="00E67794" w:rsidRDefault="00000000">
      <w:pPr>
        <w:pStyle w:val="Heading1"/>
        <w:spacing w:before="360" w:line="240" w:lineRule="auto"/>
        <w:rPr>
          <w:color w:val="134F5C"/>
        </w:rPr>
      </w:pPr>
      <w:bookmarkStart w:id="29" w:name="_3whwml4" w:colFirst="0" w:colLast="0"/>
      <w:bookmarkEnd w:id="29"/>
      <w:r>
        <w:rPr>
          <w:color w:val="134F5C"/>
        </w:rPr>
        <w:lastRenderedPageBreak/>
        <w:t>Appendix B: Slido Q&amp;A and Input</w:t>
      </w:r>
    </w:p>
    <w:p w14:paraId="23C8FCE5" w14:textId="77777777" w:rsidR="00E67794" w:rsidRDefault="00E67794">
      <w:pPr>
        <w:rPr>
          <w:i/>
          <w:iCs/>
        </w:rPr>
      </w:pPr>
    </w:p>
    <w:p w14:paraId="709AA738" w14:textId="77777777" w:rsidR="00E67794" w:rsidRDefault="00000000">
      <w:pPr>
        <w:rPr>
          <w:i/>
          <w:iCs/>
        </w:rPr>
      </w:pPr>
      <w:r>
        <w:rPr>
          <w:i/>
          <w:iCs/>
        </w:rPr>
        <w:t>Note that the majority of the text is copied/pasted from Slido and not edited for grammar, spelling etc.</w:t>
      </w:r>
    </w:p>
    <w:p w14:paraId="780DFADD" w14:textId="77777777" w:rsidR="00E67794" w:rsidRDefault="00000000">
      <w:pPr>
        <w:pStyle w:val="Heading2"/>
      </w:pPr>
      <w:bookmarkStart w:id="30" w:name="_spnwd1mc1cdl" w:colFirst="0" w:colLast="0"/>
      <w:bookmarkEnd w:id="30"/>
      <w:r>
        <w:t>Energy Division Performance Overview Presentation Q&amp;A and Input</w:t>
      </w:r>
    </w:p>
    <w:p w14:paraId="4B5DE34D" w14:textId="77777777" w:rsidR="00E67794" w:rsidRDefault="00000000">
      <w:pPr>
        <w:numPr>
          <w:ilvl w:val="0"/>
          <w:numId w:val="3"/>
        </w:numPr>
      </w:pPr>
      <w:r>
        <w:rPr>
          <w:b/>
          <w:bCs/>
        </w:rPr>
        <w:t>Brooke Wright:</w:t>
      </w:r>
      <w:r>
        <w:t xml:space="preserve"> Do the TSBs here include equity programs or exclude them. Given they don't need to meet TSB targets typically, I'm wondering are these programs dragging on TSB performance per PA or not?</w:t>
      </w:r>
    </w:p>
    <w:p w14:paraId="6BE5D3EA" w14:textId="77777777" w:rsidR="00E67794" w:rsidRDefault="00000000">
      <w:pPr>
        <w:numPr>
          <w:ilvl w:val="1"/>
          <w:numId w:val="3"/>
        </w:numPr>
      </w:pPr>
      <w:r>
        <w:rPr>
          <w:b/>
          <w:bCs/>
        </w:rPr>
        <w:t>Energy Division Response:</w:t>
      </w:r>
      <w:r>
        <w:t xml:space="preserve"> Yes, the values for TSB here include Equity and Market Support. They do not include Codes and Standards or ESA.</w:t>
      </w:r>
    </w:p>
    <w:p w14:paraId="6AFFBB21" w14:textId="77777777" w:rsidR="00E67794" w:rsidRDefault="00000000">
      <w:pPr>
        <w:numPr>
          <w:ilvl w:val="0"/>
          <w:numId w:val="3"/>
        </w:numPr>
      </w:pPr>
      <w:r>
        <w:rPr>
          <w:b/>
          <w:bCs/>
        </w:rPr>
        <w:t xml:space="preserve">Energy Division: </w:t>
      </w:r>
      <w:r>
        <w:t xml:space="preserve">What are the top 3-5 residential measures by TSB after home energy reports? (to PG&amp;E, SCE, SDG&amp;E, SoCalGas all the IOUs) </w:t>
      </w:r>
    </w:p>
    <w:p w14:paraId="6FBADC3E" w14:textId="77777777" w:rsidR="00E67794" w:rsidRDefault="00000000">
      <w:pPr>
        <w:numPr>
          <w:ilvl w:val="1"/>
          <w:numId w:val="3"/>
        </w:numPr>
        <w:rPr>
          <w:b/>
          <w:bCs/>
        </w:rPr>
      </w:pPr>
      <w:r>
        <w:rPr>
          <w:b/>
          <w:bCs/>
        </w:rPr>
        <w:t xml:space="preserve">SCE Response: </w:t>
      </w:r>
    </w:p>
    <w:p w14:paraId="6EA02F15" w14:textId="77777777" w:rsidR="00E67794" w:rsidRDefault="00000000">
      <w:pPr>
        <w:numPr>
          <w:ilvl w:val="2"/>
          <w:numId w:val="3"/>
        </w:numPr>
      </w:pPr>
      <w:r>
        <w:t>Top 3 Multifamily Measures:</w:t>
      </w:r>
    </w:p>
    <w:p w14:paraId="123B1C83" w14:textId="77777777" w:rsidR="00E67794" w:rsidRDefault="00000000">
      <w:pPr>
        <w:numPr>
          <w:ilvl w:val="3"/>
          <w:numId w:val="3"/>
        </w:numPr>
      </w:pPr>
      <w:r>
        <w:t>1. Lifecycle Refrigerant Management</w:t>
      </w:r>
    </w:p>
    <w:p w14:paraId="00C18604" w14:textId="77777777" w:rsidR="00E67794" w:rsidRDefault="00000000">
      <w:pPr>
        <w:numPr>
          <w:ilvl w:val="3"/>
          <w:numId w:val="3"/>
        </w:numPr>
      </w:pPr>
      <w:r>
        <w:t>2. Smart Fan Controller</w:t>
      </w:r>
    </w:p>
    <w:p w14:paraId="1B3EF251" w14:textId="77777777" w:rsidR="00E67794" w:rsidRDefault="00000000">
      <w:pPr>
        <w:numPr>
          <w:ilvl w:val="3"/>
          <w:numId w:val="3"/>
        </w:numPr>
      </w:pPr>
      <w:r>
        <w:t>3. Smart Thermostat</w:t>
      </w:r>
    </w:p>
    <w:p w14:paraId="58E2BD01" w14:textId="77777777" w:rsidR="00E67794" w:rsidRDefault="00000000">
      <w:pPr>
        <w:numPr>
          <w:ilvl w:val="2"/>
          <w:numId w:val="3"/>
        </w:numPr>
      </w:pPr>
      <w:r>
        <w:t>Top 3 Single Family Measures:</w:t>
      </w:r>
    </w:p>
    <w:p w14:paraId="0D79C1D2" w14:textId="77777777" w:rsidR="00E67794" w:rsidRDefault="00000000">
      <w:pPr>
        <w:numPr>
          <w:ilvl w:val="3"/>
          <w:numId w:val="3"/>
        </w:numPr>
      </w:pPr>
      <w:r>
        <w:t>1. Smart Fan Controller</w:t>
      </w:r>
    </w:p>
    <w:p w14:paraId="130D471F" w14:textId="77777777" w:rsidR="00E67794" w:rsidRDefault="00000000">
      <w:pPr>
        <w:numPr>
          <w:ilvl w:val="3"/>
          <w:numId w:val="3"/>
        </w:numPr>
      </w:pPr>
      <w:r>
        <w:t>2. Lifecycle Refrigerant Management</w:t>
      </w:r>
    </w:p>
    <w:p w14:paraId="7F6E1BB7" w14:textId="77777777" w:rsidR="00E67794" w:rsidRDefault="00000000">
      <w:pPr>
        <w:numPr>
          <w:ilvl w:val="3"/>
          <w:numId w:val="3"/>
        </w:numPr>
      </w:pPr>
      <w:r>
        <w:t>3. Duct Seal</w:t>
      </w:r>
    </w:p>
    <w:p w14:paraId="3E2A492C" w14:textId="77777777" w:rsidR="00E67794" w:rsidRDefault="00000000">
      <w:pPr>
        <w:numPr>
          <w:ilvl w:val="1"/>
          <w:numId w:val="3"/>
        </w:numPr>
      </w:pPr>
      <w:r>
        <w:rPr>
          <w:b/>
          <w:bCs/>
        </w:rPr>
        <w:t xml:space="preserve">SoCalGas Response: </w:t>
      </w:r>
      <w:r>
        <w:t xml:space="preserve">Darren: earlier question for residential measures outside of HER. going to see tankless waterheaters, smart thermostats, duct test and seal, some MF central boilers, those types of things are the predominant measures out side of HER. </w:t>
      </w:r>
    </w:p>
    <w:p w14:paraId="7745E30A" w14:textId="77777777" w:rsidR="00E67794" w:rsidRDefault="00000000">
      <w:pPr>
        <w:numPr>
          <w:ilvl w:val="2"/>
          <w:numId w:val="3"/>
        </w:numPr>
      </w:pPr>
      <w:r>
        <w:rPr>
          <w:b/>
          <w:bCs/>
        </w:rPr>
        <w:t xml:space="preserve">Ely Jacobsohn(CPUC): </w:t>
      </w:r>
      <w:r>
        <w:t xml:space="preserve">Can you speak to the extent to which pool heaters are an important measure for TSB? </w:t>
      </w:r>
    </w:p>
    <w:p w14:paraId="4F23F077" w14:textId="77777777" w:rsidR="00E67794" w:rsidRDefault="00000000">
      <w:pPr>
        <w:numPr>
          <w:ilvl w:val="2"/>
          <w:numId w:val="3"/>
        </w:numPr>
      </w:pPr>
      <w:r>
        <w:rPr>
          <w:b/>
          <w:bCs/>
        </w:rPr>
        <w:t xml:space="preserve">SoCalGas: </w:t>
      </w:r>
      <w:r>
        <w:t xml:space="preserve">We manage 3,000-5,000 rebates on residential and MF pool heaters a year. Definitely a significant contributor, but not to the extent of some of our water heating or our domestic hot water systems </w:t>
      </w:r>
    </w:p>
    <w:p w14:paraId="30CCEC68" w14:textId="77777777" w:rsidR="00E67794" w:rsidRDefault="00000000">
      <w:pPr>
        <w:numPr>
          <w:ilvl w:val="1"/>
          <w:numId w:val="3"/>
        </w:numPr>
      </w:pPr>
      <w:r>
        <w:rPr>
          <w:b/>
          <w:bCs/>
        </w:rPr>
        <w:t xml:space="preserve"> PG&amp;E Response: </w:t>
      </w:r>
    </w:p>
    <w:p w14:paraId="40963031" w14:textId="77777777" w:rsidR="00E67794" w:rsidRDefault="00000000">
      <w:pPr>
        <w:numPr>
          <w:ilvl w:val="2"/>
          <w:numId w:val="3"/>
        </w:numPr>
      </w:pPr>
      <w:r>
        <w:t>Measure TSB</w:t>
      </w:r>
    </w:p>
    <w:p w14:paraId="5CC39C8B" w14:textId="77777777" w:rsidR="00E67794" w:rsidRDefault="00000000">
      <w:pPr>
        <w:numPr>
          <w:ilvl w:val="3"/>
          <w:numId w:val="3"/>
        </w:numPr>
      </w:pPr>
      <w:r>
        <w:t>Heat Pump Water Heaters $2,522,188 (SW PLA)</w:t>
      </w:r>
    </w:p>
    <w:p w14:paraId="57596B0B" w14:textId="77777777" w:rsidR="00E67794" w:rsidRDefault="00000000">
      <w:pPr>
        <w:numPr>
          <w:ilvl w:val="3"/>
          <w:numId w:val="3"/>
        </w:numPr>
      </w:pPr>
      <w:r>
        <w:t>Split Package Heat Pumps $1,086,450 (SW HVAC)</w:t>
      </w:r>
    </w:p>
    <w:p w14:paraId="1C6C6A14" w14:textId="77777777" w:rsidR="00E67794" w:rsidRDefault="00000000">
      <w:pPr>
        <w:numPr>
          <w:ilvl w:val="3"/>
          <w:numId w:val="3"/>
        </w:numPr>
      </w:pPr>
      <w:r>
        <w:t>Home Energy Checkups $965,267 (PGE_Res_002a)</w:t>
      </w:r>
    </w:p>
    <w:p w14:paraId="062E3605" w14:textId="77777777" w:rsidR="00E67794" w:rsidRDefault="00000000">
      <w:pPr>
        <w:numPr>
          <w:ilvl w:val="3"/>
          <w:numId w:val="3"/>
        </w:numPr>
      </w:pPr>
      <w:r>
        <w:t>Home Intel NMEC $751,917 (PGE_Res_001b)</w:t>
      </w:r>
    </w:p>
    <w:p w14:paraId="35DB0C7F" w14:textId="77777777" w:rsidR="00E67794" w:rsidRDefault="00000000">
      <w:pPr>
        <w:numPr>
          <w:ilvl w:val="3"/>
          <w:numId w:val="3"/>
        </w:numPr>
      </w:pPr>
      <w:r>
        <w:lastRenderedPageBreak/>
        <w:t>Smart Thermostat $183,781 (SW PLA)</w:t>
      </w:r>
    </w:p>
    <w:p w14:paraId="2F7B4432" w14:textId="77777777" w:rsidR="00E67794" w:rsidRDefault="00000000">
      <w:pPr>
        <w:numPr>
          <w:ilvl w:val="1"/>
          <w:numId w:val="3"/>
        </w:numPr>
      </w:pPr>
      <w:r>
        <w:rPr>
          <w:b/>
          <w:bCs/>
        </w:rPr>
        <w:t>SDG&amp;E Response:</w:t>
      </w:r>
      <w:r>
        <w:t xml:space="preserve"> split units, pipe wrap and tank wrap</w:t>
      </w:r>
    </w:p>
    <w:p w14:paraId="26F406C3" w14:textId="77777777" w:rsidR="00E67794" w:rsidRDefault="00000000">
      <w:pPr>
        <w:numPr>
          <w:ilvl w:val="1"/>
          <w:numId w:val="3"/>
        </w:numPr>
        <w:rPr>
          <w:b/>
          <w:bCs/>
        </w:rPr>
      </w:pPr>
      <w:r>
        <w:rPr>
          <w:b/>
          <w:bCs/>
        </w:rPr>
        <w:t xml:space="preserve">MCE Response: </w:t>
      </w:r>
      <w:r>
        <w:t xml:space="preserve">Most residential savings come from the equity segment. Three measures that generate the most TSB: Duct Sealing, Attic Insulation, HPWH. MCE does not do home energy reports. Until the residential flex market starts hitting our claims, TSB will mostly come from equity segment programs. </w:t>
      </w:r>
    </w:p>
    <w:p w14:paraId="7AB41D16" w14:textId="77777777" w:rsidR="00E67794" w:rsidRDefault="00000000">
      <w:pPr>
        <w:pStyle w:val="Heading2"/>
        <w:keepNext w:val="0"/>
        <w:keepLines w:val="0"/>
        <w:spacing w:before="200"/>
      </w:pPr>
      <w:bookmarkStart w:id="31" w:name="_85j6eu1kxb0l" w:colFirst="0" w:colLast="0"/>
      <w:bookmarkEnd w:id="31"/>
      <w:r>
        <w:t>I-REN Q&amp;A and Input</w:t>
      </w:r>
    </w:p>
    <w:p w14:paraId="6ACCC24F" w14:textId="77777777" w:rsidR="00E67794" w:rsidRDefault="00000000">
      <w:pPr>
        <w:numPr>
          <w:ilvl w:val="0"/>
          <w:numId w:val="18"/>
        </w:numPr>
      </w:pPr>
      <w:r>
        <w:rPr>
          <w:b/>
          <w:bCs/>
        </w:rPr>
        <w:t xml:space="preserve">Jake Pollack: </w:t>
      </w:r>
      <w:r>
        <w:t>It was helpful to understand the workforce ed and training aspects…. Quick question around the Energy Fellows program - given the AmeriCorps shutdown this year, will the program be continuing moving forward?</w:t>
      </w:r>
    </w:p>
    <w:p w14:paraId="4C475180" w14:textId="77777777" w:rsidR="00E67794" w:rsidRDefault="00000000">
      <w:pPr>
        <w:numPr>
          <w:ilvl w:val="1"/>
          <w:numId w:val="18"/>
        </w:numPr>
      </w:pPr>
      <w:r>
        <w:rPr>
          <w:b/>
          <w:bCs/>
        </w:rPr>
        <w:t>I-REN Response:</w:t>
      </w:r>
      <w:r>
        <w:t xml:space="preserve"> </w:t>
      </w:r>
    </w:p>
    <w:p w14:paraId="670E7EA1" w14:textId="77777777" w:rsidR="00E67794" w:rsidRDefault="00000000">
      <w:pPr>
        <w:pStyle w:val="Heading2"/>
        <w:keepNext w:val="0"/>
        <w:keepLines w:val="0"/>
        <w:spacing w:before="200"/>
      </w:pPr>
      <w:bookmarkStart w:id="32" w:name="_qxfkwndpr4tt" w:colFirst="0" w:colLast="0"/>
      <w:bookmarkEnd w:id="32"/>
      <w:r>
        <w:t>SCE Q&amp;A and Input</w:t>
      </w:r>
    </w:p>
    <w:p w14:paraId="321CCC3E" w14:textId="77777777" w:rsidR="00E67794" w:rsidRDefault="00000000">
      <w:pPr>
        <w:numPr>
          <w:ilvl w:val="0"/>
          <w:numId w:val="14"/>
        </w:numPr>
      </w:pPr>
      <w:r>
        <w:rPr>
          <w:b/>
          <w:bCs/>
        </w:rPr>
        <w:t xml:space="preserve">Lore James: </w:t>
      </w:r>
      <w:r>
        <w:t>Has SCE put any fuel switching measures through POP or Site NMEC successfully?</w:t>
      </w:r>
    </w:p>
    <w:p w14:paraId="15D433A1" w14:textId="77777777" w:rsidR="00E67794" w:rsidRDefault="00000000">
      <w:pPr>
        <w:numPr>
          <w:ilvl w:val="1"/>
          <w:numId w:val="14"/>
        </w:numPr>
      </w:pPr>
      <w:r>
        <w:rPr>
          <w:b/>
          <w:bCs/>
        </w:rPr>
        <w:t>SCE Response:</w:t>
      </w:r>
      <w:r>
        <w:t xml:space="preserve"> No, not yet. Because those programs are on longer measurement time horizons. We are anticipating a lot of lighting and HVAC.</w:t>
      </w:r>
    </w:p>
    <w:p w14:paraId="08CD5772" w14:textId="77777777" w:rsidR="00E67794" w:rsidRDefault="00000000">
      <w:pPr>
        <w:pStyle w:val="Heading2"/>
        <w:keepNext w:val="0"/>
        <w:keepLines w:val="0"/>
        <w:spacing w:before="200"/>
      </w:pPr>
      <w:bookmarkStart w:id="33" w:name="_8cotogy9fdgj" w:colFirst="0" w:colLast="0"/>
      <w:bookmarkEnd w:id="33"/>
      <w:r>
        <w:t>SoCalGas Q&amp;A and Input</w:t>
      </w:r>
    </w:p>
    <w:p w14:paraId="48A06D7B" w14:textId="77777777" w:rsidR="00E67794" w:rsidRDefault="00000000">
      <w:pPr>
        <w:numPr>
          <w:ilvl w:val="0"/>
          <w:numId w:val="19"/>
        </w:numPr>
      </w:pPr>
      <w:r>
        <w:rPr>
          <w:b/>
          <w:bCs/>
        </w:rPr>
        <w:t>Ted Howard (SBUA):</w:t>
      </w:r>
      <w:r>
        <w:t xml:space="preserve"> My question was concerning why Cross-cutting programs made up a high percentage of TSB for SCG, SDG&amp;E, and SCE (70%, 87%, 90%), while very low for PG&amp;E (2%).  Darren’s answer that it is mostly C&amp;S makes sense.</w:t>
      </w:r>
    </w:p>
    <w:p w14:paraId="4D94E2F2" w14:textId="77777777" w:rsidR="00E67794" w:rsidRDefault="00000000">
      <w:pPr>
        <w:numPr>
          <w:ilvl w:val="1"/>
          <w:numId w:val="19"/>
        </w:numPr>
      </w:pPr>
      <w:r>
        <w:rPr>
          <w:b/>
          <w:bCs/>
        </w:rPr>
        <w:t>SoCalGas Response:</w:t>
      </w:r>
      <w:r>
        <w:t xml:space="preserve"> Thank you for the opportunity to provide background on our Q1 vs. Q2 TSB performance. Our March TSB numbers include the cumulative recorded winter impact of the Residential Behavioral Program. Savings for this program are calculated by comparing consumption before and after a treatment customer wave receives a Home Energy Report, versus its matched control group. This calculation is performed twice per year—once for the winter months and once for the non-winter months. The March TSB figure reflects behavioral results from November 1, 2024, through March 31, 2025.</w:t>
      </w:r>
    </w:p>
    <w:p w14:paraId="63D340E4" w14:textId="77777777" w:rsidR="00E67794" w:rsidRDefault="00000000">
      <w:pPr>
        <w:numPr>
          <w:ilvl w:val="0"/>
          <w:numId w:val="19"/>
        </w:numPr>
        <w:rPr>
          <w:shd w:val="clear" w:color="auto" w:fill="FFF2CC"/>
        </w:rPr>
      </w:pPr>
      <w:r>
        <w:rPr>
          <w:b/>
          <w:bCs/>
          <w:shd w:val="clear" w:color="auto" w:fill="FFF2CC"/>
        </w:rPr>
        <w:t xml:space="preserve">Ely Jacobsohn (CPUC): </w:t>
      </w:r>
      <w:r>
        <w:rPr>
          <w:shd w:val="clear" w:color="auto" w:fill="FFF2CC"/>
        </w:rPr>
        <w:t xml:space="preserve">If you could go to slide 63, I just have a question about… Sort of timing. The TSB values in Q1, if you compare them to Q2, Q1 in a number of categories, especially resource and equity, are higher than in Q2. Which is just generally sort of odd, given how reporting happens at the PUC and claims with </w:t>
      </w:r>
      <w:r>
        <w:rPr>
          <w:shd w:val="clear" w:color="auto" w:fill="FFF2CC"/>
        </w:rPr>
        <w:lastRenderedPageBreak/>
        <w:t xml:space="preserve">the IOUs and others. So, wondering if there's just a simple explanation for why Q2 is lower than Q1. </w:t>
      </w:r>
    </w:p>
    <w:p w14:paraId="3A6D6902" w14:textId="77777777" w:rsidR="00E67794" w:rsidRDefault="00000000">
      <w:pPr>
        <w:numPr>
          <w:ilvl w:val="1"/>
          <w:numId w:val="19"/>
        </w:numPr>
      </w:pPr>
      <w:commentRangeStart w:id="34"/>
      <w:r>
        <w:rPr>
          <w:b/>
          <w:bCs/>
          <w:color w:val="FF0000"/>
        </w:rPr>
        <w:t>SoCalGas Response:</w:t>
      </w:r>
      <w:r>
        <w:rPr>
          <w:color w:val="FF0000"/>
        </w:rPr>
        <w:t xml:space="preserve"> </w:t>
      </w:r>
      <w:r>
        <w:t>SoCalGas explained that cross-cutting programs have a high percentage of TSB because they primarily consist of Codes and Standards (C&amp;S) activities. Regarding expenditures and Total Resource Cost (TRC), SoCalGas clarified that Workforce, Education, and Training (WET) programs, along with non-resource and market support activities, contribute to higher overall reported costs.</w:t>
      </w:r>
      <w:commentRangeEnd w:id="34"/>
      <w:r>
        <w:rPr>
          <w:rStyle w:val="CommentReference"/>
          <w:sz w:val="24"/>
          <w:szCs w:val="24"/>
        </w:rPr>
        <w:commentReference w:id="34"/>
      </w:r>
    </w:p>
    <w:p w14:paraId="12624713" w14:textId="77777777" w:rsidR="00E67794" w:rsidRDefault="00E67794"/>
    <w:p w14:paraId="5F4D531B" w14:textId="77777777" w:rsidR="00E67794" w:rsidRDefault="00000000">
      <w:pPr>
        <w:pStyle w:val="Heading2"/>
        <w:keepNext w:val="0"/>
        <w:keepLines w:val="0"/>
        <w:spacing w:before="200"/>
      </w:pPr>
      <w:bookmarkStart w:id="35" w:name="_vot27cvirfez" w:colFirst="0" w:colLast="0"/>
      <w:bookmarkEnd w:id="35"/>
      <w:r>
        <w:t>SDG&amp;E Q&amp;A and Input</w:t>
      </w:r>
    </w:p>
    <w:p w14:paraId="347A1D48" w14:textId="77777777" w:rsidR="00E67794" w:rsidRDefault="00000000">
      <w:pPr>
        <w:numPr>
          <w:ilvl w:val="0"/>
          <w:numId w:val="2"/>
        </w:numPr>
        <w:rPr>
          <w:color w:val="000000"/>
        </w:rPr>
      </w:pPr>
      <w:r>
        <w:rPr>
          <w:b/>
          <w:bCs/>
        </w:rPr>
        <w:t xml:space="preserve">James Dodenhoff (Silent Running LLC): </w:t>
      </w:r>
      <w:r>
        <w:t>Slide 71. Don't understand 160% on Forecast TSB. Can you explain bar chart on right?</w:t>
      </w:r>
    </w:p>
    <w:p w14:paraId="4BC23144" w14:textId="77777777" w:rsidR="00E67794" w:rsidRDefault="00000000">
      <w:pPr>
        <w:numPr>
          <w:ilvl w:val="1"/>
          <w:numId w:val="2"/>
        </w:numPr>
        <w:rPr>
          <w:color w:val="000000"/>
        </w:rPr>
      </w:pPr>
      <w:r>
        <w:rPr>
          <w:b/>
          <w:bCs/>
        </w:rPr>
        <w:t xml:space="preserve">SDG&amp;E Response: </w:t>
      </w:r>
      <w:r>
        <w:t>SDG&amp;E clarified that the chart illustrates its TSB goal of approximately $45 million compared to a current forecast of about $73 million, which places the utility well above its target. The 160% figure in the bar graph reflects this forecasted performance relative to the goal. However, SDG&amp;E noted that this projection is likely to decrease as the year progresses, similar to trends seen in the 2024 Annual Report, when final results were around 112% of goal after initially forecasting higher. SDG&amp;E emphasized that while it expects to finish above target, the final TSB values will likely moderate from the current forecast.</w:t>
      </w:r>
    </w:p>
    <w:p w14:paraId="73E8DCEF" w14:textId="77777777" w:rsidR="00E67794" w:rsidRDefault="00000000">
      <w:pPr>
        <w:numPr>
          <w:ilvl w:val="0"/>
          <w:numId w:val="2"/>
        </w:numPr>
        <w:rPr>
          <w:color w:val="000000"/>
        </w:rPr>
      </w:pPr>
      <w:r>
        <w:rPr>
          <w:b/>
          <w:bCs/>
        </w:rPr>
        <w:t xml:space="preserve">Ely Jacobsohn(CPUC): </w:t>
      </w:r>
      <w:r>
        <w:t>For all PAs where lifecycle savings are less than annual, (I've noticed SCE and SDG&amp;E residential kWh thus far), please explain why this is happening. Typically, lifecycle benefits exceed annual benefits.</w:t>
      </w:r>
    </w:p>
    <w:p w14:paraId="4770B7DB" w14:textId="77777777" w:rsidR="00E67794" w:rsidRDefault="00000000">
      <w:pPr>
        <w:numPr>
          <w:ilvl w:val="1"/>
          <w:numId w:val="2"/>
        </w:numPr>
        <w:rPr>
          <w:color w:val="000000"/>
        </w:rPr>
      </w:pPr>
      <w:r>
        <w:rPr>
          <w:b/>
          <w:bCs/>
        </w:rPr>
        <w:t>SCE Response:</w:t>
      </w:r>
      <w:r>
        <w:t xml:space="preserve"> For SCE, the lifecycle savings are less than the annual because a large portion of savings are from Home Energy Reports which only have a 1 year EUL coupled with fuel sub measures which have longer negative lifecycle savings</w:t>
      </w:r>
    </w:p>
    <w:p w14:paraId="4A4A3023" w14:textId="77777777" w:rsidR="00E67794" w:rsidRDefault="00000000">
      <w:pPr>
        <w:numPr>
          <w:ilvl w:val="1"/>
          <w:numId w:val="2"/>
        </w:numPr>
        <w:rPr>
          <w:color w:val="000000"/>
        </w:rPr>
      </w:pPr>
      <w:r>
        <w:rPr>
          <w:b/>
          <w:bCs/>
        </w:rPr>
        <w:t>SDG&amp;E Response:</w:t>
      </w:r>
      <w:r>
        <w:t xml:space="preserve"> For SDG&amp;E, its primarily due to the Fuel Sub measures and having longer EULs</w:t>
      </w:r>
    </w:p>
    <w:p w14:paraId="1B2597EB" w14:textId="77777777" w:rsidR="00E67794" w:rsidRDefault="00000000">
      <w:pPr>
        <w:numPr>
          <w:ilvl w:val="1"/>
          <w:numId w:val="2"/>
        </w:numPr>
        <w:rPr>
          <w:color w:val="000000"/>
        </w:rPr>
      </w:pPr>
      <w:r>
        <w:rPr>
          <w:b/>
          <w:bCs/>
        </w:rPr>
        <w:t xml:space="preserve">PG&amp;E Response: </w:t>
      </w:r>
      <w:r>
        <w:t>For PG&amp;E it is due to Fuel Sub measures with a longer EUL than traditional measures. For example, in public Fuel sub measures reduces first year kWh by 1.5M but lifecycle by 19.5M kWh. For Residential Fuel Sub reduces first year kWh by 1.3M by reduces lifecycle kWh by 23.5M.</w:t>
      </w:r>
    </w:p>
    <w:p w14:paraId="0C41C6C0" w14:textId="77777777" w:rsidR="00E67794" w:rsidRDefault="00000000">
      <w:pPr>
        <w:numPr>
          <w:ilvl w:val="0"/>
          <w:numId w:val="2"/>
        </w:numPr>
      </w:pPr>
      <w:r>
        <w:rPr>
          <w:b/>
          <w:bCs/>
        </w:rPr>
        <w:t>Lore James:</w:t>
      </w:r>
      <w:r>
        <w:t xml:space="preserve"> Same question for SDG&amp;E, are you currently taking any fuel switching measures through POP or Site NMEC?</w:t>
      </w:r>
    </w:p>
    <w:p w14:paraId="527265F3" w14:textId="77777777" w:rsidR="00E67794" w:rsidRDefault="00000000">
      <w:pPr>
        <w:numPr>
          <w:ilvl w:val="1"/>
          <w:numId w:val="2"/>
        </w:numPr>
      </w:pPr>
      <w:r>
        <w:rPr>
          <w:b/>
          <w:bCs/>
        </w:rPr>
        <w:lastRenderedPageBreak/>
        <w:t>SDG&amp;E Response:</w:t>
      </w:r>
      <w:r>
        <w:t xml:space="preserve"> Yes, we look through those, if it’s a little bit more complex, and if it goes through commercial programs that have elements of sites and POP. We would review and see if it makes sense. I am talking  about fuel substitution, not fuel switching. </w:t>
      </w:r>
    </w:p>
    <w:p w14:paraId="09BE0FF2" w14:textId="77777777" w:rsidR="00E67794" w:rsidRDefault="00E67794"/>
    <w:p w14:paraId="5B766345" w14:textId="77777777" w:rsidR="00E67794" w:rsidRDefault="00000000">
      <w:pPr>
        <w:pStyle w:val="Heading2"/>
        <w:keepNext w:val="0"/>
        <w:keepLines w:val="0"/>
        <w:spacing w:before="200"/>
      </w:pPr>
      <w:bookmarkStart w:id="36" w:name="_yxaz49v1nco4" w:colFirst="0" w:colLast="0"/>
      <w:bookmarkEnd w:id="36"/>
      <w:r>
        <w:t>Southern CA Regional Q&amp;A and Input</w:t>
      </w:r>
    </w:p>
    <w:p w14:paraId="67CB3C49" w14:textId="77777777" w:rsidR="00E67794" w:rsidRDefault="00000000">
      <w:pPr>
        <w:numPr>
          <w:ilvl w:val="0"/>
          <w:numId w:val="16"/>
        </w:numPr>
        <w:rPr>
          <w:color w:val="000000"/>
        </w:rPr>
      </w:pPr>
      <w:r>
        <w:rPr>
          <w:b/>
          <w:bCs/>
        </w:rPr>
        <w:t xml:space="preserve">Colin Santulli: </w:t>
      </w:r>
      <w:r>
        <w:t>Is the bill impact tool you mention part of the CEC EBD effort or part of your work as SoCalREN?</w:t>
      </w:r>
    </w:p>
    <w:p w14:paraId="7AD49DC6" w14:textId="77777777" w:rsidR="00E67794" w:rsidRDefault="00000000">
      <w:pPr>
        <w:numPr>
          <w:ilvl w:val="1"/>
          <w:numId w:val="16"/>
        </w:numPr>
        <w:rPr>
          <w:color w:val="000000"/>
        </w:rPr>
      </w:pPr>
      <w:r>
        <w:rPr>
          <w:b/>
          <w:bCs/>
        </w:rPr>
        <w:t xml:space="preserve">SoCalREN Response: </w:t>
      </w:r>
      <w:r>
        <w:t>it’s SoCalREN. In [Equitable Building Decarbonization] EBD, requires bill impact tool, we asked ourselves why doesn't SoCalREN do that for CPUC funded programs?</w:t>
      </w:r>
    </w:p>
    <w:p w14:paraId="49B5AC4A" w14:textId="77777777" w:rsidR="00E67794" w:rsidRDefault="00000000">
      <w:pPr>
        <w:numPr>
          <w:ilvl w:val="0"/>
          <w:numId w:val="16"/>
        </w:numPr>
        <w:rPr>
          <w:shd w:val="clear" w:color="auto" w:fill="FFF2CC"/>
        </w:rPr>
      </w:pPr>
      <w:r>
        <w:rPr>
          <w:b/>
          <w:bCs/>
          <w:shd w:val="clear" w:color="auto" w:fill="FFF2CC"/>
        </w:rPr>
        <w:t xml:space="preserve">Hoadley Leanne (CPUC): </w:t>
      </w:r>
      <w:r>
        <w:rPr>
          <w:shd w:val="clear" w:color="auto" w:fill="FFF2CC"/>
        </w:rPr>
        <w:t xml:space="preserve">Customers can already call their IOU to do a rate analysis. How will this tool be different?  </w:t>
      </w:r>
    </w:p>
    <w:p w14:paraId="599F7A5C" w14:textId="77777777" w:rsidR="00E67794" w:rsidRDefault="00000000">
      <w:pPr>
        <w:numPr>
          <w:ilvl w:val="1"/>
          <w:numId w:val="16"/>
        </w:numPr>
        <w:rPr>
          <w:color w:val="FF0000"/>
          <w:shd w:val="clear" w:color="auto" w:fill="FFF2CC"/>
        </w:rPr>
      </w:pPr>
      <w:commentRangeStart w:id="37"/>
      <w:r>
        <w:rPr>
          <w:b/>
          <w:bCs/>
          <w:color w:val="FF0000"/>
          <w:shd w:val="clear" w:color="auto" w:fill="FFF2CC"/>
        </w:rPr>
        <w:t>SoCalREN response</w:t>
      </w:r>
      <w:commentRangeEnd w:id="37"/>
      <w:r>
        <w:rPr>
          <w:rStyle w:val="CommentReference"/>
          <w:color w:val="FF0000"/>
          <w:sz w:val="24"/>
          <w:szCs w:val="24"/>
          <w:shd w:val="clear" w:color="auto" w:fill="FFF2CC"/>
        </w:rPr>
        <w:commentReference w:id="37"/>
      </w:r>
      <w:r>
        <w:rPr>
          <w:color w:val="FF0000"/>
          <w:shd w:val="clear" w:color="auto" w:fill="FFF2CC"/>
        </w:rPr>
        <w:t>:</w:t>
      </w:r>
    </w:p>
    <w:p w14:paraId="5625EF57" w14:textId="77777777" w:rsidR="00E67794" w:rsidRDefault="00000000">
      <w:pPr>
        <w:numPr>
          <w:ilvl w:val="0"/>
          <w:numId w:val="16"/>
        </w:numPr>
        <w:rPr>
          <w:shd w:val="clear" w:color="auto" w:fill="FFF2CC"/>
        </w:rPr>
      </w:pPr>
      <w:r>
        <w:rPr>
          <w:b/>
          <w:bCs/>
          <w:shd w:val="clear" w:color="auto" w:fill="FFF2CC"/>
        </w:rPr>
        <w:t xml:space="preserve">Hoadley Leanne (CPUC): </w:t>
      </w:r>
      <w:r>
        <w:rPr>
          <w:shd w:val="clear" w:color="auto" w:fill="FFF2CC"/>
        </w:rPr>
        <w:t>The CPUC will be launching a public-facing tool for residential customers to get a monthly bill average estimate if they were to electric different appliances. It's going to be estimated averages, not based on AMI data.</w:t>
      </w:r>
    </w:p>
    <w:p w14:paraId="085BC73B" w14:textId="77777777" w:rsidR="00E67794" w:rsidRDefault="00000000">
      <w:pPr>
        <w:numPr>
          <w:ilvl w:val="0"/>
          <w:numId w:val="16"/>
        </w:numPr>
        <w:rPr>
          <w:shd w:val="clear" w:color="auto" w:fill="FFF2CC"/>
        </w:rPr>
      </w:pPr>
      <w:r>
        <w:rPr>
          <w:b/>
          <w:bCs/>
          <w:shd w:val="clear" w:color="auto" w:fill="FFF2CC"/>
        </w:rPr>
        <w:t xml:space="preserve">Hoadley Leanne (CPUC): </w:t>
      </w:r>
      <w:r>
        <w:rPr>
          <w:shd w:val="clear" w:color="auto" w:fill="FFF2CC"/>
        </w:rPr>
        <w:t xml:space="preserve">The CEC tool wasn't designed to be public facing, but more for program development.  </w:t>
      </w:r>
    </w:p>
    <w:p w14:paraId="43F6E81E" w14:textId="77777777" w:rsidR="00E67794" w:rsidRDefault="00000000">
      <w:pPr>
        <w:pStyle w:val="Heading2"/>
        <w:keepNext w:val="0"/>
        <w:keepLines w:val="0"/>
        <w:spacing w:before="200"/>
      </w:pPr>
      <w:bookmarkStart w:id="38" w:name="_o6xhcoqalnm9" w:colFirst="0" w:colLast="0"/>
      <w:bookmarkEnd w:id="38"/>
      <w:r>
        <w:t>BayREN Q&amp;A and Input</w:t>
      </w:r>
    </w:p>
    <w:p w14:paraId="72339DE3" w14:textId="77777777" w:rsidR="00E67794" w:rsidRDefault="00000000">
      <w:pPr>
        <w:numPr>
          <w:ilvl w:val="0"/>
          <w:numId w:val="10"/>
        </w:numPr>
      </w:pPr>
      <w:r>
        <w:rPr>
          <w:b/>
          <w:bCs/>
        </w:rPr>
        <w:t>Ely Jacobsohn (CPUC):</w:t>
      </w:r>
      <w:r>
        <w:t xml:space="preserve"> Roughly how many MF projects do the Q1 and Q2 equity TSB represent?</w:t>
      </w:r>
    </w:p>
    <w:p w14:paraId="413D093F" w14:textId="77777777" w:rsidR="00E67794" w:rsidRDefault="00000000">
      <w:pPr>
        <w:numPr>
          <w:ilvl w:val="1"/>
          <w:numId w:val="10"/>
        </w:numPr>
      </w:pPr>
      <w:r>
        <w:rPr>
          <w:b/>
          <w:bCs/>
        </w:rPr>
        <w:t xml:space="preserve">BayREN Response: </w:t>
      </w:r>
      <w:r>
        <w:t>For 2025 Q1 &amp; Q2, we had 21 MF projects.</w:t>
      </w:r>
    </w:p>
    <w:p w14:paraId="5D98926C" w14:textId="77777777" w:rsidR="00E67794" w:rsidRDefault="00000000">
      <w:pPr>
        <w:pStyle w:val="Heading2"/>
        <w:keepNext w:val="0"/>
        <w:keepLines w:val="0"/>
        <w:spacing w:before="200"/>
      </w:pPr>
      <w:bookmarkStart w:id="39" w:name="_oi7lh3jtjay" w:colFirst="0" w:colLast="0"/>
      <w:bookmarkEnd w:id="39"/>
      <w:r>
        <w:t>NREN Q&amp;A and Input</w:t>
      </w:r>
    </w:p>
    <w:p w14:paraId="41361F96" w14:textId="77777777" w:rsidR="00E67794" w:rsidRDefault="00000000">
      <w:pPr>
        <w:numPr>
          <w:ilvl w:val="0"/>
          <w:numId w:val="23"/>
        </w:numPr>
      </w:pPr>
      <w:r>
        <w:rPr>
          <w:b/>
          <w:bCs/>
        </w:rPr>
        <w:t xml:space="preserve">Jim Dodenhoff (Silent Running LLC): </w:t>
      </w:r>
      <w:r>
        <w:t>Could you elaborate upon the collaboration with SMUD on the residential program?</w:t>
      </w:r>
    </w:p>
    <w:p w14:paraId="54669BFA" w14:textId="77777777" w:rsidR="00E67794" w:rsidRDefault="00000000">
      <w:pPr>
        <w:numPr>
          <w:ilvl w:val="1"/>
          <w:numId w:val="23"/>
        </w:numPr>
      </w:pPr>
      <w:r>
        <w:t>We contracted with SMUD to do a residential needs assessment across our residential equity and resource acquisition program to review what residents actually want and need</w:t>
      </w:r>
    </w:p>
    <w:p w14:paraId="7F7AA187" w14:textId="77777777" w:rsidR="00E67794" w:rsidRDefault="00000000">
      <w:pPr>
        <w:numPr>
          <w:ilvl w:val="0"/>
          <w:numId w:val="23"/>
        </w:numPr>
      </w:pPr>
      <w:r>
        <w:t>Coby, Energy division, slido: For NREN - Can you clarify why there is 0 TSB listed for your equity programs?</w:t>
      </w:r>
    </w:p>
    <w:p w14:paraId="1E93C4D6" w14:textId="77777777" w:rsidR="00E67794" w:rsidRDefault="00000000">
      <w:pPr>
        <w:numPr>
          <w:ilvl w:val="1"/>
          <w:numId w:val="23"/>
        </w:numPr>
      </w:pPr>
      <w:r>
        <w:t>Patricia: Our residential equity program is a resource program. Some TSB goal there, but have not launched that service yet, that’s why it’s still 0. It will be coming soon. Other equity programs do not have energy savings associated with them or TSB</w:t>
      </w:r>
    </w:p>
    <w:p w14:paraId="25F304E9" w14:textId="77777777" w:rsidR="00E67794" w:rsidRDefault="00000000">
      <w:pPr>
        <w:pStyle w:val="Heading2"/>
        <w:keepNext w:val="0"/>
        <w:keepLines w:val="0"/>
        <w:spacing w:before="200"/>
      </w:pPr>
      <w:bookmarkStart w:id="40" w:name="_9pqovk4hvw3g" w:colFirst="0" w:colLast="0"/>
      <w:bookmarkEnd w:id="40"/>
      <w:r>
        <w:lastRenderedPageBreak/>
        <w:t>PG&amp;E Q&amp;A and Input</w:t>
      </w:r>
    </w:p>
    <w:p w14:paraId="771016D6" w14:textId="77777777" w:rsidR="00E67794" w:rsidRDefault="00000000">
      <w:pPr>
        <w:numPr>
          <w:ilvl w:val="0"/>
          <w:numId w:val="7"/>
        </w:numPr>
      </w:pPr>
      <w:r>
        <w:rPr>
          <w:b/>
          <w:bCs/>
        </w:rPr>
        <w:t>Ted Howard (SBUA):</w:t>
      </w:r>
      <w:r>
        <w:t xml:space="preserve"> PG&amp;E noted various challenges for electrification projects. Where does the (Zonal Electrification Equity Pilot) ZEEP program fit in, and is it more or less successful than other electrification programs?</w:t>
      </w:r>
    </w:p>
    <w:p w14:paraId="3F4918C9" w14:textId="77777777" w:rsidR="00E67794" w:rsidRDefault="00000000">
      <w:pPr>
        <w:numPr>
          <w:ilvl w:val="1"/>
          <w:numId w:val="7"/>
        </w:numPr>
      </w:pPr>
      <w:r>
        <w:rPr>
          <w:b/>
          <w:bCs/>
        </w:rPr>
        <w:t>PG&amp;E Response:</w:t>
      </w:r>
      <w:r>
        <w:t xml:space="preserve"> Zonal programs are more targeted, more specific, and come with more challenges. Program issues are amplified, and there is less room to operate. If approaching a zone, and there is one customer that’s not bought into the program, we then have to move onto another zone. Zonal is much more difficult than other pilot programs.</w:t>
      </w:r>
    </w:p>
    <w:p w14:paraId="7248B966" w14:textId="77777777" w:rsidR="00E67794" w:rsidRDefault="00000000">
      <w:pPr>
        <w:numPr>
          <w:ilvl w:val="0"/>
          <w:numId w:val="7"/>
        </w:numPr>
      </w:pPr>
      <w:r>
        <w:rPr>
          <w:b/>
          <w:bCs/>
        </w:rPr>
        <w:t>Ted Howard (SBUA):</w:t>
      </w:r>
      <w:r>
        <w:t xml:space="preserve"> PG&amp;E's Cross cutting TSB contribution to total TSB is less than 2%, whereas for SDG&amp;E, SCG, SCE it is 87%, 70%, and 90% Can you explain this difference?</w:t>
      </w:r>
    </w:p>
    <w:p w14:paraId="6AFD6AD9" w14:textId="77777777" w:rsidR="00E67794" w:rsidRDefault="00000000">
      <w:pPr>
        <w:numPr>
          <w:ilvl w:val="1"/>
          <w:numId w:val="7"/>
        </w:numPr>
      </w:pPr>
      <w:r>
        <w:rPr>
          <w:b/>
          <w:bCs/>
        </w:rPr>
        <w:t xml:space="preserve">PG&amp;E Response: </w:t>
      </w:r>
      <w:r>
        <w:t>As I mentioned, PG&amp;E's slide 4 doesn't include C&amp;S except for the CO2 column where the template specified W/C&amp;S. C&amp;S TSB is on the first of the portfolio performance slides, but isn't relevant to or count towards PG&amp;E's TSB goals.</w:t>
      </w:r>
    </w:p>
    <w:p w14:paraId="16F8FD26" w14:textId="77777777" w:rsidR="00E67794" w:rsidRDefault="00000000">
      <w:pPr>
        <w:numPr>
          <w:ilvl w:val="1"/>
          <w:numId w:val="7"/>
        </w:numPr>
      </w:pPr>
      <w:r>
        <w:rPr>
          <w:b/>
          <w:bCs/>
        </w:rPr>
        <w:t>PG&amp;E Response:</w:t>
      </w:r>
      <w:r>
        <w:t xml:space="preserve"> In other words - PG&amp;E excluded C&amp;S TSB (which falls under the Cross-Cutting sector in CEDARS) while the other IOUs included C&amp;S TSB in the "2025 Q1 and Q2 Claims by Sector &amp; Prevalent Measures" slides</w:t>
      </w:r>
    </w:p>
    <w:p w14:paraId="69144716" w14:textId="77777777" w:rsidR="00E67794" w:rsidRDefault="00000000">
      <w:pPr>
        <w:numPr>
          <w:ilvl w:val="0"/>
          <w:numId w:val="7"/>
        </w:numPr>
      </w:pPr>
      <w:r>
        <w:rPr>
          <w:b/>
          <w:bCs/>
        </w:rPr>
        <w:t xml:space="preserve">Ely Jacobsohn (CPUC): </w:t>
      </w:r>
      <w:r>
        <w:t>When is PGE anticipating seeing TSB from equity? How much does customer "distrust" contribute to slow-going?</w:t>
      </w:r>
    </w:p>
    <w:p w14:paraId="49F7FE3E" w14:textId="77777777" w:rsidR="00E67794" w:rsidRDefault="00000000">
      <w:pPr>
        <w:numPr>
          <w:ilvl w:val="1"/>
          <w:numId w:val="7"/>
        </w:numPr>
      </w:pPr>
      <w:r>
        <w:rPr>
          <w:b/>
          <w:bCs/>
        </w:rPr>
        <w:t xml:space="preserve">PG&amp;E Response: </w:t>
      </w:r>
      <w:r>
        <w:t>There is significant distrust toward electrification programs, although there is not much distrust regarding equity when it comes to supply savings. People want to know whether what’s being proposed might negatively affect them. Another factor contributing to this distrust is the presence of ICE agents posing as contractors. To address these concerns, it’s important to focus on collaboration with trusted community-based organizations and to rely on trusted local resources to build credibility and trust.</w:t>
      </w:r>
    </w:p>
    <w:p w14:paraId="49E175E7" w14:textId="77777777" w:rsidR="00E67794" w:rsidRDefault="00000000">
      <w:pPr>
        <w:numPr>
          <w:ilvl w:val="0"/>
          <w:numId w:val="7"/>
        </w:numPr>
      </w:pPr>
      <w:r>
        <w:rPr>
          <w:b/>
          <w:bCs/>
        </w:rPr>
        <w:t>Lore James:</w:t>
      </w:r>
      <w:r>
        <w:t xml:space="preserve"> Question for PG&amp;E - they noted that Tankless Water Heater was the top TSB measure in commercial. Was that primarily through the Government K-12 program?</w:t>
      </w:r>
    </w:p>
    <w:p w14:paraId="6974EF8A" w14:textId="77777777" w:rsidR="00E67794" w:rsidRDefault="00000000">
      <w:pPr>
        <w:numPr>
          <w:ilvl w:val="1"/>
          <w:numId w:val="7"/>
        </w:numPr>
      </w:pPr>
      <w:r>
        <w:rPr>
          <w:b/>
          <w:bCs/>
        </w:rPr>
        <w:t>PG&amp;E Response:</w:t>
      </w:r>
      <w:r>
        <w:t xml:space="preserve"> It is from the SW MCWH program SCG runs.</w:t>
      </w:r>
    </w:p>
    <w:p w14:paraId="46166C0E" w14:textId="77777777" w:rsidR="00E67794" w:rsidRDefault="00000000">
      <w:pPr>
        <w:pStyle w:val="Heading2"/>
      </w:pPr>
      <w:bookmarkStart w:id="41" w:name="_n32yai1uwcos" w:colFirst="0" w:colLast="0"/>
      <w:bookmarkEnd w:id="41"/>
      <w:r>
        <w:lastRenderedPageBreak/>
        <w:t>MCE Q&amp;A and Input</w:t>
      </w:r>
    </w:p>
    <w:p w14:paraId="653C36A4" w14:textId="77777777" w:rsidR="00E67794" w:rsidRDefault="00000000">
      <w:pPr>
        <w:numPr>
          <w:ilvl w:val="0"/>
          <w:numId w:val="20"/>
        </w:numPr>
      </w:pPr>
      <w:r>
        <w:rPr>
          <w:b/>
          <w:bCs/>
        </w:rPr>
        <w:t xml:space="preserve">Ely Jacobsohn (CPUC): </w:t>
      </w:r>
      <w:r>
        <w:t>How is MCE funding its kicker incentives? If external to ratepayer funding, how does that funding contribute to improved ratepayer affordability? Can other CCAs do this too?</w:t>
      </w:r>
    </w:p>
    <w:p w14:paraId="52091E73" w14:textId="77777777" w:rsidR="00E67794" w:rsidRDefault="00000000">
      <w:pPr>
        <w:numPr>
          <w:ilvl w:val="1"/>
          <w:numId w:val="20"/>
        </w:numPr>
      </w:pPr>
      <w:r>
        <w:rPr>
          <w:b/>
          <w:bCs/>
        </w:rPr>
        <w:t>MCE Response:</w:t>
      </w:r>
      <w:r>
        <w:t xml:space="preserve"> MCE’s kicker incentives are funded entirely outside of ratepayer dollars through our Local Programs Fund. MCE offers two electricity products—Light Green and Deep Green. Deep Green customers pay a one-cent per kWh premium, and 50% of that premium is directed to the Local Programs Fund to support community programs, while the other 50% supports procurement of renewable energy. In addition, MCE’s Board has the authority to allocate additional revenues to the Local Programs Fund as needed, and has consistently done so over time.</w:t>
      </w:r>
    </w:p>
    <w:p w14:paraId="42E1F8B2" w14:textId="77777777" w:rsidR="00E67794" w:rsidRDefault="00000000">
      <w:pPr>
        <w:numPr>
          <w:ilvl w:val="1"/>
          <w:numId w:val="20"/>
        </w:numPr>
        <w:spacing w:after="240"/>
      </w:pPr>
      <w:r>
        <w:t>This structure ensures that kicker incentives do not increase costs for ratepayers and can be replicated by other CCAs that have similar premium product revenues or board-directed local program funding mechanisms.</w:t>
      </w:r>
    </w:p>
    <w:p w14:paraId="720E931C" w14:textId="77777777" w:rsidR="00E67794" w:rsidRDefault="00E67794"/>
    <w:p w14:paraId="342EA032" w14:textId="77777777" w:rsidR="00E67794" w:rsidRDefault="00000000">
      <w:pPr>
        <w:pStyle w:val="Heading2"/>
        <w:keepNext w:val="0"/>
        <w:keepLines w:val="0"/>
        <w:spacing w:before="200"/>
      </w:pPr>
      <w:bookmarkStart w:id="42" w:name="_9kaikwkb3xxr" w:colFirst="0" w:colLast="0"/>
      <w:bookmarkEnd w:id="42"/>
      <w:r>
        <w:t>3C-REN Q&amp;A and Input</w:t>
      </w:r>
    </w:p>
    <w:p w14:paraId="7BC45DC6" w14:textId="77777777" w:rsidR="00E67794" w:rsidRDefault="00000000">
      <w:pPr>
        <w:numPr>
          <w:ilvl w:val="0"/>
          <w:numId w:val="23"/>
        </w:numPr>
      </w:pPr>
      <w:r>
        <w:rPr>
          <w:b/>
          <w:bCs/>
        </w:rPr>
        <w:t xml:space="preserve">Alison LaBonte (RCF Connects’ East Contra Costa Healthy Homes Collaborative): </w:t>
      </w:r>
      <w:r>
        <w:t>Do any of the PAs have program/CBOs to support customers navigating getting access/participating in income qualified programs?</w:t>
      </w:r>
    </w:p>
    <w:p w14:paraId="374E7D4D" w14:textId="77777777" w:rsidR="00E67794" w:rsidRDefault="00000000">
      <w:pPr>
        <w:numPr>
          <w:ilvl w:val="1"/>
          <w:numId w:val="23"/>
        </w:numPr>
      </w:pPr>
      <w:r>
        <w:rPr>
          <w:b/>
          <w:bCs/>
        </w:rPr>
        <w:t>3C-REN Response:</w:t>
      </w:r>
      <w:r>
        <w:t xml:space="preserve"> Thanks for the question Alison. Yes, 3C-REN has its own concierge service to support customers, including low income and commercial customers. We also work with CPA, SBCE, 3CE (CCAs) and a local non-profit, to coordinate our respective concierge services that help guide customers through programs.</w:t>
      </w:r>
    </w:p>
    <w:p w14:paraId="5929BCED" w14:textId="77777777" w:rsidR="00E67794" w:rsidRDefault="00000000">
      <w:pPr>
        <w:numPr>
          <w:ilvl w:val="1"/>
          <w:numId w:val="23"/>
        </w:numPr>
      </w:pPr>
      <w:r>
        <w:rPr>
          <w:b/>
          <w:bCs/>
        </w:rPr>
        <w:t xml:space="preserve">Alison LaBonte (RCF Connects’ East Contra Costa Healthy Homes Collaborative): </w:t>
      </w:r>
      <w:r>
        <w:t xml:space="preserve">Thank you for the information on Concierge CCAs have. It sounded like MCE’s concierge service was just to local government audience, not the resident. </w:t>
      </w:r>
    </w:p>
    <w:p w14:paraId="3141B4A7" w14:textId="77777777" w:rsidR="00E67794" w:rsidRDefault="00000000">
      <w:pPr>
        <w:numPr>
          <w:ilvl w:val="2"/>
          <w:numId w:val="23"/>
        </w:numPr>
      </w:pPr>
      <w:r>
        <w:rPr>
          <w:b/>
          <w:bCs/>
        </w:rPr>
        <w:t xml:space="preserve">MCE Response: </w:t>
      </w:r>
      <w:r>
        <w:t xml:space="preserve">I believe that is actually BayREN's program. MCE does not have a "concierge" program. MCE provides neighborhood canvassing and online outreach for residential customers to access our single family DI program. On the mf side, we engage with property managers through property assessments and develop potential scopes of work based on the needs and means of the property owners. </w:t>
      </w:r>
    </w:p>
    <w:p w14:paraId="40BC3B5E" w14:textId="77777777" w:rsidR="00E67794" w:rsidRDefault="00000000">
      <w:pPr>
        <w:numPr>
          <w:ilvl w:val="2"/>
          <w:numId w:val="23"/>
        </w:numPr>
      </w:pPr>
      <w:r>
        <w:rPr>
          <w:b/>
          <w:bCs/>
        </w:rPr>
        <w:lastRenderedPageBreak/>
        <w:t xml:space="preserve">BayREN Response: </w:t>
      </w:r>
      <w:r>
        <w:t xml:space="preserve">The Concierge Service is part of BayREN's Public program (IES), so counties, cities and special districts. That said, BayREN does have programs that are supporting customers navigating getting access/participating in income qualified programs, especially in our residential programs. </w:t>
      </w:r>
      <w:r>
        <w:rPr>
          <w:b/>
          <w:bCs/>
        </w:rPr>
        <w:t>Alison LaBonte (RCF Connects’ East Contra Costa Healthy Homes Collaborative):</w:t>
      </w:r>
      <w:r>
        <w:t xml:space="preserve"> …can we touch base offline perhaps? Alabonte@richmondcf.org .</w:t>
      </w:r>
    </w:p>
    <w:p w14:paraId="103E50AE" w14:textId="77777777" w:rsidR="00E67794" w:rsidRDefault="00000000">
      <w:pPr>
        <w:numPr>
          <w:ilvl w:val="0"/>
          <w:numId w:val="23"/>
        </w:numPr>
      </w:pPr>
      <w:r>
        <w:rPr>
          <w:b/>
          <w:bCs/>
        </w:rPr>
        <w:t>Coby Rudolph (CPUC):</w:t>
      </w:r>
      <w:r>
        <w:t xml:space="preserve"> For 3C REN - for your single-family program, are you planning to re-assess incentive levels and/or budget, to both maximize outcomes and prevent future incentive lapses?</w:t>
      </w:r>
    </w:p>
    <w:p w14:paraId="41A9DA49" w14:textId="77777777" w:rsidR="00E67794" w:rsidRDefault="00000000">
      <w:pPr>
        <w:numPr>
          <w:ilvl w:val="1"/>
          <w:numId w:val="23"/>
        </w:numPr>
      </w:pPr>
      <w:r>
        <w:rPr>
          <w:b/>
          <w:bCs/>
        </w:rPr>
        <w:t>3C-REN Response:</w:t>
      </w:r>
      <w:r>
        <w:t xml:space="preserve"> The large number of HTR projects, which receive incentive multipliers, spent down the budget faster than anticipated this year. For our 2026/2027 projects, as included in our MCAL forecast, we are reducing both market rate and HTR incentive multipliers to help avoid future incentive lapses. Reducing multipliers should extend the budget throughout the year, and more than double the number of projects completed by the program. Our single-family program is a relatively new program–our first full year of this program was 2023. Now entering 2026, we have a more robust group of contractors, greater awareness of the program, and a better understanding of the market to feel confident that lowering multiplier levels will extend the budget for continuous availability. </w:t>
      </w:r>
    </w:p>
    <w:p w14:paraId="2C27E967" w14:textId="77777777" w:rsidR="00E67794" w:rsidRDefault="00000000">
      <w:pPr>
        <w:pStyle w:val="Heading1"/>
        <w:spacing w:before="360" w:after="200" w:line="240" w:lineRule="auto"/>
        <w:rPr>
          <w:color w:val="134F5C"/>
        </w:rPr>
      </w:pPr>
      <w:bookmarkStart w:id="43" w:name="_r8ll0eybviac" w:colFirst="0" w:colLast="0"/>
      <w:bookmarkEnd w:id="43"/>
      <w:r>
        <w:rPr>
          <w:color w:val="134F5C"/>
        </w:rPr>
        <w:t>Appendix C: Key Themes</w:t>
      </w:r>
    </w:p>
    <w:p w14:paraId="1231E7D1" w14:textId="77777777" w:rsidR="00E67794" w:rsidRDefault="00000000">
      <w:pPr>
        <w:pStyle w:val="Heading2"/>
        <w:keepNext w:val="0"/>
        <w:keepLines w:val="0"/>
      </w:pPr>
      <w:bookmarkStart w:id="44" w:name="_yufni7pbnsz" w:colFirst="0" w:colLast="0"/>
      <w:bookmarkEnd w:id="44"/>
      <w:r>
        <w:t>Key Themes</w:t>
      </w:r>
    </w:p>
    <w:p w14:paraId="1F96F6C6" w14:textId="77777777" w:rsidR="00E67794" w:rsidRDefault="00000000">
      <w:pPr>
        <w:numPr>
          <w:ilvl w:val="0"/>
          <w:numId w:val="13"/>
        </w:numPr>
        <w:spacing w:line="240" w:lineRule="auto"/>
      </w:pPr>
      <w:r>
        <w:t>New PAs ramping up</w:t>
      </w:r>
    </w:p>
    <w:p w14:paraId="7D85C618" w14:textId="77777777" w:rsidR="00E67794" w:rsidRDefault="00000000">
      <w:pPr>
        <w:numPr>
          <w:ilvl w:val="1"/>
          <w:numId w:val="13"/>
        </w:numPr>
        <w:spacing w:line="240" w:lineRule="auto"/>
      </w:pPr>
      <w:r>
        <w:t>Releasing solicitations; contract negotiations underway; program marketing ramping up</w:t>
      </w:r>
    </w:p>
    <w:p w14:paraId="100D8174" w14:textId="77777777" w:rsidR="00E67794" w:rsidRDefault="00000000">
      <w:pPr>
        <w:numPr>
          <w:ilvl w:val="0"/>
          <w:numId w:val="13"/>
        </w:numPr>
        <w:spacing w:line="240" w:lineRule="auto"/>
      </w:pPr>
      <w:r>
        <w:t>Workforce Development</w:t>
      </w:r>
    </w:p>
    <w:p w14:paraId="712C06D8" w14:textId="77777777" w:rsidR="00E67794" w:rsidRDefault="00000000">
      <w:pPr>
        <w:numPr>
          <w:ilvl w:val="1"/>
          <w:numId w:val="13"/>
        </w:numPr>
        <w:spacing w:line="240" w:lineRule="auto"/>
      </w:pPr>
      <w:r>
        <w:t>Vocational training, certifications, educational pathways, contractor finder tool</w:t>
      </w:r>
    </w:p>
    <w:p w14:paraId="410F8627" w14:textId="77777777" w:rsidR="00E67794" w:rsidRDefault="00000000">
      <w:pPr>
        <w:numPr>
          <w:ilvl w:val="0"/>
          <w:numId w:val="13"/>
        </w:numPr>
        <w:spacing w:line="240" w:lineRule="auto"/>
      </w:pPr>
      <w:r>
        <w:t>Diversity of programs, different for different PAs</w:t>
      </w:r>
    </w:p>
    <w:p w14:paraId="0B9A5F69" w14:textId="77777777" w:rsidR="00E67794" w:rsidRDefault="00000000">
      <w:pPr>
        <w:numPr>
          <w:ilvl w:val="1"/>
          <w:numId w:val="13"/>
        </w:numPr>
        <w:spacing w:line="240" w:lineRule="auto"/>
      </w:pPr>
      <w:r>
        <w:t>Top TSB measures are different for each PA</w:t>
      </w:r>
    </w:p>
    <w:p w14:paraId="3C4AFF6F" w14:textId="77777777" w:rsidR="00E67794" w:rsidRDefault="00000000">
      <w:pPr>
        <w:numPr>
          <w:ilvl w:val="0"/>
          <w:numId w:val="13"/>
        </w:numPr>
        <w:spacing w:line="240" w:lineRule="auto"/>
      </w:pPr>
      <w:r>
        <w:t>CBO Engagement</w:t>
      </w:r>
    </w:p>
    <w:p w14:paraId="24361952" w14:textId="77777777" w:rsidR="00E67794" w:rsidRDefault="00000000">
      <w:pPr>
        <w:numPr>
          <w:ilvl w:val="1"/>
          <w:numId w:val="13"/>
        </w:numPr>
        <w:spacing w:line="240" w:lineRule="auto"/>
      </w:pPr>
      <w:r>
        <w:t>With local governments and other organizations</w:t>
      </w:r>
    </w:p>
    <w:p w14:paraId="4A762A04" w14:textId="77777777" w:rsidR="00E67794" w:rsidRDefault="00000000">
      <w:pPr>
        <w:numPr>
          <w:ilvl w:val="1"/>
          <w:numId w:val="13"/>
        </w:numPr>
        <w:spacing w:line="240" w:lineRule="auto"/>
      </w:pPr>
      <w:r>
        <w:t>Successful partnerships with local community-based contractors</w:t>
      </w:r>
    </w:p>
    <w:p w14:paraId="3236C361" w14:textId="77777777" w:rsidR="00E67794" w:rsidRDefault="00000000">
      <w:pPr>
        <w:numPr>
          <w:ilvl w:val="0"/>
          <w:numId w:val="13"/>
        </w:numPr>
        <w:spacing w:line="240" w:lineRule="auto"/>
      </w:pPr>
      <w:r>
        <w:t>Affordability</w:t>
      </w:r>
    </w:p>
    <w:p w14:paraId="79F2379A" w14:textId="77777777" w:rsidR="00E67794" w:rsidRDefault="00000000">
      <w:pPr>
        <w:numPr>
          <w:ilvl w:val="1"/>
          <w:numId w:val="13"/>
        </w:numPr>
        <w:spacing w:line="240" w:lineRule="auto"/>
      </w:pPr>
      <w:r>
        <w:t>Many elements: bills, rates, project costs</w:t>
      </w:r>
    </w:p>
    <w:p w14:paraId="5C4C0734" w14:textId="77777777" w:rsidR="00E67794" w:rsidRDefault="00000000">
      <w:pPr>
        <w:numPr>
          <w:ilvl w:val="1"/>
          <w:numId w:val="13"/>
        </w:numPr>
        <w:spacing w:line="240" w:lineRule="auto"/>
      </w:pPr>
      <w:r>
        <w:t xml:space="preserve">Solutions: adding kicker incentive layered on EE funds; bill impact tool that shows impact after retrofits completed </w:t>
      </w:r>
    </w:p>
    <w:p w14:paraId="6BBD4442" w14:textId="77777777" w:rsidR="00E67794" w:rsidRDefault="00000000">
      <w:pPr>
        <w:numPr>
          <w:ilvl w:val="1"/>
          <w:numId w:val="13"/>
        </w:numPr>
        <w:spacing w:line="240" w:lineRule="auto"/>
        <w:rPr>
          <w:rFonts w:ascii="Arial" w:eastAsia="Arial" w:hAnsi="Arial" w:cs="Arial"/>
        </w:rPr>
      </w:pPr>
      <w:r>
        <w:rPr>
          <w:rFonts w:ascii="Arial" w:eastAsia="Arial" w:hAnsi="Arial" w:cs="Arial"/>
        </w:rPr>
        <w:lastRenderedPageBreak/>
        <w:t>Different perspectives on whether electrification and decarb raises or lowers utility bills</w:t>
      </w:r>
    </w:p>
    <w:p w14:paraId="56F0872B" w14:textId="77777777" w:rsidR="00E67794" w:rsidRDefault="00000000">
      <w:pPr>
        <w:numPr>
          <w:ilvl w:val="0"/>
          <w:numId w:val="13"/>
        </w:numPr>
        <w:spacing w:line="240" w:lineRule="auto"/>
      </w:pPr>
      <w:r>
        <w:t xml:space="preserve">Challenges </w:t>
      </w:r>
    </w:p>
    <w:p w14:paraId="647E6BBD" w14:textId="77777777" w:rsidR="00E67794" w:rsidRDefault="00000000">
      <w:pPr>
        <w:numPr>
          <w:ilvl w:val="1"/>
          <w:numId w:val="13"/>
        </w:numPr>
        <w:spacing w:line="240" w:lineRule="auto"/>
      </w:pPr>
      <w:r>
        <w:t>TSB/TRC tradeoff - sometimes achieved at cross purposes</w:t>
      </w:r>
    </w:p>
    <w:p w14:paraId="60F819CF" w14:textId="77777777" w:rsidR="00E67794" w:rsidRDefault="00000000">
      <w:pPr>
        <w:numPr>
          <w:ilvl w:val="1"/>
          <w:numId w:val="13"/>
        </w:numPr>
        <w:spacing w:line="240" w:lineRule="auto"/>
      </w:pPr>
      <w:r>
        <w:t>Non-resource programs have heavy costs without cost-effectiveness “benefits”</w:t>
      </w:r>
    </w:p>
    <w:p w14:paraId="29030679" w14:textId="77777777" w:rsidR="00E67794" w:rsidRDefault="00000000">
      <w:pPr>
        <w:numPr>
          <w:ilvl w:val="1"/>
          <w:numId w:val="13"/>
        </w:numPr>
        <w:spacing w:line="240" w:lineRule="auto"/>
      </w:pPr>
      <w:r>
        <w:t>Federal deregulatory actions drove pivots for things like C&amp;S</w:t>
      </w:r>
    </w:p>
    <w:p w14:paraId="741C157D" w14:textId="77777777" w:rsidR="00E67794" w:rsidRDefault="00000000">
      <w:pPr>
        <w:numPr>
          <w:ilvl w:val="0"/>
          <w:numId w:val="13"/>
        </w:numPr>
        <w:spacing w:line="240" w:lineRule="auto"/>
      </w:pPr>
      <w:r>
        <w:t xml:space="preserve">Other </w:t>
      </w:r>
    </w:p>
    <w:p w14:paraId="74714BD3" w14:textId="77777777" w:rsidR="00E67794" w:rsidRDefault="00000000">
      <w:pPr>
        <w:numPr>
          <w:ilvl w:val="1"/>
          <w:numId w:val="13"/>
        </w:numPr>
        <w:spacing w:line="240" w:lineRule="auto"/>
      </w:pPr>
      <w:r>
        <w:t>Bill impact tool: parallel efforts; worth further discussion</w:t>
      </w:r>
    </w:p>
    <w:p w14:paraId="3976E1C0" w14:textId="77777777" w:rsidR="00E67794" w:rsidRDefault="00000000">
      <w:pPr>
        <w:numPr>
          <w:ilvl w:val="1"/>
          <w:numId w:val="13"/>
        </w:numPr>
        <w:spacing w:line="240" w:lineRule="auto"/>
      </w:pPr>
      <w:r>
        <w:t>Regarding fuel substitution (fuel sub) savings and how they interact with electric (kWh) savings, particularly given longer equipment useful lives (EULs),  at the program or sector level, combining fuel substitution and direct electric savings can make first-year energy savings appear positive, while the lifecycle savings value may actually be significantly reduced due to the inclusion of fuel substitution. Essentially, fuel substitution has a larger negative effect on total lifecycle savings than on first-year savings.</w:t>
      </w:r>
    </w:p>
    <w:p w14:paraId="20BF6595" w14:textId="77777777" w:rsidR="00E67794" w:rsidRDefault="00000000">
      <w:pPr>
        <w:pStyle w:val="Heading2"/>
        <w:keepNext w:val="0"/>
        <w:keepLines w:val="0"/>
      </w:pPr>
      <w:bookmarkStart w:id="45" w:name="_xjgsytxt2euq" w:colFirst="0" w:colLast="0"/>
      <w:bookmarkEnd w:id="45"/>
      <w:r>
        <w:t>Key Themes Q&amp;A and Input</w:t>
      </w:r>
    </w:p>
    <w:p w14:paraId="69A8CF02" w14:textId="77777777" w:rsidR="00E67794" w:rsidRDefault="00000000">
      <w:pPr>
        <w:numPr>
          <w:ilvl w:val="0"/>
          <w:numId w:val="21"/>
        </w:numPr>
        <w:spacing w:before="200"/>
      </w:pPr>
      <w:r>
        <w:rPr>
          <w:b/>
          <w:bCs/>
        </w:rPr>
        <w:t>Ted Howard (SBUA):</w:t>
      </w:r>
      <w:r>
        <w:t xml:space="preserve"> Auditor's Report found that utilities’ spending on EE has decreased significantly over the last several years, largely because utilities have begun to exhaust the use of straightforward EE technologies—such as efficient lighting—and California’s EE standards have grown increasingly strict. Also from Auditor's Report: Additionally, we found that they rarely achieve energy-savings goals or cost-effectiveness. Can the PAs respond with their thoughts on this assessment?</w:t>
      </w:r>
      <w:r>
        <w:tab/>
      </w:r>
    </w:p>
    <w:p w14:paraId="0C1A5D51" w14:textId="77777777" w:rsidR="00E67794" w:rsidRDefault="00000000">
      <w:pPr>
        <w:numPr>
          <w:ilvl w:val="1"/>
          <w:numId w:val="21"/>
        </w:numPr>
        <w:rPr>
          <w:b/>
          <w:bCs/>
        </w:rPr>
      </w:pPr>
      <w:r>
        <w:rPr>
          <w:b/>
          <w:bCs/>
        </w:rPr>
        <w:t xml:space="preserve">PG&amp;E Response: </w:t>
      </w:r>
      <w:r>
        <w:t>In 2024, PG&amp;E's EE portfolio achieved 37% of the four-year (2024-27) Total System Benefit goal and resulted in a cost-effective resource acquisition segment (1.93 TRC), as well as a cost-effective overall portfolio (1.40 TRC, excluding C&amp;S). For more information about PG&amp;E's 2024 portfolio performance, please reference PG&amp;E's 2024 Annual Report Available on CEDARS and PG&amp;E's 2024 CAEECC Annual Portfolio Performance Review.</w:t>
      </w:r>
    </w:p>
    <w:p w14:paraId="6A7A9AE1" w14:textId="77777777" w:rsidR="00E67794" w:rsidRDefault="00000000">
      <w:pPr>
        <w:numPr>
          <w:ilvl w:val="1"/>
          <w:numId w:val="21"/>
        </w:numPr>
        <w:rPr>
          <w:b/>
          <w:bCs/>
        </w:rPr>
      </w:pPr>
      <w:r>
        <w:rPr>
          <w:b/>
          <w:bCs/>
        </w:rPr>
        <w:t xml:space="preserve">The Energy Coalition Response: </w:t>
      </w:r>
      <w:r>
        <w:t>The annual report released a couple of months ago showed that all IOUs achieved their goals, with SDG&amp;E falling short by only a small fraction of a percentage point. This current report indicates that the IOUs are once again on track to meet their goals this year, demonstrating a performance trend that differs from what the audit had previously projected.</w:t>
      </w:r>
    </w:p>
    <w:p w14:paraId="7C949B40" w14:textId="77777777" w:rsidR="00E67794" w:rsidRDefault="00000000">
      <w:pPr>
        <w:numPr>
          <w:ilvl w:val="2"/>
          <w:numId w:val="21"/>
        </w:numPr>
        <w:rPr>
          <w:b/>
          <w:bCs/>
        </w:rPr>
      </w:pPr>
      <w:r>
        <w:rPr>
          <w:b/>
          <w:bCs/>
        </w:rPr>
        <w:t xml:space="preserve">SDG&amp;E Response: </w:t>
      </w:r>
      <w:r>
        <w:t xml:space="preserve">SDG&amp;E has not met the cost-effectiveness threshold for its regional programs over the past two years, performing below statewide levels. While SDG&amp;E exceeded its </w:t>
      </w:r>
      <w:r>
        <w:lastRenderedPageBreak/>
        <w:t>formal potential goals (e.g., achieving 112% in 2024), this was still significantly below their internal forecasts. Therefore, SDG&amp;E recommends that evaluating performance involve looking not just at whether goals are met, but also at how actual outcomes compare to initial forecasts and expectations.</w:t>
      </w:r>
    </w:p>
    <w:p w14:paraId="6C14ED91" w14:textId="77777777" w:rsidR="00E67794" w:rsidRDefault="00E67794"/>
    <w:p w14:paraId="79EAD586" w14:textId="77777777" w:rsidR="00E67794" w:rsidRDefault="00000000">
      <w:pPr>
        <w:pStyle w:val="Heading1"/>
        <w:spacing w:before="360" w:after="200" w:line="240" w:lineRule="auto"/>
        <w:rPr>
          <w:color w:val="134F5C"/>
        </w:rPr>
      </w:pPr>
      <w:bookmarkStart w:id="46" w:name="_db5ii2h91wg0" w:colFirst="0" w:colLast="0"/>
      <w:bookmarkEnd w:id="46"/>
      <w:r>
        <w:rPr>
          <w:color w:val="134F5C"/>
        </w:rPr>
        <w:t>Appendix D: Key Acronyms</w:t>
      </w:r>
    </w:p>
    <w:p w14:paraId="410E6DA4" w14:textId="77777777" w:rsidR="00E67794" w:rsidRDefault="00000000">
      <w:pPr>
        <w:spacing w:before="240" w:line="240" w:lineRule="auto"/>
      </w:pPr>
      <w:r>
        <w:rPr>
          <w:color w:val="2A2A2A"/>
        </w:rPr>
        <w:t>Key acronyms used in this document include California Energy Efficiency Coordinating Committee (CAEECC), California Public Utilities Commission (CPUC), Energy Division (ED), California Energy Commission (CEC), California Air Resources Board (CARB), energy efficiency (EE), working group (WG), disadvantaged communities (DAC) and hard-to-reach (HTR) communities, justice equity diversity and inclusion (JEDI), CPUC’s Environmental and Social Justice Action Plan (ESJ Action Plan), Portfolio Administrator (PA), Investor-owned utilities (IOU), Regional Energy Network (REN), community-based organization (CBO), market transformation (MT), Equity Metrics Working Group (EMWG), Market Support Metrics Working Group (MSMWG), evaluation measurement and verification (EM&amp;V), Ordering Paragraph (OP), Disadvantaged Communities Advisory Group (DACAG), Low-Income Oversight Board (LIOB), Evolving CAEECC Working Group (ECWG), Compensation Task Force (Compensation TF), Mid-Cycle Advice Letters (MCALs), Order Instituting Ruling (OIR), Non-Energy Impacts (NEIs), Non-Energy Benefits (NEBs), and Integrated Demand Side Management (IDSM).</w:t>
      </w:r>
    </w:p>
    <w:p w14:paraId="6190FF13" w14:textId="77777777" w:rsidR="00E67794" w:rsidRDefault="00E67794"/>
    <w:p w14:paraId="12965538" w14:textId="77777777" w:rsidR="00E67794" w:rsidRDefault="00E67794"/>
    <w:p w14:paraId="2C500C9A" w14:textId="77777777" w:rsidR="00E67794" w:rsidRDefault="00E67794"/>
    <w:sectPr w:rsidR="00E67794">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katie@birchroadconsulting.com" w:date="2025-11-13T22:48:00Z" w:initials="">
    <w:p w14:paraId="16003FD2" w14:textId="77777777" w:rsidR="00E67794" w:rsidRDefault="00AF443F">
      <w:pPr>
        <w:widowControl w:val="0"/>
        <w:pBdr>
          <w:top w:val="nil"/>
          <w:left w:val="nil"/>
          <w:bottom w:val="nil"/>
          <w:right w:val="nil"/>
          <w:between w:val="nil"/>
        </w:pBdr>
        <w:spacing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Kelvin - did we get these comments right? They're fairly technical so want to confirm</w:t>
      </w:r>
    </w:p>
  </w:comment>
  <w:comment w:id="34" w:author="katie@birchroadconsulting.com" w:date="2025-11-20T22:51:00Z" w:initials="">
    <w:p w14:paraId="229D26E5" w14:textId="77777777" w:rsidR="00E67794" w:rsidRDefault="00AF443F">
      <w:pPr>
        <w:widowControl w:val="0"/>
        <w:pBdr>
          <w:top w:val="nil"/>
          <w:left w:val="nil"/>
          <w:bottom w:val="nil"/>
          <w:right w:val="nil"/>
          <w:between w:val="nil"/>
        </w:pBdr>
        <w:spacing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SoCalGas - please confirm the email you sent belongs here (can't tell if it answers the question)</w:t>
      </w:r>
    </w:p>
  </w:comment>
  <w:comment w:id="37" w:author="katie@birchroadconsulting.com" w:date="2025-11-20T22:53:00Z" w:initials="">
    <w:p w14:paraId="01E9DD3C" w14:textId="77777777" w:rsidR="00E67794" w:rsidRDefault="00AF443F">
      <w:pPr>
        <w:widowControl w:val="0"/>
        <w:pBdr>
          <w:top w:val="nil"/>
          <w:left w:val="nil"/>
          <w:bottom w:val="nil"/>
          <w:right w:val="nil"/>
          <w:between w:val="nil"/>
        </w:pBdr>
        <w:spacing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SoCalREN, please address. These questions were in regards to the post-retrofit bill impact tool that you mentioned your team will develop in 2026.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003FD2" w15:done="0"/>
  <w15:commentEx w15:paraId="229D26E5" w15:done="0"/>
  <w15:commentEx w15:paraId="01E9DD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003FD2" w16cid:durableId="3C324A2F"/>
  <w16cid:commentId w16cid:paraId="229D26E5" w16cid:durableId="2ED04B79"/>
  <w16cid:commentId w16cid:paraId="01E9DD3C" w16cid:durableId="05CD5F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58C53" w14:textId="77777777" w:rsidR="002D3491" w:rsidRDefault="002D3491">
      <w:pPr>
        <w:spacing w:line="240" w:lineRule="auto"/>
      </w:pPr>
      <w:r>
        <w:separator/>
      </w:r>
    </w:p>
  </w:endnote>
  <w:endnote w:type="continuationSeparator" w:id="0">
    <w:p w14:paraId="2ED2B373" w14:textId="77777777" w:rsidR="002D3491" w:rsidRDefault="002D3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A68181-A6EA-284A-8DB4-B1E1B14F5A8F}"/>
  </w:font>
  <w:font w:name="Roboto">
    <w:panose1 w:val="02000000000000000000"/>
    <w:charset w:val="00"/>
    <w:family w:val="auto"/>
    <w:pitch w:val="variable"/>
    <w:sig w:usb0="E0000AFF" w:usb1="5000217F" w:usb2="00000021" w:usb3="00000000" w:csb0="0000019F" w:csb1="00000000"/>
    <w:embedRegular r:id="rId2" w:fontKey="{C462D9C1-C13A-824C-ACAD-3550AAE76272}"/>
    <w:embedBold r:id="rId3" w:fontKey="{3E66F436-C9E2-494F-89D0-5784BE61CDFE}"/>
    <w:embedItalic r:id="rId4" w:fontKey="{8F820DFA-25D7-2647-B07F-548734E80BFF}"/>
    <w:embedBoldItalic r:id="rId5" w:fontKey="{481DC2FA-C4C0-B647-A181-DAAF491D4490}"/>
  </w:font>
  <w:font w:name="Roboto Medium">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embedRegular r:id="rId6" w:fontKey="{E1291A3A-DC03-204C-9CF8-1E6B443EA1E0}"/>
    <w:embedBold r:id="rId7" w:fontKey="{D422522B-51BB-AA42-869E-D2C844573F7B}"/>
  </w:font>
  <w:font w:name="Arial">
    <w:panose1 w:val="020B0604020202020204"/>
    <w:charset w:val="00"/>
    <w:family w:val="swiss"/>
    <w:pitch w:val="variable"/>
    <w:sig w:usb0="E0002AFF" w:usb1="C0007843" w:usb2="00000009" w:usb3="00000000" w:csb0="000001FF" w:csb1="00000000"/>
    <w:embedRegular r:id="rId8" w:fontKey="{B21AA274-DEA8-B14A-B785-0CB5BD1E663F}"/>
  </w:font>
  <w:font w:name="Calibri">
    <w:panose1 w:val="020F0502020204030204"/>
    <w:charset w:val="00"/>
    <w:family w:val="swiss"/>
    <w:pitch w:val="variable"/>
    <w:sig w:usb0="E4002EFF" w:usb1="C200247B" w:usb2="00000009" w:usb3="00000000" w:csb0="000001FF" w:csb1="00000000"/>
    <w:embedRegular r:id="rId9" w:fontKey="{9D50D967-5981-CA46-85CD-CF02275DAD85}"/>
  </w:font>
  <w:font w:name="Cambria">
    <w:panose1 w:val="02040503050406030204"/>
    <w:charset w:val="00"/>
    <w:family w:val="roman"/>
    <w:pitch w:val="variable"/>
    <w:sig w:usb0="E00006FF" w:usb1="420024FF" w:usb2="02000000" w:usb3="00000000" w:csb0="0000019F" w:csb1="00000000"/>
    <w:embedRegular r:id="rId10" w:fontKey="{E1483CCD-3334-544E-8703-4C60D52380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8AC47" w14:textId="77777777" w:rsidR="00E67794" w:rsidRDefault="00000000">
    <w:pPr>
      <w:spacing w:before="200" w:line="240" w:lineRule="auto"/>
      <w:ind w:right="360"/>
      <w:jc w:val="center"/>
      <w:rPr>
        <w:color w:val="45818E"/>
        <w:sz w:val="18"/>
        <w:szCs w:val="18"/>
      </w:rPr>
    </w:pPr>
    <w:r>
      <w:rPr>
        <w:color w:val="45818E"/>
        <w:sz w:val="18"/>
        <w:szCs w:val="18"/>
      </w:rPr>
      <w:t>Semi-Annual 2025 Portfolio Performance Report Review Summary</w:t>
    </w:r>
  </w:p>
  <w:p w14:paraId="1485E0E9" w14:textId="77777777" w:rsidR="00E67794" w:rsidRDefault="00000000">
    <w:pPr>
      <w:spacing w:line="240" w:lineRule="auto"/>
      <w:jc w:val="center"/>
      <w:rPr>
        <w:i/>
        <w:iCs/>
        <w:color w:val="45818E"/>
        <w:sz w:val="18"/>
        <w:szCs w:val="18"/>
      </w:rPr>
    </w:pPr>
    <w:r>
      <w:rPr>
        <w:i/>
        <w:iCs/>
        <w:color w:val="45818E"/>
        <w:sz w:val="18"/>
        <w:szCs w:val="18"/>
      </w:rPr>
      <w:t>Last updated November 19, 2025</w:t>
    </w:r>
  </w:p>
  <w:p w14:paraId="6F11F833" w14:textId="77777777" w:rsidR="00E67794" w:rsidRDefault="00000000">
    <w:pPr>
      <w:spacing w:line="240" w:lineRule="auto"/>
      <w:jc w:val="right"/>
      <w:rPr>
        <w:color w:val="45818E"/>
        <w:sz w:val="18"/>
        <w:szCs w:val="18"/>
      </w:rPr>
    </w:pPr>
    <w:r>
      <w:rPr>
        <w:color w:val="45818E"/>
        <w:sz w:val="18"/>
        <w:szCs w:val="18"/>
      </w:rPr>
      <w:fldChar w:fldCharType="begin"/>
    </w:r>
    <w:r>
      <w:rPr>
        <w:color w:val="45818E"/>
        <w:sz w:val="18"/>
        <w:szCs w:val="18"/>
      </w:rPr>
      <w:instrText>PAGE</w:instrText>
    </w:r>
    <w:r>
      <w:rPr>
        <w:color w:val="45818E"/>
        <w:sz w:val="18"/>
        <w:szCs w:val="18"/>
      </w:rPr>
      <w:fldChar w:fldCharType="separate"/>
    </w:r>
    <w:r w:rsidR="00AF443F">
      <w:rPr>
        <w:noProof/>
        <w:color w:val="45818E"/>
        <w:sz w:val="18"/>
        <w:szCs w:val="18"/>
      </w:rPr>
      <w:t>1</w:t>
    </w:r>
    <w:r>
      <w:rPr>
        <w:color w:val="45818E"/>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48EC" w14:textId="77777777" w:rsidR="00E67794" w:rsidRDefault="00E677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4ABF0" w14:textId="77777777" w:rsidR="002D3491" w:rsidRDefault="002D3491">
      <w:pPr>
        <w:spacing w:line="240" w:lineRule="auto"/>
      </w:pPr>
      <w:r>
        <w:separator/>
      </w:r>
    </w:p>
  </w:footnote>
  <w:footnote w:type="continuationSeparator" w:id="0">
    <w:p w14:paraId="71C1C8C8" w14:textId="77777777" w:rsidR="002D3491" w:rsidRDefault="002D34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8A65" w14:textId="77777777" w:rsidR="00E67794" w:rsidRDefault="00000000">
    <w:r>
      <w:rPr>
        <w:noProof/>
      </w:rPr>
      <w:drawing>
        <wp:anchor distT="114300" distB="114300" distL="114300" distR="114300" simplePos="0" relativeHeight="251658240" behindDoc="0" locked="0" layoutInCell="1" hidden="0" allowOverlap="1" wp14:anchorId="2B72A660" wp14:editId="6865744F">
          <wp:simplePos x="0" y="0"/>
          <wp:positionH relativeFrom="page">
            <wp:posOffset>-19049</wp:posOffset>
          </wp:positionH>
          <wp:positionV relativeFrom="page">
            <wp:posOffset>-9524</wp:posOffset>
          </wp:positionV>
          <wp:extent cx="7805738" cy="5238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5738" cy="523875"/>
                  </a:xfrm>
                  <a:prstGeom prst="rect">
                    <a:avLst/>
                  </a:prstGeom>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6A65"/>
    <w:multiLevelType w:val="multilevel"/>
    <w:tmpl w:val="FEF20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F100C1"/>
    <w:multiLevelType w:val="multilevel"/>
    <w:tmpl w:val="51E42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D53FB"/>
    <w:multiLevelType w:val="multilevel"/>
    <w:tmpl w:val="2CFC2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940D91"/>
    <w:multiLevelType w:val="multilevel"/>
    <w:tmpl w:val="46549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AC5559"/>
    <w:multiLevelType w:val="multilevel"/>
    <w:tmpl w:val="E9481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CF4BD8"/>
    <w:multiLevelType w:val="multilevel"/>
    <w:tmpl w:val="E618D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F92A61"/>
    <w:multiLevelType w:val="multilevel"/>
    <w:tmpl w:val="F3161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D648B1"/>
    <w:multiLevelType w:val="multilevel"/>
    <w:tmpl w:val="E5D60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C07873"/>
    <w:multiLevelType w:val="multilevel"/>
    <w:tmpl w:val="6CF6A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CD3F92"/>
    <w:multiLevelType w:val="multilevel"/>
    <w:tmpl w:val="072C9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2B2015"/>
    <w:multiLevelType w:val="multilevel"/>
    <w:tmpl w:val="F7725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F55BB0"/>
    <w:multiLevelType w:val="multilevel"/>
    <w:tmpl w:val="749C2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500B86"/>
    <w:multiLevelType w:val="multilevel"/>
    <w:tmpl w:val="87CE4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F12A66"/>
    <w:multiLevelType w:val="multilevel"/>
    <w:tmpl w:val="7C06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9F0994"/>
    <w:multiLevelType w:val="multilevel"/>
    <w:tmpl w:val="3452B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385E74"/>
    <w:multiLevelType w:val="multilevel"/>
    <w:tmpl w:val="AD788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EF030E"/>
    <w:multiLevelType w:val="multilevel"/>
    <w:tmpl w:val="D4845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7827C5"/>
    <w:multiLevelType w:val="multilevel"/>
    <w:tmpl w:val="B1E2B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4E19AB"/>
    <w:multiLevelType w:val="multilevel"/>
    <w:tmpl w:val="EE42F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DB693A"/>
    <w:multiLevelType w:val="multilevel"/>
    <w:tmpl w:val="2576A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6A584D"/>
    <w:multiLevelType w:val="multilevel"/>
    <w:tmpl w:val="7BF83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704275"/>
    <w:multiLevelType w:val="multilevel"/>
    <w:tmpl w:val="8ADC8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56A3DF2"/>
    <w:multiLevelType w:val="multilevel"/>
    <w:tmpl w:val="6AB07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3759270">
    <w:abstractNumId w:val="17"/>
  </w:num>
  <w:num w:numId="2" w16cid:durableId="575670587">
    <w:abstractNumId w:val="19"/>
  </w:num>
  <w:num w:numId="3" w16cid:durableId="238945057">
    <w:abstractNumId w:val="6"/>
  </w:num>
  <w:num w:numId="4" w16cid:durableId="1415666938">
    <w:abstractNumId w:val="14"/>
  </w:num>
  <w:num w:numId="5" w16cid:durableId="1157498383">
    <w:abstractNumId w:val="22"/>
  </w:num>
  <w:num w:numId="6" w16cid:durableId="1513759183">
    <w:abstractNumId w:val="16"/>
  </w:num>
  <w:num w:numId="7" w16cid:durableId="1583222106">
    <w:abstractNumId w:val="7"/>
  </w:num>
  <w:num w:numId="8" w16cid:durableId="385034977">
    <w:abstractNumId w:val="11"/>
  </w:num>
  <w:num w:numId="9" w16cid:durableId="744767914">
    <w:abstractNumId w:val="18"/>
  </w:num>
  <w:num w:numId="10" w16cid:durableId="176163982">
    <w:abstractNumId w:val="12"/>
  </w:num>
  <w:num w:numId="11" w16cid:durableId="300887266">
    <w:abstractNumId w:val="4"/>
  </w:num>
  <w:num w:numId="12" w16cid:durableId="1251742073">
    <w:abstractNumId w:val="15"/>
  </w:num>
  <w:num w:numId="13" w16cid:durableId="2027827457">
    <w:abstractNumId w:val="2"/>
  </w:num>
  <w:num w:numId="14" w16cid:durableId="77988648">
    <w:abstractNumId w:val="21"/>
  </w:num>
  <w:num w:numId="15" w16cid:durableId="1357149963">
    <w:abstractNumId w:val="5"/>
  </w:num>
  <w:num w:numId="16" w16cid:durableId="1055156785">
    <w:abstractNumId w:val="20"/>
  </w:num>
  <w:num w:numId="17" w16cid:durableId="404690746">
    <w:abstractNumId w:val="0"/>
  </w:num>
  <w:num w:numId="18" w16cid:durableId="1169251297">
    <w:abstractNumId w:val="1"/>
  </w:num>
  <w:num w:numId="19" w16cid:durableId="691809356">
    <w:abstractNumId w:val="13"/>
  </w:num>
  <w:num w:numId="20" w16cid:durableId="1337267907">
    <w:abstractNumId w:val="3"/>
  </w:num>
  <w:num w:numId="21" w16cid:durableId="430245968">
    <w:abstractNumId w:val="10"/>
  </w:num>
  <w:num w:numId="22" w16cid:durableId="1684015962">
    <w:abstractNumId w:val="8"/>
  </w:num>
  <w:num w:numId="23" w16cid:durableId="20318346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794"/>
    <w:rsid w:val="001C14EB"/>
    <w:rsid w:val="002D3491"/>
    <w:rsid w:val="00AF443F"/>
    <w:rsid w:val="00E6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42E441"/>
  <w15:docId w15:val="{E5D72F84-5746-9745-A8A4-9C6FAE4D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b/>
      <w:bCs/>
      <w:color w:val="134F5D"/>
      <w:sz w:val="32"/>
      <w:szCs w:val="32"/>
    </w:rPr>
  </w:style>
  <w:style w:type="paragraph" w:styleId="Heading2">
    <w:name w:val="heading 2"/>
    <w:basedOn w:val="Normal"/>
    <w:next w:val="Normal"/>
    <w:uiPriority w:val="9"/>
    <w:unhideWhenUsed/>
    <w:qFormat/>
    <w:pPr>
      <w:keepNext/>
      <w:keepLines/>
      <w:spacing w:before="320" w:after="200" w:line="240" w:lineRule="auto"/>
      <w:outlineLvl w:val="1"/>
    </w:pPr>
    <w:rPr>
      <w:b/>
      <w:bCs/>
      <w:color w:val="2A2A2A"/>
      <w:sz w:val="28"/>
      <w:szCs w:val="28"/>
    </w:rPr>
  </w:style>
  <w:style w:type="paragraph" w:styleId="Heading3">
    <w:name w:val="heading 3"/>
    <w:basedOn w:val="Normal"/>
    <w:next w:val="Normal"/>
    <w:uiPriority w:val="9"/>
    <w:semiHidden/>
    <w:unhideWhenUsed/>
    <w:qFormat/>
    <w:pPr>
      <w:keepNext/>
      <w:keepLines/>
      <w:spacing w:before="200" w:after="200" w:line="240" w:lineRule="auto"/>
      <w:outlineLvl w:val="2"/>
    </w:pPr>
    <w:rPr>
      <w:rFonts w:ascii="Roboto Medium" w:eastAsia="Roboto Medium" w:hAnsi="Roboto Medium" w:cs="Roboto Medium"/>
      <w:color w:val="2A2A2A"/>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color w:val="134F5D"/>
      <w:sz w:val="48"/>
      <w:szCs w:val="48"/>
    </w:rPr>
  </w:style>
  <w:style w:type="paragraph" w:styleId="Subtitle">
    <w:name w:val="Subtitle"/>
    <w:basedOn w:val="Normal"/>
    <w:next w:val="Normal"/>
    <w:uiPriority w:val="11"/>
    <w:qFormat/>
    <w:pPr>
      <w:keepNext/>
      <w:keepLines/>
      <w:spacing w:after="320"/>
    </w:pPr>
    <w:rPr>
      <w:rFonts w:ascii="Roboto Light" w:eastAsia="Roboto Light" w:hAnsi="Roboto Light" w:cs="Roboto Light"/>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aeecc.org/semi-annual-pppr"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5606</Words>
  <Characters>31960</Characters>
  <Application>Microsoft Office Word</Application>
  <DocSecurity>0</DocSecurity>
  <Lines>266</Lines>
  <Paragraphs>74</Paragraphs>
  <ScaleCrop>false</ScaleCrop>
  <Company/>
  <LinksUpToDate>false</LinksUpToDate>
  <CharactersWithSpaces>37492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katherine.abrams@outlook.com</cp:lastModifiedBy>
  <cp:revision>2</cp:revision>
  <dcterms:created xsi:type="dcterms:W3CDTF">2025-11-20T23:04:00Z</dcterms:created>
  <dcterms:modified xsi:type="dcterms:W3CDTF">2025-11-20T23:04:00Z</dcterms:modified>
</cp:coreProperties>
</file>