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1496" w14:textId="77777777" w:rsidR="00D21DAB" w:rsidRDefault="00D21DAB" w:rsidP="00C91241">
      <w:pPr>
        <w:pStyle w:val="Normal-Table"/>
      </w:pPr>
    </w:p>
    <w:p w14:paraId="4091A037" w14:textId="77777777" w:rsidR="00D21DAB" w:rsidRDefault="00D21DAB" w:rsidP="00D21DAB">
      <w:pPr>
        <w:pStyle w:val="Title"/>
      </w:pPr>
    </w:p>
    <w:p w14:paraId="2720F733" w14:textId="77777777" w:rsidR="00D21DAB" w:rsidRDefault="00D21DAB" w:rsidP="00D21DAB">
      <w:pPr>
        <w:pStyle w:val="Title"/>
      </w:pPr>
    </w:p>
    <w:p w14:paraId="4F84361C" w14:textId="77777777" w:rsidR="00D21DAB" w:rsidRDefault="00D21DAB" w:rsidP="00D21DAB">
      <w:pPr>
        <w:pStyle w:val="Title"/>
      </w:pPr>
    </w:p>
    <w:p w14:paraId="5003009C" w14:textId="77777777" w:rsidR="00D21DAB" w:rsidRDefault="00D21DAB" w:rsidP="00D21DAB">
      <w:pPr>
        <w:pStyle w:val="Title"/>
      </w:pPr>
    </w:p>
    <w:p w14:paraId="62F85179" w14:textId="77777777" w:rsidR="00D21DAB" w:rsidRDefault="00D21DAB" w:rsidP="00D21DAB">
      <w:pPr>
        <w:pStyle w:val="Title"/>
      </w:pPr>
    </w:p>
    <w:p w14:paraId="02290587" w14:textId="6CEE2DDE" w:rsidR="00D21DAB" w:rsidRDefault="00677DCE" w:rsidP="00D21DAB">
      <w:pPr>
        <w:pStyle w:val="Title"/>
      </w:pPr>
      <w:r>
        <w:t>Analysis of Whether Small and Medium Businesses are Underserved by Energy Efficiency Programs in California</w:t>
      </w:r>
      <w:r w:rsidDel="00677DCE">
        <w:t xml:space="preserve"> </w:t>
      </w:r>
    </w:p>
    <w:p w14:paraId="5F6EE90B" w14:textId="260F638A" w:rsidR="00A81B10" w:rsidRPr="00A81B10" w:rsidRDefault="00A81B10" w:rsidP="00A81B10">
      <w:pPr>
        <w:pStyle w:val="Subtitle"/>
        <w:rPr>
          <w:rStyle w:val="IntenseReference"/>
          <w:sz w:val="32"/>
          <w:szCs w:val="32"/>
        </w:rPr>
      </w:pPr>
      <w:r w:rsidRPr="00A81B10">
        <w:rPr>
          <w:rStyle w:val="IntenseReference"/>
          <w:sz w:val="32"/>
          <w:szCs w:val="32"/>
        </w:rPr>
        <w:t xml:space="preserve">Prepared for the California Energy Efficiency Coordinating Committee  </w:t>
      </w:r>
    </w:p>
    <w:p w14:paraId="1BB2DD63" w14:textId="59B713EE" w:rsidR="00D21DAB" w:rsidRDefault="00D21DAB" w:rsidP="007C57C2">
      <w:pPr>
        <w:rPr>
          <w:rStyle w:val="IntenseReference"/>
        </w:rPr>
      </w:pPr>
    </w:p>
    <w:p w14:paraId="3B129EF4" w14:textId="40E9D35F" w:rsidR="00D21DAB" w:rsidRDefault="00D21DAB" w:rsidP="007C57C2"/>
    <w:p w14:paraId="554C2242" w14:textId="2980E9B0" w:rsidR="00D21DAB" w:rsidRDefault="00D21DAB" w:rsidP="007C57C2"/>
    <w:p w14:paraId="500AF42C" w14:textId="12824740" w:rsidR="007A5FB7" w:rsidRDefault="007A5FB7" w:rsidP="007C57C2"/>
    <w:p w14:paraId="4D83DF8D" w14:textId="53D1F938" w:rsidR="007A5FB7" w:rsidRDefault="007A5FB7" w:rsidP="007C57C2"/>
    <w:p w14:paraId="19B70A6B" w14:textId="31CA0533" w:rsidR="007A5FB7" w:rsidRDefault="007A5FB7" w:rsidP="007C57C2"/>
    <w:p w14:paraId="05BE5DA4" w14:textId="731B08DC" w:rsidR="007A5FB7" w:rsidRDefault="007A5FB7" w:rsidP="007C57C2"/>
    <w:p w14:paraId="6F2FC72C" w14:textId="77777777" w:rsidR="007A5FB7" w:rsidRDefault="007A5FB7" w:rsidP="007C57C2"/>
    <w:p w14:paraId="3B771D2B" w14:textId="4B305286" w:rsidR="00D21DAB" w:rsidRPr="00B11648" w:rsidRDefault="000E644D" w:rsidP="007C57C2">
      <w:pPr>
        <w:rPr>
          <w:rStyle w:val="IntenseEmphasis"/>
          <w:sz w:val="24"/>
          <w:szCs w:val="28"/>
        </w:rPr>
      </w:pPr>
      <w:r>
        <w:rPr>
          <w:rStyle w:val="Strong"/>
          <w:sz w:val="28"/>
          <w:szCs w:val="32"/>
        </w:rPr>
        <w:t xml:space="preserve">July </w:t>
      </w:r>
      <w:r w:rsidR="00716798">
        <w:rPr>
          <w:rStyle w:val="Strong"/>
          <w:sz w:val="28"/>
          <w:szCs w:val="32"/>
        </w:rPr>
        <w:t>12</w:t>
      </w:r>
      <w:r w:rsidR="00B11648">
        <w:rPr>
          <w:rStyle w:val="Strong"/>
          <w:sz w:val="28"/>
          <w:szCs w:val="32"/>
        </w:rPr>
        <w:t>, 2021</w:t>
      </w:r>
    </w:p>
    <w:p w14:paraId="291F7988" w14:textId="77777777" w:rsidR="00D21DAB" w:rsidRDefault="00D21DAB" w:rsidP="007C57C2"/>
    <w:p w14:paraId="332E81BF" w14:textId="5FCEC7FF" w:rsidR="00D43EBC" w:rsidRDefault="00D43EBC" w:rsidP="007C57C2">
      <w:r>
        <w:br w:type="page"/>
      </w:r>
    </w:p>
    <w:p w14:paraId="01B6FA8B" w14:textId="0BD37E83" w:rsidR="00D21DAB" w:rsidRPr="007A5FB7" w:rsidRDefault="00D21DAB" w:rsidP="007C57C2">
      <w:pPr>
        <w:rPr>
          <w:rStyle w:val="IntenseEmphasis"/>
        </w:rPr>
      </w:pPr>
      <w:r w:rsidRPr="007A5FB7">
        <w:rPr>
          <w:rStyle w:val="IntenseEmphasis"/>
        </w:rPr>
        <w:lastRenderedPageBreak/>
        <w:t>Acknowledgements</w:t>
      </w:r>
    </w:p>
    <w:p w14:paraId="6A8432B4" w14:textId="1AFD7448" w:rsidR="00E1336E" w:rsidRDefault="00D21DAB" w:rsidP="00D21DAB">
      <w:pPr>
        <w:pStyle w:val="NormalWeb"/>
        <w:rPr>
          <w:rFonts w:ascii="Calibri" w:hAnsi="Calibri"/>
          <w:sz w:val="22"/>
          <w:szCs w:val="22"/>
        </w:rPr>
      </w:pPr>
      <w:r>
        <w:rPr>
          <w:rFonts w:ascii="Calibri" w:hAnsi="Calibri"/>
          <w:sz w:val="22"/>
          <w:szCs w:val="22"/>
        </w:rPr>
        <w:t xml:space="preserve">The work described in this study was </w:t>
      </w:r>
      <w:r w:rsidR="00B11648">
        <w:rPr>
          <w:rFonts w:ascii="Calibri" w:hAnsi="Calibri"/>
          <w:sz w:val="22"/>
          <w:szCs w:val="22"/>
        </w:rPr>
        <w:t xml:space="preserve">done for the </w:t>
      </w:r>
      <w:r w:rsidR="00A81B10">
        <w:rPr>
          <w:rFonts w:ascii="Calibri" w:hAnsi="Calibri"/>
          <w:sz w:val="22"/>
          <w:szCs w:val="22"/>
        </w:rPr>
        <w:t xml:space="preserve">California Energy Efficiency Coordinating Committee (CAEECC) by the Underserved Working Group (UWG) focused on small and medium businesses (SMB). </w:t>
      </w:r>
      <w:r w:rsidR="00B11648">
        <w:rPr>
          <w:rFonts w:ascii="Calibri" w:hAnsi="Calibri"/>
          <w:sz w:val="22"/>
          <w:szCs w:val="22"/>
        </w:rPr>
        <w:t xml:space="preserve"> </w:t>
      </w:r>
      <w:r w:rsidR="00A81B10">
        <w:rPr>
          <w:rFonts w:ascii="Calibri" w:hAnsi="Calibri"/>
          <w:sz w:val="22"/>
          <w:szCs w:val="22"/>
        </w:rPr>
        <w:t xml:space="preserve">This report is a joint effort of Green Energy Economics Group, Inc. (GEEG) representing the Small Business Utility </w:t>
      </w:r>
      <w:r w:rsidR="00B11648">
        <w:rPr>
          <w:rFonts w:ascii="Calibri" w:hAnsi="Calibri"/>
          <w:sz w:val="22"/>
          <w:szCs w:val="22"/>
        </w:rPr>
        <w:t xml:space="preserve">Advocate (SBUA) </w:t>
      </w:r>
      <w:r w:rsidR="00A81B10">
        <w:rPr>
          <w:rFonts w:ascii="Calibri" w:hAnsi="Calibri"/>
          <w:sz w:val="22"/>
          <w:szCs w:val="22"/>
        </w:rPr>
        <w:t>and the University of California at Irvine (UC Irvine).</w:t>
      </w:r>
      <w:r w:rsidR="00E1336E">
        <w:rPr>
          <w:rFonts w:ascii="Calibri" w:hAnsi="Calibri"/>
          <w:sz w:val="22"/>
          <w:szCs w:val="22"/>
        </w:rPr>
        <w:t xml:space="preserve"> W</w:t>
      </w:r>
      <w:r w:rsidR="00C91241">
        <w:rPr>
          <w:rFonts w:ascii="Calibri" w:hAnsi="Calibri"/>
          <w:sz w:val="22"/>
          <w:szCs w:val="22"/>
        </w:rPr>
        <w:t xml:space="preserve">e thank Linda Tan and Carmen Liang for research assistance. </w:t>
      </w:r>
      <w:r w:rsidR="00E1336E">
        <w:rPr>
          <w:rFonts w:ascii="Calibri" w:hAnsi="Calibri"/>
          <w:sz w:val="22"/>
          <w:szCs w:val="22"/>
        </w:rPr>
        <w:t>We would also thank the CAEE</w:t>
      </w:r>
      <w:r w:rsidR="00677DCE">
        <w:rPr>
          <w:rFonts w:ascii="Calibri" w:hAnsi="Calibri"/>
          <w:sz w:val="22"/>
          <w:szCs w:val="22"/>
        </w:rPr>
        <w:t>C</w:t>
      </w:r>
      <w:r w:rsidR="00E1336E">
        <w:rPr>
          <w:rFonts w:ascii="Calibri" w:hAnsi="Calibri"/>
          <w:sz w:val="22"/>
          <w:szCs w:val="22"/>
        </w:rPr>
        <w:t xml:space="preserve">C UWG for Residential customers and the work done by UC Davis Professor Alissa Kendall and Dr. Hal Nelson and their team of students. </w:t>
      </w:r>
      <w:r w:rsidR="00591647">
        <w:rPr>
          <w:rFonts w:ascii="Calibri" w:hAnsi="Calibri"/>
          <w:sz w:val="22"/>
          <w:szCs w:val="22"/>
        </w:rPr>
        <w:t xml:space="preserve">We also acknowledge CAEECC facilitators Scott McCreary, Ph.D. and Katie Abrams for their facilitation of the UWG and contributions as reviewers.  </w:t>
      </w:r>
    </w:p>
    <w:p w14:paraId="0E102AD2" w14:textId="0E1F86D4" w:rsidR="00D21DAB" w:rsidRDefault="00C91241" w:rsidP="00D21DAB">
      <w:pPr>
        <w:pStyle w:val="NormalWeb"/>
        <w:rPr>
          <w:rFonts w:ascii="Calibri" w:hAnsi="Calibri"/>
          <w:sz w:val="22"/>
          <w:szCs w:val="22"/>
        </w:rPr>
      </w:pPr>
      <w:r>
        <w:rPr>
          <w:rFonts w:ascii="Calibri" w:hAnsi="Calibri"/>
          <w:sz w:val="22"/>
          <w:szCs w:val="22"/>
        </w:rPr>
        <w:t xml:space="preserve"> </w:t>
      </w:r>
      <w:r w:rsidR="00D21DAB">
        <w:rPr>
          <w:rFonts w:ascii="Calibri" w:hAnsi="Calibri"/>
          <w:sz w:val="22"/>
          <w:szCs w:val="22"/>
        </w:rPr>
        <w:t xml:space="preserve">All opinions, errors and omissions remain the responsibility of the authors. All reference URLs were accurate as of the date of publication. </w:t>
      </w:r>
    </w:p>
    <w:p w14:paraId="32D99437" w14:textId="6017BD79" w:rsidR="007A5FB7" w:rsidRDefault="007A5FB7" w:rsidP="00D21DAB">
      <w:pPr>
        <w:pStyle w:val="NormalWeb"/>
        <w:rPr>
          <w:rFonts w:ascii="Calibri" w:hAnsi="Calibri"/>
          <w:sz w:val="22"/>
          <w:szCs w:val="22"/>
        </w:rPr>
      </w:pPr>
    </w:p>
    <w:p w14:paraId="09CCAD57" w14:textId="0C22A90B" w:rsidR="007A5FB7" w:rsidRDefault="007A5FB7" w:rsidP="00D21DAB">
      <w:pPr>
        <w:pStyle w:val="NormalWeb"/>
        <w:rPr>
          <w:rFonts w:ascii="Calibri" w:hAnsi="Calibri"/>
          <w:sz w:val="22"/>
          <w:szCs w:val="22"/>
        </w:rPr>
      </w:pPr>
    </w:p>
    <w:p w14:paraId="28BBB495" w14:textId="08F81954" w:rsidR="007A5FB7" w:rsidRPr="000E644D" w:rsidRDefault="007A5FB7" w:rsidP="00D21DAB">
      <w:pPr>
        <w:pStyle w:val="NormalWeb"/>
        <w:rPr>
          <w:rStyle w:val="IntenseEmphasis"/>
        </w:rPr>
      </w:pPr>
      <w:r w:rsidRPr="000E644D">
        <w:rPr>
          <w:rStyle w:val="IntenseEmphasis"/>
        </w:rPr>
        <w:t>Report Authors</w:t>
      </w:r>
    </w:p>
    <w:p w14:paraId="30F07313" w14:textId="0E5485E4" w:rsidR="007A5FB7" w:rsidRPr="000E644D" w:rsidRDefault="007A5FB7" w:rsidP="007A5FB7">
      <w:pPr>
        <w:pStyle w:val="NoSpacing"/>
      </w:pPr>
      <w:r w:rsidRPr="000E644D">
        <w:t xml:space="preserve">Theodore Love, </w:t>
      </w:r>
      <w:r w:rsidR="00A4162E" w:rsidRPr="000E644D">
        <w:t>Green Energy Economics Group, Inc.</w:t>
      </w:r>
    </w:p>
    <w:p w14:paraId="0E0F6633" w14:textId="259B79E5" w:rsidR="00A81B10" w:rsidRPr="000E644D" w:rsidRDefault="00A81B10" w:rsidP="007A5FB7">
      <w:pPr>
        <w:pStyle w:val="NoSpacing"/>
      </w:pPr>
      <w:r w:rsidRPr="000E644D">
        <w:t xml:space="preserve">Edward Coulson, </w:t>
      </w:r>
      <w:r w:rsidR="00A4162E" w:rsidRPr="000E644D">
        <w:t>University of California, Irvine</w:t>
      </w:r>
    </w:p>
    <w:p w14:paraId="550A018C" w14:textId="14754F76" w:rsidR="007A5FB7" w:rsidRPr="000E644D" w:rsidRDefault="00A81B10" w:rsidP="007A678A">
      <w:pPr>
        <w:pStyle w:val="NoSpacing"/>
        <w:rPr>
          <w:rStyle w:val="IntenseEmphasis"/>
          <w:rFonts w:ascii="Times New Roman" w:hAnsi="Times New Roman"/>
          <w:i w:val="0"/>
          <w:iCs w:val="0"/>
          <w:color w:val="auto"/>
          <w:sz w:val="24"/>
        </w:rPr>
      </w:pPr>
      <w:r w:rsidRPr="000E644D">
        <w:t xml:space="preserve">Matteo </w:t>
      </w:r>
      <w:proofErr w:type="spellStart"/>
      <w:r w:rsidRPr="000E644D">
        <w:t>Zamparini</w:t>
      </w:r>
      <w:proofErr w:type="spellEnd"/>
      <w:r w:rsidRPr="000E644D">
        <w:t xml:space="preserve">, </w:t>
      </w:r>
      <w:r w:rsidR="00A4162E" w:rsidRPr="000E644D">
        <w:t>Unive</w:t>
      </w:r>
      <w:r w:rsidR="00124F45" w:rsidRPr="000E644D">
        <w:t>r</w:t>
      </w:r>
      <w:r w:rsidR="00A4162E" w:rsidRPr="000E644D">
        <w:t>sity of California, Irvine</w:t>
      </w:r>
    </w:p>
    <w:p w14:paraId="533D206B" w14:textId="4E2CAF80" w:rsidR="00CF02D7" w:rsidRPr="00CF02D7" w:rsidRDefault="00CF02D7" w:rsidP="00CF02D7">
      <w:pPr>
        <w:pStyle w:val="NoSpacing"/>
      </w:pPr>
    </w:p>
    <w:p w14:paraId="44B08F23" w14:textId="77777777" w:rsidR="00677DCE" w:rsidRDefault="00677DCE" w:rsidP="007A5FB7">
      <w:pPr>
        <w:pStyle w:val="NoSpacing"/>
        <w:rPr>
          <w:rFonts w:ascii="Times New Roman" w:hAnsi="Times New Roman"/>
          <w:sz w:val="24"/>
        </w:rPr>
      </w:pPr>
    </w:p>
    <w:p w14:paraId="4BA90F9A" w14:textId="07BB70EF" w:rsidR="00D21DAB" w:rsidRDefault="00D21DAB" w:rsidP="007C57C2">
      <w:r>
        <w:br w:type="page"/>
      </w:r>
    </w:p>
    <w:p w14:paraId="0F44F525" w14:textId="7B224219" w:rsidR="00D21DAB" w:rsidRDefault="002727B8" w:rsidP="00D43EBC">
      <w:pPr>
        <w:pStyle w:val="IntenseQuote"/>
      </w:pPr>
      <w:r>
        <w:lastRenderedPageBreak/>
        <w:t xml:space="preserve">Table of </w:t>
      </w:r>
      <w:r w:rsidRPr="00D43EBC">
        <w:t>Contents</w:t>
      </w:r>
    </w:p>
    <w:p w14:paraId="3D07834A" w14:textId="2F22B956" w:rsidR="00A74C64" w:rsidRDefault="002727B8">
      <w:pPr>
        <w:pStyle w:val="TOC1"/>
        <w:tabs>
          <w:tab w:val="left" w:pos="352"/>
          <w:tab w:val="right" w:leader="dot" w:pos="9350"/>
        </w:tabs>
        <w:rPr>
          <w:rFonts w:cstheme="minorBidi"/>
          <w:b w:val="0"/>
          <w:bCs w:val="0"/>
          <w:caps w:val="0"/>
          <w:noProof/>
          <w:sz w:val="24"/>
          <w:szCs w:val="24"/>
          <w:u w:val="none"/>
        </w:rPr>
      </w:pPr>
      <w:r>
        <w:fldChar w:fldCharType="begin"/>
      </w:r>
      <w:r>
        <w:instrText xml:space="preserve"> TOC \o "1-3" \h \z \u </w:instrText>
      </w:r>
      <w:r>
        <w:fldChar w:fldCharType="separate"/>
      </w:r>
      <w:hyperlink w:anchor="_Toc76121044" w:history="1">
        <w:r w:rsidR="00A74C64" w:rsidRPr="00BE4975">
          <w:rPr>
            <w:rStyle w:val="Hyperlink"/>
            <w:noProof/>
          </w:rPr>
          <w:t>1</w:t>
        </w:r>
        <w:r w:rsidR="00A74C64">
          <w:rPr>
            <w:rFonts w:cstheme="minorBidi"/>
            <w:b w:val="0"/>
            <w:bCs w:val="0"/>
            <w:caps w:val="0"/>
            <w:noProof/>
            <w:sz w:val="24"/>
            <w:szCs w:val="24"/>
            <w:u w:val="none"/>
          </w:rPr>
          <w:tab/>
        </w:r>
        <w:r w:rsidR="00A74C64" w:rsidRPr="00BE4975">
          <w:rPr>
            <w:rStyle w:val="Hyperlink"/>
            <w:noProof/>
          </w:rPr>
          <w:t>Executive Summary</w:t>
        </w:r>
        <w:r w:rsidR="00A74C64">
          <w:rPr>
            <w:noProof/>
            <w:webHidden/>
          </w:rPr>
          <w:tab/>
        </w:r>
        <w:r w:rsidR="00A74C64">
          <w:rPr>
            <w:noProof/>
            <w:webHidden/>
          </w:rPr>
          <w:fldChar w:fldCharType="begin"/>
        </w:r>
        <w:r w:rsidR="00A74C64">
          <w:rPr>
            <w:noProof/>
            <w:webHidden/>
          </w:rPr>
          <w:instrText xml:space="preserve"> PAGEREF _Toc76121044 \h </w:instrText>
        </w:r>
        <w:r w:rsidR="00A74C64">
          <w:rPr>
            <w:noProof/>
            <w:webHidden/>
          </w:rPr>
        </w:r>
        <w:r w:rsidR="00A74C64">
          <w:rPr>
            <w:noProof/>
            <w:webHidden/>
          </w:rPr>
          <w:fldChar w:fldCharType="separate"/>
        </w:r>
        <w:r w:rsidR="00A74C64">
          <w:rPr>
            <w:noProof/>
            <w:webHidden/>
          </w:rPr>
          <w:t>1</w:t>
        </w:r>
        <w:r w:rsidR="00A74C64">
          <w:rPr>
            <w:noProof/>
            <w:webHidden/>
          </w:rPr>
          <w:fldChar w:fldCharType="end"/>
        </w:r>
      </w:hyperlink>
    </w:p>
    <w:p w14:paraId="64447836" w14:textId="3C625871" w:rsidR="00A74C64" w:rsidRDefault="00DB1658">
      <w:pPr>
        <w:pStyle w:val="TOC1"/>
        <w:tabs>
          <w:tab w:val="left" w:pos="352"/>
          <w:tab w:val="right" w:leader="dot" w:pos="9350"/>
        </w:tabs>
        <w:rPr>
          <w:rFonts w:cstheme="minorBidi"/>
          <w:b w:val="0"/>
          <w:bCs w:val="0"/>
          <w:caps w:val="0"/>
          <w:noProof/>
          <w:sz w:val="24"/>
          <w:szCs w:val="24"/>
          <w:u w:val="none"/>
        </w:rPr>
      </w:pPr>
      <w:hyperlink w:anchor="_Toc76121045" w:history="1">
        <w:r w:rsidR="00A74C64" w:rsidRPr="00BE4975">
          <w:rPr>
            <w:rStyle w:val="Hyperlink"/>
            <w:noProof/>
          </w:rPr>
          <w:t>2</w:t>
        </w:r>
        <w:r w:rsidR="00A74C64">
          <w:rPr>
            <w:rFonts w:cstheme="minorBidi"/>
            <w:b w:val="0"/>
            <w:bCs w:val="0"/>
            <w:caps w:val="0"/>
            <w:noProof/>
            <w:sz w:val="24"/>
            <w:szCs w:val="24"/>
            <w:u w:val="none"/>
          </w:rPr>
          <w:tab/>
        </w:r>
        <w:r w:rsidR="00A74C64" w:rsidRPr="00BE4975">
          <w:rPr>
            <w:rStyle w:val="Hyperlink"/>
            <w:noProof/>
          </w:rPr>
          <w:t>Background</w:t>
        </w:r>
        <w:r w:rsidR="00A74C64">
          <w:rPr>
            <w:noProof/>
            <w:webHidden/>
          </w:rPr>
          <w:tab/>
        </w:r>
        <w:r w:rsidR="00A74C64">
          <w:rPr>
            <w:noProof/>
            <w:webHidden/>
          </w:rPr>
          <w:fldChar w:fldCharType="begin"/>
        </w:r>
        <w:r w:rsidR="00A74C64">
          <w:rPr>
            <w:noProof/>
            <w:webHidden/>
          </w:rPr>
          <w:instrText xml:space="preserve"> PAGEREF _Toc76121045 \h </w:instrText>
        </w:r>
        <w:r w:rsidR="00A74C64">
          <w:rPr>
            <w:noProof/>
            <w:webHidden/>
          </w:rPr>
        </w:r>
        <w:r w:rsidR="00A74C64">
          <w:rPr>
            <w:noProof/>
            <w:webHidden/>
          </w:rPr>
          <w:fldChar w:fldCharType="separate"/>
        </w:r>
        <w:r w:rsidR="00A74C64">
          <w:rPr>
            <w:noProof/>
            <w:webHidden/>
          </w:rPr>
          <w:t>7</w:t>
        </w:r>
        <w:r w:rsidR="00A74C64">
          <w:rPr>
            <w:noProof/>
            <w:webHidden/>
          </w:rPr>
          <w:fldChar w:fldCharType="end"/>
        </w:r>
      </w:hyperlink>
    </w:p>
    <w:p w14:paraId="31C490A7" w14:textId="4E8B37D0" w:rsidR="00A74C64" w:rsidRDefault="00DB1658">
      <w:pPr>
        <w:pStyle w:val="TOC1"/>
        <w:tabs>
          <w:tab w:val="left" w:pos="352"/>
          <w:tab w:val="right" w:leader="dot" w:pos="9350"/>
        </w:tabs>
        <w:rPr>
          <w:rFonts w:cstheme="minorBidi"/>
          <w:b w:val="0"/>
          <w:bCs w:val="0"/>
          <w:caps w:val="0"/>
          <w:noProof/>
          <w:sz w:val="24"/>
          <w:szCs w:val="24"/>
          <w:u w:val="none"/>
        </w:rPr>
      </w:pPr>
      <w:hyperlink w:anchor="_Toc76121046" w:history="1">
        <w:r w:rsidR="00A74C64" w:rsidRPr="00BE4975">
          <w:rPr>
            <w:rStyle w:val="Hyperlink"/>
            <w:noProof/>
          </w:rPr>
          <w:t>3</w:t>
        </w:r>
        <w:r w:rsidR="00A74C64">
          <w:rPr>
            <w:rFonts w:cstheme="minorBidi"/>
            <w:b w:val="0"/>
            <w:bCs w:val="0"/>
            <w:caps w:val="0"/>
            <w:noProof/>
            <w:sz w:val="24"/>
            <w:szCs w:val="24"/>
            <w:u w:val="none"/>
          </w:rPr>
          <w:tab/>
        </w:r>
        <w:r w:rsidR="00A74C64" w:rsidRPr="00BE4975">
          <w:rPr>
            <w:rStyle w:val="Hyperlink"/>
            <w:noProof/>
          </w:rPr>
          <w:t>Methodology</w:t>
        </w:r>
        <w:r w:rsidR="00A74C64">
          <w:rPr>
            <w:noProof/>
            <w:webHidden/>
          </w:rPr>
          <w:tab/>
        </w:r>
        <w:r w:rsidR="00A74C64">
          <w:rPr>
            <w:noProof/>
            <w:webHidden/>
          </w:rPr>
          <w:fldChar w:fldCharType="begin"/>
        </w:r>
        <w:r w:rsidR="00A74C64">
          <w:rPr>
            <w:noProof/>
            <w:webHidden/>
          </w:rPr>
          <w:instrText xml:space="preserve"> PAGEREF _Toc76121046 \h </w:instrText>
        </w:r>
        <w:r w:rsidR="00A74C64">
          <w:rPr>
            <w:noProof/>
            <w:webHidden/>
          </w:rPr>
        </w:r>
        <w:r w:rsidR="00A74C64">
          <w:rPr>
            <w:noProof/>
            <w:webHidden/>
          </w:rPr>
          <w:fldChar w:fldCharType="separate"/>
        </w:r>
        <w:r w:rsidR="00A74C64">
          <w:rPr>
            <w:noProof/>
            <w:webHidden/>
          </w:rPr>
          <w:t>8</w:t>
        </w:r>
        <w:r w:rsidR="00A74C64">
          <w:rPr>
            <w:noProof/>
            <w:webHidden/>
          </w:rPr>
          <w:fldChar w:fldCharType="end"/>
        </w:r>
      </w:hyperlink>
    </w:p>
    <w:p w14:paraId="5CEE12C2" w14:textId="7B1F619C" w:rsidR="00A74C64" w:rsidRDefault="00DB1658">
      <w:pPr>
        <w:pStyle w:val="TOC2"/>
        <w:tabs>
          <w:tab w:val="left" w:pos="522"/>
          <w:tab w:val="right" w:leader="dot" w:pos="9350"/>
        </w:tabs>
        <w:rPr>
          <w:rFonts w:cstheme="minorBidi"/>
          <w:b w:val="0"/>
          <w:bCs w:val="0"/>
          <w:smallCaps w:val="0"/>
          <w:noProof/>
          <w:sz w:val="24"/>
          <w:szCs w:val="24"/>
        </w:rPr>
      </w:pPr>
      <w:hyperlink w:anchor="_Toc76121047" w:history="1">
        <w:r w:rsidR="00A74C64" w:rsidRPr="00BE4975">
          <w:rPr>
            <w:rStyle w:val="Hyperlink"/>
            <w:noProof/>
          </w:rPr>
          <w:t>3.1</w:t>
        </w:r>
        <w:r w:rsidR="00A74C64">
          <w:rPr>
            <w:rFonts w:cstheme="minorBidi"/>
            <w:b w:val="0"/>
            <w:bCs w:val="0"/>
            <w:smallCaps w:val="0"/>
            <w:noProof/>
            <w:sz w:val="24"/>
            <w:szCs w:val="24"/>
          </w:rPr>
          <w:tab/>
        </w:r>
        <w:r w:rsidR="00A74C64" w:rsidRPr="00BE4975">
          <w:rPr>
            <w:rStyle w:val="Hyperlink"/>
            <w:noProof/>
          </w:rPr>
          <w:t>Analysis Approach</w:t>
        </w:r>
        <w:r w:rsidR="00A74C64">
          <w:rPr>
            <w:noProof/>
            <w:webHidden/>
          </w:rPr>
          <w:tab/>
        </w:r>
        <w:r w:rsidR="00A74C64">
          <w:rPr>
            <w:noProof/>
            <w:webHidden/>
          </w:rPr>
          <w:fldChar w:fldCharType="begin"/>
        </w:r>
        <w:r w:rsidR="00A74C64">
          <w:rPr>
            <w:noProof/>
            <w:webHidden/>
          </w:rPr>
          <w:instrText xml:space="preserve"> PAGEREF _Toc76121047 \h </w:instrText>
        </w:r>
        <w:r w:rsidR="00A74C64">
          <w:rPr>
            <w:noProof/>
            <w:webHidden/>
          </w:rPr>
        </w:r>
        <w:r w:rsidR="00A74C64">
          <w:rPr>
            <w:noProof/>
            <w:webHidden/>
          </w:rPr>
          <w:fldChar w:fldCharType="separate"/>
        </w:r>
        <w:r w:rsidR="00A74C64">
          <w:rPr>
            <w:noProof/>
            <w:webHidden/>
          </w:rPr>
          <w:t>8</w:t>
        </w:r>
        <w:r w:rsidR="00A74C64">
          <w:rPr>
            <w:noProof/>
            <w:webHidden/>
          </w:rPr>
          <w:fldChar w:fldCharType="end"/>
        </w:r>
      </w:hyperlink>
    </w:p>
    <w:p w14:paraId="3452903E" w14:textId="527CF4BB" w:rsidR="00A74C64" w:rsidRDefault="00DB1658">
      <w:pPr>
        <w:pStyle w:val="TOC2"/>
        <w:tabs>
          <w:tab w:val="left" w:pos="522"/>
          <w:tab w:val="right" w:leader="dot" w:pos="9350"/>
        </w:tabs>
        <w:rPr>
          <w:rFonts w:cstheme="minorBidi"/>
          <w:b w:val="0"/>
          <w:bCs w:val="0"/>
          <w:smallCaps w:val="0"/>
          <w:noProof/>
          <w:sz w:val="24"/>
          <w:szCs w:val="24"/>
        </w:rPr>
      </w:pPr>
      <w:hyperlink w:anchor="_Toc76121048" w:history="1">
        <w:r w:rsidR="00A74C64" w:rsidRPr="00BE4975">
          <w:rPr>
            <w:rStyle w:val="Hyperlink"/>
            <w:noProof/>
          </w:rPr>
          <w:t>3.2</w:t>
        </w:r>
        <w:r w:rsidR="00A74C64">
          <w:rPr>
            <w:rFonts w:cstheme="minorBidi"/>
            <w:b w:val="0"/>
            <w:bCs w:val="0"/>
            <w:smallCaps w:val="0"/>
            <w:noProof/>
            <w:sz w:val="24"/>
            <w:szCs w:val="24"/>
          </w:rPr>
          <w:tab/>
        </w:r>
        <w:r w:rsidR="00A74C64" w:rsidRPr="00BE4975">
          <w:rPr>
            <w:rStyle w:val="Hyperlink"/>
            <w:noProof/>
          </w:rPr>
          <w:t>Defining SMB</w:t>
        </w:r>
        <w:r w:rsidR="00A74C64">
          <w:rPr>
            <w:noProof/>
            <w:webHidden/>
          </w:rPr>
          <w:tab/>
        </w:r>
        <w:r w:rsidR="00A74C64">
          <w:rPr>
            <w:noProof/>
            <w:webHidden/>
          </w:rPr>
          <w:fldChar w:fldCharType="begin"/>
        </w:r>
        <w:r w:rsidR="00A74C64">
          <w:rPr>
            <w:noProof/>
            <w:webHidden/>
          </w:rPr>
          <w:instrText xml:space="preserve"> PAGEREF _Toc76121048 \h </w:instrText>
        </w:r>
        <w:r w:rsidR="00A74C64">
          <w:rPr>
            <w:noProof/>
            <w:webHidden/>
          </w:rPr>
        </w:r>
        <w:r w:rsidR="00A74C64">
          <w:rPr>
            <w:noProof/>
            <w:webHidden/>
          </w:rPr>
          <w:fldChar w:fldCharType="separate"/>
        </w:r>
        <w:r w:rsidR="00A74C64">
          <w:rPr>
            <w:noProof/>
            <w:webHidden/>
          </w:rPr>
          <w:t>9</w:t>
        </w:r>
        <w:r w:rsidR="00A74C64">
          <w:rPr>
            <w:noProof/>
            <w:webHidden/>
          </w:rPr>
          <w:fldChar w:fldCharType="end"/>
        </w:r>
      </w:hyperlink>
    </w:p>
    <w:p w14:paraId="5E746659" w14:textId="76460C0A" w:rsidR="00A74C64" w:rsidRDefault="00DB1658">
      <w:pPr>
        <w:pStyle w:val="TOC2"/>
        <w:tabs>
          <w:tab w:val="left" w:pos="522"/>
          <w:tab w:val="right" w:leader="dot" w:pos="9350"/>
        </w:tabs>
        <w:rPr>
          <w:rFonts w:cstheme="minorBidi"/>
          <w:b w:val="0"/>
          <w:bCs w:val="0"/>
          <w:smallCaps w:val="0"/>
          <w:noProof/>
          <w:sz w:val="24"/>
          <w:szCs w:val="24"/>
        </w:rPr>
      </w:pPr>
      <w:hyperlink w:anchor="_Toc76121049" w:history="1">
        <w:r w:rsidR="00A74C64" w:rsidRPr="00BE4975">
          <w:rPr>
            <w:rStyle w:val="Hyperlink"/>
            <w:noProof/>
          </w:rPr>
          <w:t>3.3</w:t>
        </w:r>
        <w:r w:rsidR="00A74C64">
          <w:rPr>
            <w:rFonts w:cstheme="minorBidi"/>
            <w:b w:val="0"/>
            <w:bCs w:val="0"/>
            <w:smallCaps w:val="0"/>
            <w:noProof/>
            <w:sz w:val="24"/>
            <w:szCs w:val="24"/>
          </w:rPr>
          <w:tab/>
        </w:r>
        <w:r w:rsidR="00A74C64" w:rsidRPr="00BE4975">
          <w:rPr>
            <w:rStyle w:val="Hyperlink"/>
            <w:noProof/>
          </w:rPr>
          <w:t>Data Sources</w:t>
        </w:r>
        <w:r w:rsidR="00A74C64">
          <w:rPr>
            <w:noProof/>
            <w:webHidden/>
          </w:rPr>
          <w:tab/>
        </w:r>
        <w:r w:rsidR="00A74C64">
          <w:rPr>
            <w:noProof/>
            <w:webHidden/>
          </w:rPr>
          <w:fldChar w:fldCharType="begin"/>
        </w:r>
        <w:r w:rsidR="00A74C64">
          <w:rPr>
            <w:noProof/>
            <w:webHidden/>
          </w:rPr>
          <w:instrText xml:space="preserve"> PAGEREF _Toc76121049 \h </w:instrText>
        </w:r>
        <w:r w:rsidR="00A74C64">
          <w:rPr>
            <w:noProof/>
            <w:webHidden/>
          </w:rPr>
        </w:r>
        <w:r w:rsidR="00A74C64">
          <w:rPr>
            <w:noProof/>
            <w:webHidden/>
          </w:rPr>
          <w:fldChar w:fldCharType="separate"/>
        </w:r>
        <w:r w:rsidR="00A74C64">
          <w:rPr>
            <w:noProof/>
            <w:webHidden/>
          </w:rPr>
          <w:t>10</w:t>
        </w:r>
        <w:r w:rsidR="00A74C64">
          <w:rPr>
            <w:noProof/>
            <w:webHidden/>
          </w:rPr>
          <w:fldChar w:fldCharType="end"/>
        </w:r>
      </w:hyperlink>
    </w:p>
    <w:p w14:paraId="32875DA4" w14:textId="3076ECF4" w:rsidR="00A74C64" w:rsidRDefault="00DB1658">
      <w:pPr>
        <w:pStyle w:val="TOC2"/>
        <w:tabs>
          <w:tab w:val="left" w:pos="522"/>
          <w:tab w:val="right" w:leader="dot" w:pos="9350"/>
        </w:tabs>
        <w:rPr>
          <w:rFonts w:cstheme="minorBidi"/>
          <w:b w:val="0"/>
          <w:bCs w:val="0"/>
          <w:smallCaps w:val="0"/>
          <w:noProof/>
          <w:sz w:val="24"/>
          <w:szCs w:val="24"/>
        </w:rPr>
      </w:pPr>
      <w:hyperlink w:anchor="_Toc76121050" w:history="1">
        <w:r w:rsidR="00A74C64" w:rsidRPr="00BE4975">
          <w:rPr>
            <w:rStyle w:val="Hyperlink"/>
            <w:noProof/>
          </w:rPr>
          <w:t>3.4</w:t>
        </w:r>
        <w:r w:rsidR="00A74C64">
          <w:rPr>
            <w:rFonts w:cstheme="minorBidi"/>
            <w:b w:val="0"/>
            <w:bCs w:val="0"/>
            <w:smallCaps w:val="0"/>
            <w:noProof/>
            <w:sz w:val="24"/>
            <w:szCs w:val="24"/>
          </w:rPr>
          <w:tab/>
        </w:r>
        <w:r w:rsidR="00A74C64" w:rsidRPr="00BE4975">
          <w:rPr>
            <w:rStyle w:val="Hyperlink"/>
            <w:noProof/>
          </w:rPr>
          <w:t>SMB Data Processing</w:t>
        </w:r>
        <w:r w:rsidR="00A74C64">
          <w:rPr>
            <w:noProof/>
            <w:webHidden/>
          </w:rPr>
          <w:tab/>
        </w:r>
        <w:r w:rsidR="00A74C64">
          <w:rPr>
            <w:noProof/>
            <w:webHidden/>
          </w:rPr>
          <w:fldChar w:fldCharType="begin"/>
        </w:r>
        <w:r w:rsidR="00A74C64">
          <w:rPr>
            <w:noProof/>
            <w:webHidden/>
          </w:rPr>
          <w:instrText xml:space="preserve"> PAGEREF _Toc76121050 \h </w:instrText>
        </w:r>
        <w:r w:rsidR="00A74C64">
          <w:rPr>
            <w:noProof/>
            <w:webHidden/>
          </w:rPr>
        </w:r>
        <w:r w:rsidR="00A74C64">
          <w:rPr>
            <w:noProof/>
            <w:webHidden/>
          </w:rPr>
          <w:fldChar w:fldCharType="separate"/>
        </w:r>
        <w:r w:rsidR="00A74C64">
          <w:rPr>
            <w:noProof/>
            <w:webHidden/>
          </w:rPr>
          <w:t>12</w:t>
        </w:r>
        <w:r w:rsidR="00A74C64">
          <w:rPr>
            <w:noProof/>
            <w:webHidden/>
          </w:rPr>
          <w:fldChar w:fldCharType="end"/>
        </w:r>
      </w:hyperlink>
    </w:p>
    <w:p w14:paraId="0E203958" w14:textId="6530D2B5" w:rsidR="00A74C64" w:rsidRDefault="00DB1658">
      <w:pPr>
        <w:pStyle w:val="TOC2"/>
        <w:tabs>
          <w:tab w:val="left" w:pos="522"/>
          <w:tab w:val="right" w:leader="dot" w:pos="9350"/>
        </w:tabs>
        <w:rPr>
          <w:rFonts w:cstheme="minorBidi"/>
          <w:b w:val="0"/>
          <w:bCs w:val="0"/>
          <w:smallCaps w:val="0"/>
          <w:noProof/>
          <w:sz w:val="24"/>
          <w:szCs w:val="24"/>
        </w:rPr>
      </w:pPr>
      <w:hyperlink w:anchor="_Toc76121051" w:history="1">
        <w:r w:rsidR="00A74C64" w:rsidRPr="00BE4975">
          <w:rPr>
            <w:rStyle w:val="Hyperlink"/>
            <w:noProof/>
          </w:rPr>
          <w:t>3.5</w:t>
        </w:r>
        <w:r w:rsidR="00A74C64">
          <w:rPr>
            <w:rFonts w:cstheme="minorBidi"/>
            <w:b w:val="0"/>
            <w:bCs w:val="0"/>
            <w:smallCaps w:val="0"/>
            <w:noProof/>
            <w:sz w:val="24"/>
            <w:szCs w:val="24"/>
          </w:rPr>
          <w:tab/>
        </w:r>
        <w:r w:rsidR="00A74C64" w:rsidRPr="00BE4975">
          <w:rPr>
            <w:rStyle w:val="Hyperlink"/>
            <w:noProof/>
          </w:rPr>
          <w:t>ZIP Code-Level Aggregation</w:t>
        </w:r>
        <w:r w:rsidR="00A74C64">
          <w:rPr>
            <w:noProof/>
            <w:webHidden/>
          </w:rPr>
          <w:tab/>
        </w:r>
        <w:r w:rsidR="00A74C64">
          <w:rPr>
            <w:noProof/>
            <w:webHidden/>
          </w:rPr>
          <w:fldChar w:fldCharType="begin"/>
        </w:r>
        <w:r w:rsidR="00A74C64">
          <w:rPr>
            <w:noProof/>
            <w:webHidden/>
          </w:rPr>
          <w:instrText xml:space="preserve"> PAGEREF _Toc76121051 \h </w:instrText>
        </w:r>
        <w:r w:rsidR="00A74C64">
          <w:rPr>
            <w:noProof/>
            <w:webHidden/>
          </w:rPr>
        </w:r>
        <w:r w:rsidR="00A74C64">
          <w:rPr>
            <w:noProof/>
            <w:webHidden/>
          </w:rPr>
          <w:fldChar w:fldCharType="separate"/>
        </w:r>
        <w:r w:rsidR="00A74C64">
          <w:rPr>
            <w:noProof/>
            <w:webHidden/>
          </w:rPr>
          <w:t>13</w:t>
        </w:r>
        <w:r w:rsidR="00A74C64">
          <w:rPr>
            <w:noProof/>
            <w:webHidden/>
          </w:rPr>
          <w:fldChar w:fldCharType="end"/>
        </w:r>
      </w:hyperlink>
    </w:p>
    <w:p w14:paraId="05449381" w14:textId="420A385C" w:rsidR="00A74C64" w:rsidRDefault="00DB1658">
      <w:pPr>
        <w:pStyle w:val="TOC1"/>
        <w:tabs>
          <w:tab w:val="left" w:pos="352"/>
          <w:tab w:val="right" w:leader="dot" w:pos="9350"/>
        </w:tabs>
        <w:rPr>
          <w:rFonts w:cstheme="minorBidi"/>
          <w:b w:val="0"/>
          <w:bCs w:val="0"/>
          <w:caps w:val="0"/>
          <w:noProof/>
          <w:sz w:val="24"/>
          <w:szCs w:val="24"/>
          <w:u w:val="none"/>
        </w:rPr>
      </w:pPr>
      <w:hyperlink w:anchor="_Toc76121052" w:history="1">
        <w:r w:rsidR="00A74C64" w:rsidRPr="00BE4975">
          <w:rPr>
            <w:rStyle w:val="Hyperlink"/>
            <w:noProof/>
          </w:rPr>
          <w:t>4</w:t>
        </w:r>
        <w:r w:rsidR="00A74C64">
          <w:rPr>
            <w:rFonts w:cstheme="minorBidi"/>
            <w:b w:val="0"/>
            <w:bCs w:val="0"/>
            <w:caps w:val="0"/>
            <w:noProof/>
            <w:sz w:val="24"/>
            <w:szCs w:val="24"/>
            <w:u w:val="none"/>
          </w:rPr>
          <w:tab/>
        </w:r>
        <w:r w:rsidR="00A74C64" w:rsidRPr="00BE4975">
          <w:rPr>
            <w:rStyle w:val="Hyperlink"/>
            <w:noProof/>
          </w:rPr>
          <w:t>SMB Data Overview</w:t>
        </w:r>
        <w:r w:rsidR="00A74C64">
          <w:rPr>
            <w:noProof/>
            <w:webHidden/>
          </w:rPr>
          <w:tab/>
        </w:r>
        <w:r w:rsidR="00A74C64">
          <w:rPr>
            <w:noProof/>
            <w:webHidden/>
          </w:rPr>
          <w:fldChar w:fldCharType="begin"/>
        </w:r>
        <w:r w:rsidR="00A74C64">
          <w:rPr>
            <w:noProof/>
            <w:webHidden/>
          </w:rPr>
          <w:instrText xml:space="preserve"> PAGEREF _Toc76121052 \h </w:instrText>
        </w:r>
        <w:r w:rsidR="00A74C64">
          <w:rPr>
            <w:noProof/>
            <w:webHidden/>
          </w:rPr>
        </w:r>
        <w:r w:rsidR="00A74C64">
          <w:rPr>
            <w:noProof/>
            <w:webHidden/>
          </w:rPr>
          <w:fldChar w:fldCharType="separate"/>
        </w:r>
        <w:r w:rsidR="00A74C64">
          <w:rPr>
            <w:noProof/>
            <w:webHidden/>
          </w:rPr>
          <w:t>14</w:t>
        </w:r>
        <w:r w:rsidR="00A74C64">
          <w:rPr>
            <w:noProof/>
            <w:webHidden/>
          </w:rPr>
          <w:fldChar w:fldCharType="end"/>
        </w:r>
      </w:hyperlink>
    </w:p>
    <w:p w14:paraId="32DB679F" w14:textId="0E8B1821" w:rsidR="00A74C64" w:rsidRDefault="00DB1658">
      <w:pPr>
        <w:pStyle w:val="TOC1"/>
        <w:tabs>
          <w:tab w:val="left" w:pos="352"/>
          <w:tab w:val="right" w:leader="dot" w:pos="9350"/>
        </w:tabs>
        <w:rPr>
          <w:rFonts w:cstheme="minorBidi"/>
          <w:b w:val="0"/>
          <w:bCs w:val="0"/>
          <w:caps w:val="0"/>
          <w:noProof/>
          <w:sz w:val="24"/>
          <w:szCs w:val="24"/>
          <w:u w:val="none"/>
        </w:rPr>
      </w:pPr>
      <w:hyperlink w:anchor="_Toc76121053" w:history="1">
        <w:r w:rsidR="00A74C64" w:rsidRPr="00BE4975">
          <w:rPr>
            <w:rStyle w:val="Hyperlink"/>
            <w:noProof/>
          </w:rPr>
          <w:t>5</w:t>
        </w:r>
        <w:r w:rsidR="00A74C64">
          <w:rPr>
            <w:rFonts w:cstheme="minorBidi"/>
            <w:b w:val="0"/>
            <w:bCs w:val="0"/>
            <w:caps w:val="0"/>
            <w:noProof/>
            <w:sz w:val="24"/>
            <w:szCs w:val="24"/>
            <w:u w:val="none"/>
          </w:rPr>
          <w:tab/>
        </w:r>
        <w:r w:rsidR="00A74C64" w:rsidRPr="00BE4975">
          <w:rPr>
            <w:rStyle w:val="Hyperlink"/>
            <w:noProof/>
          </w:rPr>
          <w:t>Site Penetration</w:t>
        </w:r>
        <w:r w:rsidR="00A74C64">
          <w:rPr>
            <w:noProof/>
            <w:webHidden/>
          </w:rPr>
          <w:tab/>
        </w:r>
        <w:r w:rsidR="00A74C64">
          <w:rPr>
            <w:noProof/>
            <w:webHidden/>
          </w:rPr>
          <w:fldChar w:fldCharType="begin"/>
        </w:r>
        <w:r w:rsidR="00A74C64">
          <w:rPr>
            <w:noProof/>
            <w:webHidden/>
          </w:rPr>
          <w:instrText xml:space="preserve"> PAGEREF _Toc76121053 \h </w:instrText>
        </w:r>
        <w:r w:rsidR="00A74C64">
          <w:rPr>
            <w:noProof/>
            <w:webHidden/>
          </w:rPr>
        </w:r>
        <w:r w:rsidR="00A74C64">
          <w:rPr>
            <w:noProof/>
            <w:webHidden/>
          </w:rPr>
          <w:fldChar w:fldCharType="separate"/>
        </w:r>
        <w:r w:rsidR="00A74C64">
          <w:rPr>
            <w:noProof/>
            <w:webHidden/>
          </w:rPr>
          <w:t>16</w:t>
        </w:r>
        <w:r w:rsidR="00A74C64">
          <w:rPr>
            <w:noProof/>
            <w:webHidden/>
          </w:rPr>
          <w:fldChar w:fldCharType="end"/>
        </w:r>
      </w:hyperlink>
    </w:p>
    <w:p w14:paraId="26231B9A" w14:textId="3D625B7D" w:rsidR="00A74C64" w:rsidRDefault="00DB1658">
      <w:pPr>
        <w:pStyle w:val="TOC2"/>
        <w:tabs>
          <w:tab w:val="left" w:pos="522"/>
          <w:tab w:val="right" w:leader="dot" w:pos="9350"/>
        </w:tabs>
        <w:rPr>
          <w:rFonts w:cstheme="minorBidi"/>
          <w:b w:val="0"/>
          <w:bCs w:val="0"/>
          <w:smallCaps w:val="0"/>
          <w:noProof/>
          <w:sz w:val="24"/>
          <w:szCs w:val="24"/>
        </w:rPr>
      </w:pPr>
      <w:hyperlink w:anchor="_Toc76121054" w:history="1">
        <w:r w:rsidR="00A74C64" w:rsidRPr="00BE4975">
          <w:rPr>
            <w:rStyle w:val="Hyperlink"/>
            <w:noProof/>
          </w:rPr>
          <w:t>5.1</w:t>
        </w:r>
        <w:r w:rsidR="00A74C64">
          <w:rPr>
            <w:rFonts w:cstheme="minorBidi"/>
            <w:b w:val="0"/>
            <w:bCs w:val="0"/>
            <w:smallCaps w:val="0"/>
            <w:noProof/>
            <w:sz w:val="24"/>
            <w:szCs w:val="24"/>
          </w:rPr>
          <w:tab/>
        </w:r>
        <w:r w:rsidR="00A74C64" w:rsidRPr="00BE4975">
          <w:rPr>
            <w:rStyle w:val="Hyperlink"/>
            <w:noProof/>
          </w:rPr>
          <w:t>Firm Size</w:t>
        </w:r>
        <w:r w:rsidR="00A74C64">
          <w:rPr>
            <w:noProof/>
            <w:webHidden/>
          </w:rPr>
          <w:tab/>
        </w:r>
        <w:r w:rsidR="00A74C64">
          <w:rPr>
            <w:noProof/>
            <w:webHidden/>
          </w:rPr>
          <w:fldChar w:fldCharType="begin"/>
        </w:r>
        <w:r w:rsidR="00A74C64">
          <w:rPr>
            <w:noProof/>
            <w:webHidden/>
          </w:rPr>
          <w:instrText xml:space="preserve"> PAGEREF _Toc76121054 \h </w:instrText>
        </w:r>
        <w:r w:rsidR="00A74C64">
          <w:rPr>
            <w:noProof/>
            <w:webHidden/>
          </w:rPr>
        </w:r>
        <w:r w:rsidR="00A74C64">
          <w:rPr>
            <w:noProof/>
            <w:webHidden/>
          </w:rPr>
          <w:fldChar w:fldCharType="separate"/>
        </w:r>
        <w:r w:rsidR="00A74C64">
          <w:rPr>
            <w:noProof/>
            <w:webHidden/>
          </w:rPr>
          <w:t>16</w:t>
        </w:r>
        <w:r w:rsidR="00A74C64">
          <w:rPr>
            <w:noProof/>
            <w:webHidden/>
          </w:rPr>
          <w:fldChar w:fldCharType="end"/>
        </w:r>
      </w:hyperlink>
    </w:p>
    <w:p w14:paraId="2BE69872" w14:textId="32126853" w:rsidR="00A74C64" w:rsidRDefault="00DB1658">
      <w:pPr>
        <w:pStyle w:val="TOC2"/>
        <w:tabs>
          <w:tab w:val="left" w:pos="522"/>
          <w:tab w:val="right" w:leader="dot" w:pos="9350"/>
        </w:tabs>
        <w:rPr>
          <w:rFonts w:cstheme="minorBidi"/>
          <w:b w:val="0"/>
          <w:bCs w:val="0"/>
          <w:smallCaps w:val="0"/>
          <w:noProof/>
          <w:sz w:val="24"/>
          <w:szCs w:val="24"/>
        </w:rPr>
      </w:pPr>
      <w:hyperlink w:anchor="_Toc76121055" w:history="1">
        <w:r w:rsidR="00A74C64" w:rsidRPr="00BE4975">
          <w:rPr>
            <w:rStyle w:val="Hyperlink"/>
            <w:noProof/>
          </w:rPr>
          <w:t>5.2</w:t>
        </w:r>
        <w:r w:rsidR="00A74C64">
          <w:rPr>
            <w:rFonts w:cstheme="minorBidi"/>
            <w:b w:val="0"/>
            <w:bCs w:val="0"/>
            <w:smallCaps w:val="0"/>
            <w:noProof/>
            <w:sz w:val="24"/>
            <w:szCs w:val="24"/>
          </w:rPr>
          <w:tab/>
        </w:r>
        <w:r w:rsidR="00A74C64" w:rsidRPr="00BE4975">
          <w:rPr>
            <w:rStyle w:val="Hyperlink"/>
            <w:noProof/>
          </w:rPr>
          <w:t>Environmental and Social justice Factors</w:t>
        </w:r>
        <w:r w:rsidR="00A74C64">
          <w:rPr>
            <w:noProof/>
            <w:webHidden/>
          </w:rPr>
          <w:tab/>
        </w:r>
        <w:r w:rsidR="00A74C64">
          <w:rPr>
            <w:noProof/>
            <w:webHidden/>
          </w:rPr>
          <w:fldChar w:fldCharType="begin"/>
        </w:r>
        <w:r w:rsidR="00A74C64">
          <w:rPr>
            <w:noProof/>
            <w:webHidden/>
          </w:rPr>
          <w:instrText xml:space="preserve"> PAGEREF _Toc76121055 \h </w:instrText>
        </w:r>
        <w:r w:rsidR="00A74C64">
          <w:rPr>
            <w:noProof/>
            <w:webHidden/>
          </w:rPr>
        </w:r>
        <w:r w:rsidR="00A74C64">
          <w:rPr>
            <w:noProof/>
            <w:webHidden/>
          </w:rPr>
          <w:fldChar w:fldCharType="separate"/>
        </w:r>
        <w:r w:rsidR="00A74C64">
          <w:rPr>
            <w:noProof/>
            <w:webHidden/>
          </w:rPr>
          <w:t>19</w:t>
        </w:r>
        <w:r w:rsidR="00A74C64">
          <w:rPr>
            <w:noProof/>
            <w:webHidden/>
          </w:rPr>
          <w:fldChar w:fldCharType="end"/>
        </w:r>
      </w:hyperlink>
    </w:p>
    <w:p w14:paraId="48731B6A" w14:textId="2C7E3150" w:rsidR="00A74C64" w:rsidRDefault="00DB1658">
      <w:pPr>
        <w:pStyle w:val="TOC2"/>
        <w:tabs>
          <w:tab w:val="left" w:pos="522"/>
          <w:tab w:val="right" w:leader="dot" w:pos="9350"/>
        </w:tabs>
        <w:rPr>
          <w:rFonts w:cstheme="minorBidi"/>
          <w:b w:val="0"/>
          <w:bCs w:val="0"/>
          <w:smallCaps w:val="0"/>
          <w:noProof/>
          <w:sz w:val="24"/>
          <w:szCs w:val="24"/>
        </w:rPr>
      </w:pPr>
      <w:hyperlink w:anchor="_Toc76121056" w:history="1">
        <w:r w:rsidR="00A74C64" w:rsidRPr="00BE4975">
          <w:rPr>
            <w:rStyle w:val="Hyperlink"/>
            <w:noProof/>
          </w:rPr>
          <w:t>5.3</w:t>
        </w:r>
        <w:r w:rsidR="00A74C64">
          <w:rPr>
            <w:rFonts w:cstheme="minorBidi"/>
            <w:b w:val="0"/>
            <w:bCs w:val="0"/>
            <w:smallCaps w:val="0"/>
            <w:noProof/>
            <w:sz w:val="24"/>
            <w:szCs w:val="24"/>
          </w:rPr>
          <w:tab/>
        </w:r>
        <w:r w:rsidR="00A74C64" w:rsidRPr="00BE4975">
          <w:rPr>
            <w:rStyle w:val="Hyperlink"/>
            <w:noProof/>
          </w:rPr>
          <w:t>Density</w:t>
        </w:r>
        <w:r w:rsidR="00A74C64">
          <w:rPr>
            <w:noProof/>
            <w:webHidden/>
          </w:rPr>
          <w:tab/>
        </w:r>
        <w:r w:rsidR="00A74C64">
          <w:rPr>
            <w:noProof/>
            <w:webHidden/>
          </w:rPr>
          <w:fldChar w:fldCharType="begin"/>
        </w:r>
        <w:r w:rsidR="00A74C64">
          <w:rPr>
            <w:noProof/>
            <w:webHidden/>
          </w:rPr>
          <w:instrText xml:space="preserve"> PAGEREF _Toc76121056 \h </w:instrText>
        </w:r>
        <w:r w:rsidR="00A74C64">
          <w:rPr>
            <w:noProof/>
            <w:webHidden/>
          </w:rPr>
        </w:r>
        <w:r w:rsidR="00A74C64">
          <w:rPr>
            <w:noProof/>
            <w:webHidden/>
          </w:rPr>
          <w:fldChar w:fldCharType="separate"/>
        </w:r>
        <w:r w:rsidR="00A74C64">
          <w:rPr>
            <w:noProof/>
            <w:webHidden/>
          </w:rPr>
          <w:t>20</w:t>
        </w:r>
        <w:r w:rsidR="00A74C64">
          <w:rPr>
            <w:noProof/>
            <w:webHidden/>
          </w:rPr>
          <w:fldChar w:fldCharType="end"/>
        </w:r>
      </w:hyperlink>
    </w:p>
    <w:p w14:paraId="02EF8EB9" w14:textId="3F5426D2" w:rsidR="00A74C64" w:rsidRDefault="00DB1658">
      <w:pPr>
        <w:pStyle w:val="TOC2"/>
        <w:tabs>
          <w:tab w:val="left" w:pos="522"/>
          <w:tab w:val="right" w:leader="dot" w:pos="9350"/>
        </w:tabs>
        <w:rPr>
          <w:rFonts w:cstheme="minorBidi"/>
          <w:b w:val="0"/>
          <w:bCs w:val="0"/>
          <w:smallCaps w:val="0"/>
          <w:noProof/>
          <w:sz w:val="24"/>
          <w:szCs w:val="24"/>
        </w:rPr>
      </w:pPr>
      <w:hyperlink w:anchor="_Toc76121057" w:history="1">
        <w:r w:rsidR="00A74C64" w:rsidRPr="00BE4975">
          <w:rPr>
            <w:rStyle w:val="Hyperlink"/>
            <w:noProof/>
          </w:rPr>
          <w:t>5.4</w:t>
        </w:r>
        <w:r w:rsidR="00A74C64">
          <w:rPr>
            <w:rFonts w:cstheme="minorBidi"/>
            <w:b w:val="0"/>
            <w:bCs w:val="0"/>
            <w:smallCaps w:val="0"/>
            <w:noProof/>
            <w:sz w:val="24"/>
            <w:szCs w:val="24"/>
          </w:rPr>
          <w:tab/>
        </w:r>
        <w:r w:rsidR="00A74C64" w:rsidRPr="00BE4975">
          <w:rPr>
            <w:rStyle w:val="Hyperlink"/>
            <w:noProof/>
          </w:rPr>
          <w:t>Demographic Factors</w:t>
        </w:r>
        <w:r w:rsidR="00A74C64">
          <w:rPr>
            <w:noProof/>
            <w:webHidden/>
          </w:rPr>
          <w:tab/>
        </w:r>
        <w:r w:rsidR="00A74C64">
          <w:rPr>
            <w:noProof/>
            <w:webHidden/>
          </w:rPr>
          <w:fldChar w:fldCharType="begin"/>
        </w:r>
        <w:r w:rsidR="00A74C64">
          <w:rPr>
            <w:noProof/>
            <w:webHidden/>
          </w:rPr>
          <w:instrText xml:space="preserve"> PAGEREF _Toc76121057 \h </w:instrText>
        </w:r>
        <w:r w:rsidR="00A74C64">
          <w:rPr>
            <w:noProof/>
            <w:webHidden/>
          </w:rPr>
        </w:r>
        <w:r w:rsidR="00A74C64">
          <w:rPr>
            <w:noProof/>
            <w:webHidden/>
          </w:rPr>
          <w:fldChar w:fldCharType="separate"/>
        </w:r>
        <w:r w:rsidR="00A74C64">
          <w:rPr>
            <w:noProof/>
            <w:webHidden/>
          </w:rPr>
          <w:t>24</w:t>
        </w:r>
        <w:r w:rsidR="00A74C64">
          <w:rPr>
            <w:noProof/>
            <w:webHidden/>
          </w:rPr>
          <w:fldChar w:fldCharType="end"/>
        </w:r>
      </w:hyperlink>
    </w:p>
    <w:p w14:paraId="3B43012F" w14:textId="274729A2" w:rsidR="00A74C64" w:rsidRDefault="00DB1658">
      <w:pPr>
        <w:pStyle w:val="TOC2"/>
        <w:tabs>
          <w:tab w:val="left" w:pos="522"/>
          <w:tab w:val="right" w:leader="dot" w:pos="9350"/>
        </w:tabs>
        <w:rPr>
          <w:rFonts w:cstheme="minorBidi"/>
          <w:b w:val="0"/>
          <w:bCs w:val="0"/>
          <w:smallCaps w:val="0"/>
          <w:noProof/>
          <w:sz w:val="24"/>
          <w:szCs w:val="24"/>
        </w:rPr>
      </w:pPr>
      <w:hyperlink w:anchor="_Toc76121058" w:history="1">
        <w:r w:rsidR="00A74C64" w:rsidRPr="00BE4975">
          <w:rPr>
            <w:rStyle w:val="Hyperlink"/>
            <w:noProof/>
          </w:rPr>
          <w:t>5.5</w:t>
        </w:r>
        <w:r w:rsidR="00A74C64">
          <w:rPr>
            <w:rFonts w:cstheme="minorBidi"/>
            <w:b w:val="0"/>
            <w:bCs w:val="0"/>
            <w:smallCaps w:val="0"/>
            <w:noProof/>
            <w:sz w:val="24"/>
            <w:szCs w:val="24"/>
          </w:rPr>
          <w:tab/>
        </w:r>
        <w:r w:rsidR="00A74C64" w:rsidRPr="00BE4975">
          <w:rPr>
            <w:rStyle w:val="Hyperlink"/>
            <w:noProof/>
          </w:rPr>
          <w:t>Conclusions on Site Penetration</w:t>
        </w:r>
        <w:r w:rsidR="00A74C64">
          <w:rPr>
            <w:noProof/>
            <w:webHidden/>
          </w:rPr>
          <w:tab/>
        </w:r>
        <w:r w:rsidR="00A74C64">
          <w:rPr>
            <w:noProof/>
            <w:webHidden/>
          </w:rPr>
          <w:fldChar w:fldCharType="begin"/>
        </w:r>
        <w:r w:rsidR="00A74C64">
          <w:rPr>
            <w:noProof/>
            <w:webHidden/>
          </w:rPr>
          <w:instrText xml:space="preserve"> PAGEREF _Toc76121058 \h </w:instrText>
        </w:r>
        <w:r w:rsidR="00A74C64">
          <w:rPr>
            <w:noProof/>
            <w:webHidden/>
          </w:rPr>
        </w:r>
        <w:r w:rsidR="00A74C64">
          <w:rPr>
            <w:noProof/>
            <w:webHidden/>
          </w:rPr>
          <w:fldChar w:fldCharType="separate"/>
        </w:r>
        <w:r w:rsidR="00A74C64">
          <w:rPr>
            <w:noProof/>
            <w:webHidden/>
          </w:rPr>
          <w:t>26</w:t>
        </w:r>
        <w:r w:rsidR="00A74C64">
          <w:rPr>
            <w:noProof/>
            <w:webHidden/>
          </w:rPr>
          <w:fldChar w:fldCharType="end"/>
        </w:r>
      </w:hyperlink>
    </w:p>
    <w:p w14:paraId="149147D7" w14:textId="15670B8D" w:rsidR="00A74C64" w:rsidRDefault="00DB1658">
      <w:pPr>
        <w:pStyle w:val="TOC1"/>
        <w:tabs>
          <w:tab w:val="left" w:pos="352"/>
          <w:tab w:val="right" w:leader="dot" w:pos="9350"/>
        </w:tabs>
        <w:rPr>
          <w:rFonts w:cstheme="minorBidi"/>
          <w:b w:val="0"/>
          <w:bCs w:val="0"/>
          <w:caps w:val="0"/>
          <w:noProof/>
          <w:sz w:val="24"/>
          <w:szCs w:val="24"/>
          <w:u w:val="none"/>
        </w:rPr>
      </w:pPr>
      <w:hyperlink w:anchor="_Toc76121059" w:history="1">
        <w:r w:rsidR="00A74C64" w:rsidRPr="00BE4975">
          <w:rPr>
            <w:rStyle w:val="Hyperlink"/>
            <w:noProof/>
          </w:rPr>
          <w:t>6</w:t>
        </w:r>
        <w:r w:rsidR="00A74C64">
          <w:rPr>
            <w:rFonts w:cstheme="minorBidi"/>
            <w:b w:val="0"/>
            <w:bCs w:val="0"/>
            <w:caps w:val="0"/>
            <w:noProof/>
            <w:sz w:val="24"/>
            <w:szCs w:val="24"/>
            <w:u w:val="none"/>
          </w:rPr>
          <w:tab/>
        </w:r>
        <w:r w:rsidR="00A74C64" w:rsidRPr="00BE4975">
          <w:rPr>
            <w:rStyle w:val="Hyperlink"/>
            <w:noProof/>
          </w:rPr>
          <w:t>Extension to Other Outcomes</w:t>
        </w:r>
        <w:r w:rsidR="00A74C64">
          <w:rPr>
            <w:noProof/>
            <w:webHidden/>
          </w:rPr>
          <w:tab/>
        </w:r>
        <w:r w:rsidR="00A74C64">
          <w:rPr>
            <w:noProof/>
            <w:webHidden/>
          </w:rPr>
          <w:fldChar w:fldCharType="begin"/>
        </w:r>
        <w:r w:rsidR="00A74C64">
          <w:rPr>
            <w:noProof/>
            <w:webHidden/>
          </w:rPr>
          <w:instrText xml:space="preserve"> PAGEREF _Toc76121059 \h </w:instrText>
        </w:r>
        <w:r w:rsidR="00A74C64">
          <w:rPr>
            <w:noProof/>
            <w:webHidden/>
          </w:rPr>
        </w:r>
        <w:r w:rsidR="00A74C64">
          <w:rPr>
            <w:noProof/>
            <w:webHidden/>
          </w:rPr>
          <w:fldChar w:fldCharType="separate"/>
        </w:r>
        <w:r w:rsidR="00A74C64">
          <w:rPr>
            <w:noProof/>
            <w:webHidden/>
          </w:rPr>
          <w:t>27</w:t>
        </w:r>
        <w:r w:rsidR="00A74C64">
          <w:rPr>
            <w:noProof/>
            <w:webHidden/>
          </w:rPr>
          <w:fldChar w:fldCharType="end"/>
        </w:r>
      </w:hyperlink>
    </w:p>
    <w:p w14:paraId="247DAC78" w14:textId="5C8C9793" w:rsidR="00A74C64" w:rsidRDefault="00DB1658">
      <w:pPr>
        <w:pStyle w:val="TOC2"/>
        <w:tabs>
          <w:tab w:val="left" w:pos="522"/>
          <w:tab w:val="right" w:leader="dot" w:pos="9350"/>
        </w:tabs>
        <w:rPr>
          <w:rFonts w:cstheme="minorBidi"/>
          <w:b w:val="0"/>
          <w:bCs w:val="0"/>
          <w:smallCaps w:val="0"/>
          <w:noProof/>
          <w:sz w:val="24"/>
          <w:szCs w:val="24"/>
        </w:rPr>
      </w:pPr>
      <w:hyperlink w:anchor="_Toc76121060" w:history="1">
        <w:r w:rsidR="00A74C64" w:rsidRPr="00BE4975">
          <w:rPr>
            <w:rStyle w:val="Hyperlink"/>
            <w:noProof/>
          </w:rPr>
          <w:t>6.1</w:t>
        </w:r>
        <w:r w:rsidR="00A74C64">
          <w:rPr>
            <w:rFonts w:cstheme="minorBidi"/>
            <w:b w:val="0"/>
            <w:bCs w:val="0"/>
            <w:smallCaps w:val="0"/>
            <w:noProof/>
            <w:sz w:val="24"/>
            <w:szCs w:val="24"/>
          </w:rPr>
          <w:tab/>
        </w:r>
        <w:r w:rsidR="00A74C64" w:rsidRPr="00BE4975">
          <w:rPr>
            <w:rStyle w:val="Hyperlink"/>
            <w:noProof/>
          </w:rPr>
          <w:t>Savings</w:t>
        </w:r>
        <w:r w:rsidR="00A74C64">
          <w:rPr>
            <w:noProof/>
            <w:webHidden/>
          </w:rPr>
          <w:tab/>
        </w:r>
        <w:r w:rsidR="00A74C64">
          <w:rPr>
            <w:noProof/>
            <w:webHidden/>
          </w:rPr>
          <w:fldChar w:fldCharType="begin"/>
        </w:r>
        <w:r w:rsidR="00A74C64">
          <w:rPr>
            <w:noProof/>
            <w:webHidden/>
          </w:rPr>
          <w:instrText xml:space="preserve"> PAGEREF _Toc76121060 \h </w:instrText>
        </w:r>
        <w:r w:rsidR="00A74C64">
          <w:rPr>
            <w:noProof/>
            <w:webHidden/>
          </w:rPr>
        </w:r>
        <w:r w:rsidR="00A74C64">
          <w:rPr>
            <w:noProof/>
            <w:webHidden/>
          </w:rPr>
          <w:fldChar w:fldCharType="separate"/>
        </w:r>
        <w:r w:rsidR="00A74C64">
          <w:rPr>
            <w:noProof/>
            <w:webHidden/>
          </w:rPr>
          <w:t>27</w:t>
        </w:r>
        <w:r w:rsidR="00A74C64">
          <w:rPr>
            <w:noProof/>
            <w:webHidden/>
          </w:rPr>
          <w:fldChar w:fldCharType="end"/>
        </w:r>
      </w:hyperlink>
    </w:p>
    <w:p w14:paraId="382C2094" w14:textId="0C760DD5" w:rsidR="00A74C64" w:rsidRDefault="00DB1658">
      <w:pPr>
        <w:pStyle w:val="TOC2"/>
        <w:tabs>
          <w:tab w:val="left" w:pos="522"/>
          <w:tab w:val="right" w:leader="dot" w:pos="9350"/>
        </w:tabs>
        <w:rPr>
          <w:rFonts w:cstheme="minorBidi"/>
          <w:b w:val="0"/>
          <w:bCs w:val="0"/>
          <w:smallCaps w:val="0"/>
          <w:noProof/>
          <w:sz w:val="24"/>
          <w:szCs w:val="24"/>
        </w:rPr>
      </w:pPr>
      <w:hyperlink w:anchor="_Toc76121065" w:history="1">
        <w:r w:rsidR="00A74C64" w:rsidRPr="00BE4975">
          <w:rPr>
            <w:rStyle w:val="Hyperlink"/>
            <w:noProof/>
          </w:rPr>
          <w:t>6.2</w:t>
        </w:r>
        <w:r w:rsidR="00A74C64">
          <w:rPr>
            <w:rFonts w:cstheme="minorBidi"/>
            <w:b w:val="0"/>
            <w:bCs w:val="0"/>
            <w:smallCaps w:val="0"/>
            <w:noProof/>
            <w:sz w:val="24"/>
            <w:szCs w:val="24"/>
          </w:rPr>
          <w:tab/>
        </w:r>
        <w:r w:rsidR="00A74C64" w:rsidRPr="00BE4975">
          <w:rPr>
            <w:rStyle w:val="Hyperlink"/>
            <w:noProof/>
          </w:rPr>
          <w:t>Investment</w:t>
        </w:r>
        <w:r w:rsidR="00A74C64">
          <w:rPr>
            <w:noProof/>
            <w:webHidden/>
          </w:rPr>
          <w:tab/>
        </w:r>
        <w:r w:rsidR="00A74C64">
          <w:rPr>
            <w:noProof/>
            <w:webHidden/>
          </w:rPr>
          <w:fldChar w:fldCharType="begin"/>
        </w:r>
        <w:r w:rsidR="00A74C64">
          <w:rPr>
            <w:noProof/>
            <w:webHidden/>
          </w:rPr>
          <w:instrText xml:space="preserve"> PAGEREF _Toc76121065 \h </w:instrText>
        </w:r>
        <w:r w:rsidR="00A74C64">
          <w:rPr>
            <w:noProof/>
            <w:webHidden/>
          </w:rPr>
        </w:r>
        <w:r w:rsidR="00A74C64">
          <w:rPr>
            <w:noProof/>
            <w:webHidden/>
          </w:rPr>
          <w:fldChar w:fldCharType="separate"/>
        </w:r>
        <w:r w:rsidR="00A74C64">
          <w:rPr>
            <w:noProof/>
            <w:webHidden/>
          </w:rPr>
          <w:t>28</w:t>
        </w:r>
        <w:r w:rsidR="00A74C64">
          <w:rPr>
            <w:noProof/>
            <w:webHidden/>
          </w:rPr>
          <w:fldChar w:fldCharType="end"/>
        </w:r>
      </w:hyperlink>
    </w:p>
    <w:p w14:paraId="67E6AD1E" w14:textId="625D3BD9" w:rsidR="00A74C64" w:rsidRDefault="00DB1658">
      <w:pPr>
        <w:pStyle w:val="TOC2"/>
        <w:tabs>
          <w:tab w:val="left" w:pos="522"/>
          <w:tab w:val="right" w:leader="dot" w:pos="9350"/>
        </w:tabs>
        <w:rPr>
          <w:rFonts w:cstheme="minorBidi"/>
          <w:b w:val="0"/>
          <w:bCs w:val="0"/>
          <w:smallCaps w:val="0"/>
          <w:noProof/>
          <w:sz w:val="24"/>
          <w:szCs w:val="24"/>
        </w:rPr>
      </w:pPr>
      <w:hyperlink w:anchor="_Toc76121070" w:history="1">
        <w:r w:rsidR="00A74C64" w:rsidRPr="00BE4975">
          <w:rPr>
            <w:rStyle w:val="Hyperlink"/>
            <w:noProof/>
          </w:rPr>
          <w:t>6.3</w:t>
        </w:r>
        <w:r w:rsidR="00A74C64">
          <w:rPr>
            <w:rFonts w:cstheme="minorBidi"/>
            <w:b w:val="0"/>
            <w:bCs w:val="0"/>
            <w:smallCaps w:val="0"/>
            <w:noProof/>
            <w:sz w:val="24"/>
            <w:szCs w:val="24"/>
          </w:rPr>
          <w:tab/>
        </w:r>
        <w:r w:rsidR="00A74C64" w:rsidRPr="00BE4975">
          <w:rPr>
            <w:rStyle w:val="Hyperlink"/>
            <w:noProof/>
          </w:rPr>
          <w:t>County Level Rurality</w:t>
        </w:r>
        <w:r w:rsidR="00A74C64">
          <w:rPr>
            <w:noProof/>
            <w:webHidden/>
          </w:rPr>
          <w:tab/>
        </w:r>
        <w:r w:rsidR="00A74C64">
          <w:rPr>
            <w:noProof/>
            <w:webHidden/>
          </w:rPr>
          <w:fldChar w:fldCharType="begin"/>
        </w:r>
        <w:r w:rsidR="00A74C64">
          <w:rPr>
            <w:noProof/>
            <w:webHidden/>
          </w:rPr>
          <w:instrText xml:space="preserve"> PAGEREF _Toc76121070 \h </w:instrText>
        </w:r>
        <w:r w:rsidR="00A74C64">
          <w:rPr>
            <w:noProof/>
            <w:webHidden/>
          </w:rPr>
        </w:r>
        <w:r w:rsidR="00A74C64">
          <w:rPr>
            <w:noProof/>
            <w:webHidden/>
          </w:rPr>
          <w:fldChar w:fldCharType="separate"/>
        </w:r>
        <w:r w:rsidR="00A74C64">
          <w:rPr>
            <w:noProof/>
            <w:webHidden/>
          </w:rPr>
          <w:t>30</w:t>
        </w:r>
        <w:r w:rsidR="00A74C64">
          <w:rPr>
            <w:noProof/>
            <w:webHidden/>
          </w:rPr>
          <w:fldChar w:fldCharType="end"/>
        </w:r>
      </w:hyperlink>
    </w:p>
    <w:p w14:paraId="178C540F" w14:textId="5E56CE14" w:rsidR="00A74C64" w:rsidRDefault="00DB1658">
      <w:pPr>
        <w:pStyle w:val="TOC1"/>
        <w:tabs>
          <w:tab w:val="left" w:pos="352"/>
          <w:tab w:val="right" w:leader="dot" w:pos="9350"/>
        </w:tabs>
        <w:rPr>
          <w:rFonts w:cstheme="minorBidi"/>
          <w:b w:val="0"/>
          <w:bCs w:val="0"/>
          <w:caps w:val="0"/>
          <w:noProof/>
          <w:sz w:val="24"/>
          <w:szCs w:val="24"/>
          <w:u w:val="none"/>
        </w:rPr>
      </w:pPr>
      <w:hyperlink w:anchor="_Toc76121071" w:history="1">
        <w:r w:rsidR="00A74C64" w:rsidRPr="00BE4975">
          <w:rPr>
            <w:rStyle w:val="Hyperlink"/>
            <w:noProof/>
          </w:rPr>
          <w:t>7</w:t>
        </w:r>
        <w:r w:rsidR="00A74C64">
          <w:rPr>
            <w:rFonts w:cstheme="minorBidi"/>
            <w:b w:val="0"/>
            <w:bCs w:val="0"/>
            <w:caps w:val="0"/>
            <w:noProof/>
            <w:sz w:val="24"/>
            <w:szCs w:val="24"/>
            <w:u w:val="none"/>
          </w:rPr>
          <w:tab/>
        </w:r>
        <w:r w:rsidR="00A74C64" w:rsidRPr="00BE4975">
          <w:rPr>
            <w:rStyle w:val="Hyperlink"/>
            <w:noProof/>
          </w:rPr>
          <w:t>Conclusions</w:t>
        </w:r>
        <w:r w:rsidR="00A74C64">
          <w:rPr>
            <w:noProof/>
            <w:webHidden/>
          </w:rPr>
          <w:tab/>
        </w:r>
        <w:r w:rsidR="00A74C64">
          <w:rPr>
            <w:noProof/>
            <w:webHidden/>
          </w:rPr>
          <w:fldChar w:fldCharType="begin"/>
        </w:r>
        <w:r w:rsidR="00A74C64">
          <w:rPr>
            <w:noProof/>
            <w:webHidden/>
          </w:rPr>
          <w:instrText xml:space="preserve"> PAGEREF _Toc76121071 \h </w:instrText>
        </w:r>
        <w:r w:rsidR="00A74C64">
          <w:rPr>
            <w:noProof/>
            <w:webHidden/>
          </w:rPr>
        </w:r>
        <w:r w:rsidR="00A74C64">
          <w:rPr>
            <w:noProof/>
            <w:webHidden/>
          </w:rPr>
          <w:fldChar w:fldCharType="separate"/>
        </w:r>
        <w:r w:rsidR="00A74C64">
          <w:rPr>
            <w:noProof/>
            <w:webHidden/>
          </w:rPr>
          <w:t>31</w:t>
        </w:r>
        <w:r w:rsidR="00A74C64">
          <w:rPr>
            <w:noProof/>
            <w:webHidden/>
          </w:rPr>
          <w:fldChar w:fldCharType="end"/>
        </w:r>
      </w:hyperlink>
    </w:p>
    <w:p w14:paraId="7D817619" w14:textId="2D6B8A6F" w:rsidR="00A74C64" w:rsidRDefault="00DB1658">
      <w:pPr>
        <w:pStyle w:val="TOC1"/>
        <w:tabs>
          <w:tab w:val="left" w:pos="352"/>
          <w:tab w:val="right" w:leader="dot" w:pos="9350"/>
        </w:tabs>
        <w:rPr>
          <w:rFonts w:cstheme="minorBidi"/>
          <w:b w:val="0"/>
          <w:bCs w:val="0"/>
          <w:caps w:val="0"/>
          <w:noProof/>
          <w:sz w:val="24"/>
          <w:szCs w:val="24"/>
          <w:u w:val="none"/>
        </w:rPr>
      </w:pPr>
      <w:hyperlink w:anchor="_Toc76121072" w:history="1">
        <w:r w:rsidR="00A74C64" w:rsidRPr="00BE4975">
          <w:rPr>
            <w:rStyle w:val="Hyperlink"/>
            <w:noProof/>
          </w:rPr>
          <w:t>8</w:t>
        </w:r>
        <w:r w:rsidR="00A74C64">
          <w:rPr>
            <w:rFonts w:cstheme="minorBidi"/>
            <w:b w:val="0"/>
            <w:bCs w:val="0"/>
            <w:caps w:val="0"/>
            <w:noProof/>
            <w:sz w:val="24"/>
            <w:szCs w:val="24"/>
            <w:u w:val="none"/>
          </w:rPr>
          <w:tab/>
        </w:r>
        <w:r w:rsidR="00A74C64" w:rsidRPr="00BE4975">
          <w:rPr>
            <w:rStyle w:val="Hyperlink"/>
            <w:noProof/>
          </w:rPr>
          <w:t>Appendices</w:t>
        </w:r>
        <w:r w:rsidR="00A74C64">
          <w:rPr>
            <w:noProof/>
            <w:webHidden/>
          </w:rPr>
          <w:tab/>
        </w:r>
        <w:r w:rsidR="00A74C64">
          <w:rPr>
            <w:noProof/>
            <w:webHidden/>
          </w:rPr>
          <w:fldChar w:fldCharType="begin"/>
        </w:r>
        <w:r w:rsidR="00A74C64">
          <w:rPr>
            <w:noProof/>
            <w:webHidden/>
          </w:rPr>
          <w:instrText xml:space="preserve"> PAGEREF _Toc76121072 \h </w:instrText>
        </w:r>
        <w:r w:rsidR="00A74C64">
          <w:rPr>
            <w:noProof/>
            <w:webHidden/>
          </w:rPr>
        </w:r>
        <w:r w:rsidR="00A74C64">
          <w:rPr>
            <w:noProof/>
            <w:webHidden/>
          </w:rPr>
          <w:fldChar w:fldCharType="separate"/>
        </w:r>
        <w:r w:rsidR="00A74C64">
          <w:rPr>
            <w:noProof/>
            <w:webHidden/>
          </w:rPr>
          <w:t>1</w:t>
        </w:r>
        <w:r w:rsidR="00A74C64">
          <w:rPr>
            <w:noProof/>
            <w:webHidden/>
          </w:rPr>
          <w:fldChar w:fldCharType="end"/>
        </w:r>
      </w:hyperlink>
    </w:p>
    <w:p w14:paraId="6A9C9531" w14:textId="46E6D9B0" w:rsidR="00A74C64" w:rsidRDefault="00DB1658">
      <w:pPr>
        <w:pStyle w:val="TOC2"/>
        <w:tabs>
          <w:tab w:val="left" w:pos="522"/>
          <w:tab w:val="right" w:leader="dot" w:pos="9350"/>
        </w:tabs>
        <w:rPr>
          <w:rFonts w:cstheme="minorBidi"/>
          <w:b w:val="0"/>
          <w:bCs w:val="0"/>
          <w:smallCaps w:val="0"/>
          <w:noProof/>
          <w:sz w:val="24"/>
          <w:szCs w:val="24"/>
        </w:rPr>
      </w:pPr>
      <w:hyperlink w:anchor="_Toc76121073" w:history="1">
        <w:r w:rsidR="00A74C64" w:rsidRPr="00BE4975">
          <w:rPr>
            <w:rStyle w:val="Hyperlink"/>
            <w:noProof/>
          </w:rPr>
          <w:t>8.1</w:t>
        </w:r>
        <w:r w:rsidR="00A74C64">
          <w:rPr>
            <w:rFonts w:cstheme="minorBidi"/>
            <w:b w:val="0"/>
            <w:bCs w:val="0"/>
            <w:smallCaps w:val="0"/>
            <w:noProof/>
            <w:sz w:val="24"/>
            <w:szCs w:val="24"/>
          </w:rPr>
          <w:tab/>
        </w:r>
        <w:r w:rsidR="00A74C64" w:rsidRPr="00BE4975">
          <w:rPr>
            <w:rStyle w:val="Hyperlink"/>
            <w:noProof/>
          </w:rPr>
          <w:t>Sources</w:t>
        </w:r>
        <w:r w:rsidR="00A74C64">
          <w:rPr>
            <w:noProof/>
            <w:webHidden/>
          </w:rPr>
          <w:tab/>
        </w:r>
        <w:r w:rsidR="00A74C64">
          <w:rPr>
            <w:noProof/>
            <w:webHidden/>
          </w:rPr>
          <w:fldChar w:fldCharType="begin"/>
        </w:r>
        <w:r w:rsidR="00A74C64">
          <w:rPr>
            <w:noProof/>
            <w:webHidden/>
          </w:rPr>
          <w:instrText xml:space="preserve"> PAGEREF _Toc76121073 \h </w:instrText>
        </w:r>
        <w:r w:rsidR="00A74C64">
          <w:rPr>
            <w:noProof/>
            <w:webHidden/>
          </w:rPr>
        </w:r>
        <w:r w:rsidR="00A74C64">
          <w:rPr>
            <w:noProof/>
            <w:webHidden/>
          </w:rPr>
          <w:fldChar w:fldCharType="separate"/>
        </w:r>
        <w:r w:rsidR="00A74C64">
          <w:rPr>
            <w:noProof/>
            <w:webHidden/>
          </w:rPr>
          <w:t>1</w:t>
        </w:r>
        <w:r w:rsidR="00A74C64">
          <w:rPr>
            <w:noProof/>
            <w:webHidden/>
          </w:rPr>
          <w:fldChar w:fldCharType="end"/>
        </w:r>
      </w:hyperlink>
    </w:p>
    <w:p w14:paraId="1414593D" w14:textId="29B3132F" w:rsidR="00A74C64" w:rsidRDefault="00DB1658">
      <w:pPr>
        <w:pStyle w:val="TOC2"/>
        <w:tabs>
          <w:tab w:val="left" w:pos="522"/>
          <w:tab w:val="right" w:leader="dot" w:pos="9350"/>
        </w:tabs>
        <w:rPr>
          <w:rFonts w:cstheme="minorBidi"/>
          <w:b w:val="0"/>
          <w:bCs w:val="0"/>
          <w:smallCaps w:val="0"/>
          <w:noProof/>
          <w:sz w:val="24"/>
          <w:szCs w:val="24"/>
        </w:rPr>
      </w:pPr>
      <w:hyperlink w:anchor="_Toc76121074" w:history="1">
        <w:r w:rsidR="00A74C64" w:rsidRPr="00BE4975">
          <w:rPr>
            <w:rStyle w:val="Hyperlink"/>
            <w:noProof/>
          </w:rPr>
          <w:t>8.2</w:t>
        </w:r>
        <w:r w:rsidR="00A74C64">
          <w:rPr>
            <w:rFonts w:cstheme="minorBidi"/>
            <w:b w:val="0"/>
            <w:bCs w:val="0"/>
            <w:smallCaps w:val="0"/>
            <w:noProof/>
            <w:sz w:val="24"/>
            <w:szCs w:val="24"/>
          </w:rPr>
          <w:tab/>
        </w:r>
        <w:r w:rsidR="00A74C64" w:rsidRPr="00BE4975">
          <w:rPr>
            <w:rStyle w:val="Hyperlink"/>
            <w:noProof/>
          </w:rPr>
          <w:t>Complete Regressions Results for Individual Features</w:t>
        </w:r>
        <w:r w:rsidR="00A74C64">
          <w:rPr>
            <w:noProof/>
            <w:webHidden/>
          </w:rPr>
          <w:tab/>
        </w:r>
        <w:r w:rsidR="00A74C64">
          <w:rPr>
            <w:noProof/>
            <w:webHidden/>
          </w:rPr>
          <w:fldChar w:fldCharType="begin"/>
        </w:r>
        <w:r w:rsidR="00A74C64">
          <w:rPr>
            <w:noProof/>
            <w:webHidden/>
          </w:rPr>
          <w:instrText xml:space="preserve"> PAGEREF _Toc76121074 \h </w:instrText>
        </w:r>
        <w:r w:rsidR="00A74C64">
          <w:rPr>
            <w:noProof/>
            <w:webHidden/>
          </w:rPr>
        </w:r>
        <w:r w:rsidR="00A74C64">
          <w:rPr>
            <w:noProof/>
            <w:webHidden/>
          </w:rPr>
          <w:fldChar w:fldCharType="separate"/>
        </w:r>
        <w:r w:rsidR="00A74C64">
          <w:rPr>
            <w:noProof/>
            <w:webHidden/>
          </w:rPr>
          <w:t>1</w:t>
        </w:r>
        <w:r w:rsidR="00A74C64">
          <w:rPr>
            <w:noProof/>
            <w:webHidden/>
          </w:rPr>
          <w:fldChar w:fldCharType="end"/>
        </w:r>
      </w:hyperlink>
    </w:p>
    <w:p w14:paraId="6BB023DE" w14:textId="046DDD2A" w:rsidR="00A74C64" w:rsidRDefault="00DB1658">
      <w:pPr>
        <w:pStyle w:val="TOC2"/>
        <w:tabs>
          <w:tab w:val="left" w:pos="522"/>
          <w:tab w:val="right" w:leader="dot" w:pos="9350"/>
        </w:tabs>
        <w:rPr>
          <w:rFonts w:cstheme="minorBidi"/>
          <w:b w:val="0"/>
          <w:bCs w:val="0"/>
          <w:smallCaps w:val="0"/>
          <w:noProof/>
          <w:sz w:val="24"/>
          <w:szCs w:val="24"/>
        </w:rPr>
      </w:pPr>
      <w:hyperlink w:anchor="_Toc76121075" w:history="1">
        <w:r w:rsidR="00A74C64" w:rsidRPr="00BE4975">
          <w:rPr>
            <w:rStyle w:val="Hyperlink"/>
            <w:noProof/>
          </w:rPr>
          <w:t>8.3</w:t>
        </w:r>
        <w:r w:rsidR="00A74C64">
          <w:rPr>
            <w:rFonts w:cstheme="minorBidi"/>
            <w:b w:val="0"/>
            <w:bCs w:val="0"/>
            <w:smallCaps w:val="0"/>
            <w:noProof/>
            <w:sz w:val="24"/>
            <w:szCs w:val="24"/>
          </w:rPr>
          <w:tab/>
        </w:r>
        <w:r w:rsidR="00A74C64" w:rsidRPr="00BE4975">
          <w:rPr>
            <w:rStyle w:val="Hyperlink"/>
            <w:noProof/>
          </w:rPr>
          <w:t>List of Programs in SMB Data</w:t>
        </w:r>
        <w:r w:rsidR="00A74C64">
          <w:rPr>
            <w:noProof/>
            <w:webHidden/>
          </w:rPr>
          <w:tab/>
        </w:r>
        <w:r w:rsidR="00A74C64">
          <w:rPr>
            <w:noProof/>
            <w:webHidden/>
          </w:rPr>
          <w:fldChar w:fldCharType="begin"/>
        </w:r>
        <w:r w:rsidR="00A74C64">
          <w:rPr>
            <w:noProof/>
            <w:webHidden/>
          </w:rPr>
          <w:instrText xml:space="preserve"> PAGEREF _Toc76121075 \h </w:instrText>
        </w:r>
        <w:r w:rsidR="00A74C64">
          <w:rPr>
            <w:noProof/>
            <w:webHidden/>
          </w:rPr>
        </w:r>
        <w:r w:rsidR="00A74C64">
          <w:rPr>
            <w:noProof/>
            <w:webHidden/>
          </w:rPr>
          <w:fldChar w:fldCharType="separate"/>
        </w:r>
        <w:r w:rsidR="00A74C64">
          <w:rPr>
            <w:noProof/>
            <w:webHidden/>
          </w:rPr>
          <w:t>1</w:t>
        </w:r>
        <w:r w:rsidR="00A74C64">
          <w:rPr>
            <w:noProof/>
            <w:webHidden/>
          </w:rPr>
          <w:fldChar w:fldCharType="end"/>
        </w:r>
      </w:hyperlink>
    </w:p>
    <w:p w14:paraId="01C41508" w14:textId="5F5CEA04" w:rsidR="002727B8" w:rsidRDefault="002727B8" w:rsidP="007C57C2">
      <w:r>
        <w:fldChar w:fldCharType="end"/>
      </w:r>
      <w:r>
        <w:br w:type="page"/>
      </w:r>
    </w:p>
    <w:p w14:paraId="4E3AC960" w14:textId="5B37A210" w:rsidR="002727B8" w:rsidRDefault="002727B8" w:rsidP="00D43EBC">
      <w:pPr>
        <w:pStyle w:val="IntenseQuote"/>
      </w:pPr>
      <w:r>
        <w:lastRenderedPageBreak/>
        <w:t xml:space="preserve">List of </w:t>
      </w:r>
      <w:r w:rsidRPr="00D43EBC">
        <w:t>Tables</w:t>
      </w:r>
    </w:p>
    <w:p w14:paraId="3951225E" w14:textId="0EF03832" w:rsidR="00A74C64" w:rsidRDefault="002727B8">
      <w:pPr>
        <w:pStyle w:val="TableofFigures"/>
        <w:tabs>
          <w:tab w:val="right" w:leader="dot" w:pos="9350"/>
        </w:tabs>
        <w:rPr>
          <w:rFonts w:cstheme="minorBidi"/>
          <w:i w:val="0"/>
          <w:iCs w:val="0"/>
          <w:noProof/>
          <w:sz w:val="24"/>
          <w:szCs w:val="24"/>
        </w:rPr>
      </w:pPr>
      <w:r>
        <w:fldChar w:fldCharType="begin"/>
      </w:r>
      <w:r>
        <w:instrText xml:space="preserve"> TOC \h \z \c "Table" </w:instrText>
      </w:r>
      <w:r>
        <w:fldChar w:fldCharType="separate"/>
      </w:r>
      <w:hyperlink w:anchor="_Toc76121094" w:history="1">
        <w:r w:rsidR="00A74C64" w:rsidRPr="00FC050C">
          <w:rPr>
            <w:rStyle w:val="Hyperlink"/>
            <w:noProof/>
          </w:rPr>
          <w:t>Table 1. Summary of Main Variables Examined and Key Findings</w:t>
        </w:r>
        <w:r w:rsidR="00A74C64">
          <w:rPr>
            <w:noProof/>
            <w:webHidden/>
          </w:rPr>
          <w:tab/>
        </w:r>
        <w:r w:rsidR="00A74C64">
          <w:rPr>
            <w:noProof/>
            <w:webHidden/>
          </w:rPr>
          <w:fldChar w:fldCharType="begin"/>
        </w:r>
        <w:r w:rsidR="00A74C64">
          <w:rPr>
            <w:noProof/>
            <w:webHidden/>
          </w:rPr>
          <w:instrText xml:space="preserve"> PAGEREF _Toc76121094 \h </w:instrText>
        </w:r>
        <w:r w:rsidR="00A74C64">
          <w:rPr>
            <w:noProof/>
            <w:webHidden/>
          </w:rPr>
        </w:r>
        <w:r w:rsidR="00A74C64">
          <w:rPr>
            <w:noProof/>
            <w:webHidden/>
          </w:rPr>
          <w:fldChar w:fldCharType="separate"/>
        </w:r>
        <w:r w:rsidR="00A74C64">
          <w:rPr>
            <w:noProof/>
            <w:webHidden/>
          </w:rPr>
          <w:t>4</w:t>
        </w:r>
        <w:r w:rsidR="00A74C64">
          <w:rPr>
            <w:noProof/>
            <w:webHidden/>
          </w:rPr>
          <w:fldChar w:fldCharType="end"/>
        </w:r>
      </w:hyperlink>
    </w:p>
    <w:p w14:paraId="78A04FFB" w14:textId="19ACF236" w:rsidR="00A74C64" w:rsidRDefault="00DB1658">
      <w:pPr>
        <w:pStyle w:val="TableofFigures"/>
        <w:tabs>
          <w:tab w:val="right" w:leader="dot" w:pos="9350"/>
        </w:tabs>
        <w:rPr>
          <w:rFonts w:cstheme="minorBidi"/>
          <w:i w:val="0"/>
          <w:iCs w:val="0"/>
          <w:noProof/>
          <w:sz w:val="24"/>
          <w:szCs w:val="24"/>
        </w:rPr>
      </w:pPr>
      <w:hyperlink w:anchor="_Toc76121095" w:history="1">
        <w:r w:rsidR="00A74C64" w:rsidRPr="00FC050C">
          <w:rPr>
            <w:rStyle w:val="Hyperlink"/>
            <w:noProof/>
          </w:rPr>
          <w:t>Table 2. Main Energy Efficiency Factors Examined</w:t>
        </w:r>
        <w:r w:rsidR="00A74C64">
          <w:rPr>
            <w:noProof/>
            <w:webHidden/>
          </w:rPr>
          <w:tab/>
        </w:r>
        <w:r w:rsidR="00A74C64">
          <w:rPr>
            <w:noProof/>
            <w:webHidden/>
          </w:rPr>
          <w:fldChar w:fldCharType="begin"/>
        </w:r>
        <w:r w:rsidR="00A74C64">
          <w:rPr>
            <w:noProof/>
            <w:webHidden/>
          </w:rPr>
          <w:instrText xml:space="preserve"> PAGEREF _Toc76121095 \h </w:instrText>
        </w:r>
        <w:r w:rsidR="00A74C64">
          <w:rPr>
            <w:noProof/>
            <w:webHidden/>
          </w:rPr>
        </w:r>
        <w:r w:rsidR="00A74C64">
          <w:rPr>
            <w:noProof/>
            <w:webHidden/>
          </w:rPr>
          <w:fldChar w:fldCharType="separate"/>
        </w:r>
        <w:r w:rsidR="00A74C64">
          <w:rPr>
            <w:noProof/>
            <w:webHidden/>
          </w:rPr>
          <w:t>9</w:t>
        </w:r>
        <w:r w:rsidR="00A74C64">
          <w:rPr>
            <w:noProof/>
            <w:webHidden/>
          </w:rPr>
          <w:fldChar w:fldCharType="end"/>
        </w:r>
      </w:hyperlink>
    </w:p>
    <w:p w14:paraId="3929363D" w14:textId="0537F7ED" w:rsidR="00A74C64" w:rsidRDefault="00DB1658">
      <w:pPr>
        <w:pStyle w:val="TableofFigures"/>
        <w:tabs>
          <w:tab w:val="right" w:leader="dot" w:pos="9350"/>
        </w:tabs>
        <w:rPr>
          <w:rFonts w:cstheme="minorBidi"/>
          <w:i w:val="0"/>
          <w:iCs w:val="0"/>
          <w:noProof/>
          <w:sz w:val="24"/>
          <w:szCs w:val="24"/>
        </w:rPr>
      </w:pPr>
      <w:hyperlink w:anchor="_Toc76121096" w:history="1">
        <w:r w:rsidR="00A74C64" w:rsidRPr="00FC050C">
          <w:rPr>
            <w:rStyle w:val="Hyperlink"/>
            <w:noProof/>
          </w:rPr>
          <w:t>Table 3. IOU Definition of Commercial Customer Classes</w:t>
        </w:r>
        <w:r w:rsidR="00A74C64">
          <w:rPr>
            <w:noProof/>
            <w:webHidden/>
          </w:rPr>
          <w:tab/>
        </w:r>
        <w:r w:rsidR="00A74C64">
          <w:rPr>
            <w:noProof/>
            <w:webHidden/>
          </w:rPr>
          <w:fldChar w:fldCharType="begin"/>
        </w:r>
        <w:r w:rsidR="00A74C64">
          <w:rPr>
            <w:noProof/>
            <w:webHidden/>
          </w:rPr>
          <w:instrText xml:space="preserve"> PAGEREF _Toc76121096 \h </w:instrText>
        </w:r>
        <w:r w:rsidR="00A74C64">
          <w:rPr>
            <w:noProof/>
            <w:webHidden/>
          </w:rPr>
        </w:r>
        <w:r w:rsidR="00A74C64">
          <w:rPr>
            <w:noProof/>
            <w:webHidden/>
          </w:rPr>
          <w:fldChar w:fldCharType="separate"/>
        </w:r>
        <w:r w:rsidR="00A74C64">
          <w:rPr>
            <w:noProof/>
            <w:webHidden/>
          </w:rPr>
          <w:t>9</w:t>
        </w:r>
        <w:r w:rsidR="00A74C64">
          <w:rPr>
            <w:noProof/>
            <w:webHidden/>
          </w:rPr>
          <w:fldChar w:fldCharType="end"/>
        </w:r>
      </w:hyperlink>
    </w:p>
    <w:p w14:paraId="7D1284EB" w14:textId="61AD34EB" w:rsidR="00A74C64" w:rsidRDefault="00DB1658">
      <w:pPr>
        <w:pStyle w:val="TableofFigures"/>
        <w:tabs>
          <w:tab w:val="right" w:leader="dot" w:pos="9350"/>
        </w:tabs>
        <w:rPr>
          <w:rFonts w:cstheme="minorBidi"/>
          <w:i w:val="0"/>
          <w:iCs w:val="0"/>
          <w:noProof/>
          <w:sz w:val="24"/>
          <w:szCs w:val="24"/>
        </w:rPr>
      </w:pPr>
      <w:hyperlink w:anchor="_Toc76121097" w:history="1">
        <w:r w:rsidR="00A74C64" w:rsidRPr="00FC050C">
          <w:rPr>
            <w:rStyle w:val="Hyperlink"/>
            <w:noProof/>
          </w:rPr>
          <w:t>Table 4. Additional Claims-Level Fields</w:t>
        </w:r>
        <w:r w:rsidR="00A74C64">
          <w:rPr>
            <w:noProof/>
            <w:webHidden/>
          </w:rPr>
          <w:tab/>
        </w:r>
        <w:r w:rsidR="00A74C64">
          <w:rPr>
            <w:noProof/>
            <w:webHidden/>
          </w:rPr>
          <w:fldChar w:fldCharType="begin"/>
        </w:r>
        <w:r w:rsidR="00A74C64">
          <w:rPr>
            <w:noProof/>
            <w:webHidden/>
          </w:rPr>
          <w:instrText xml:space="preserve"> PAGEREF _Toc76121097 \h </w:instrText>
        </w:r>
        <w:r w:rsidR="00A74C64">
          <w:rPr>
            <w:noProof/>
            <w:webHidden/>
          </w:rPr>
        </w:r>
        <w:r w:rsidR="00A74C64">
          <w:rPr>
            <w:noProof/>
            <w:webHidden/>
          </w:rPr>
          <w:fldChar w:fldCharType="separate"/>
        </w:r>
        <w:r w:rsidR="00A74C64">
          <w:rPr>
            <w:noProof/>
            <w:webHidden/>
          </w:rPr>
          <w:t>12</w:t>
        </w:r>
        <w:r w:rsidR="00A74C64">
          <w:rPr>
            <w:noProof/>
            <w:webHidden/>
          </w:rPr>
          <w:fldChar w:fldCharType="end"/>
        </w:r>
      </w:hyperlink>
    </w:p>
    <w:p w14:paraId="4A822581" w14:textId="68EEB0FB" w:rsidR="00A74C64" w:rsidRDefault="00DB1658">
      <w:pPr>
        <w:pStyle w:val="TableofFigures"/>
        <w:tabs>
          <w:tab w:val="right" w:leader="dot" w:pos="9350"/>
        </w:tabs>
        <w:rPr>
          <w:rFonts w:cstheme="minorBidi"/>
          <w:i w:val="0"/>
          <w:iCs w:val="0"/>
          <w:noProof/>
          <w:sz w:val="24"/>
          <w:szCs w:val="24"/>
        </w:rPr>
      </w:pPr>
      <w:hyperlink w:anchor="_Toc76121098" w:history="1">
        <w:r w:rsidR="00A74C64" w:rsidRPr="00FC050C">
          <w:rPr>
            <w:rStyle w:val="Hyperlink"/>
            <w:noProof/>
          </w:rPr>
          <w:t>Table 5. Firm Size Groupings</w:t>
        </w:r>
        <w:r w:rsidR="00A74C64">
          <w:rPr>
            <w:noProof/>
            <w:webHidden/>
          </w:rPr>
          <w:tab/>
        </w:r>
        <w:r w:rsidR="00A74C64">
          <w:rPr>
            <w:noProof/>
            <w:webHidden/>
          </w:rPr>
          <w:fldChar w:fldCharType="begin"/>
        </w:r>
        <w:r w:rsidR="00A74C64">
          <w:rPr>
            <w:noProof/>
            <w:webHidden/>
          </w:rPr>
          <w:instrText xml:space="preserve"> PAGEREF _Toc76121098 \h </w:instrText>
        </w:r>
        <w:r w:rsidR="00A74C64">
          <w:rPr>
            <w:noProof/>
            <w:webHidden/>
          </w:rPr>
        </w:r>
        <w:r w:rsidR="00A74C64">
          <w:rPr>
            <w:noProof/>
            <w:webHidden/>
          </w:rPr>
          <w:fldChar w:fldCharType="separate"/>
        </w:r>
        <w:r w:rsidR="00A74C64">
          <w:rPr>
            <w:noProof/>
            <w:webHidden/>
          </w:rPr>
          <w:t>13</w:t>
        </w:r>
        <w:r w:rsidR="00A74C64">
          <w:rPr>
            <w:noProof/>
            <w:webHidden/>
          </w:rPr>
          <w:fldChar w:fldCharType="end"/>
        </w:r>
      </w:hyperlink>
    </w:p>
    <w:p w14:paraId="7DE5A2B2" w14:textId="678DD516" w:rsidR="00A74C64" w:rsidRDefault="00DB1658">
      <w:pPr>
        <w:pStyle w:val="TableofFigures"/>
        <w:tabs>
          <w:tab w:val="right" w:leader="dot" w:pos="9350"/>
        </w:tabs>
        <w:rPr>
          <w:rFonts w:cstheme="minorBidi"/>
          <w:i w:val="0"/>
          <w:iCs w:val="0"/>
          <w:noProof/>
          <w:sz w:val="24"/>
          <w:szCs w:val="24"/>
        </w:rPr>
      </w:pPr>
      <w:hyperlink w:anchor="_Toc76121099" w:history="1">
        <w:r w:rsidR="00A74C64" w:rsidRPr="00FC050C">
          <w:rPr>
            <w:rStyle w:val="Hyperlink"/>
            <w:noProof/>
          </w:rPr>
          <w:t>Table 6. Comparison of SMB Claim Data Totals</w:t>
        </w:r>
        <w:r w:rsidR="00A74C64">
          <w:rPr>
            <w:noProof/>
            <w:webHidden/>
          </w:rPr>
          <w:tab/>
        </w:r>
        <w:r w:rsidR="00A74C64">
          <w:rPr>
            <w:noProof/>
            <w:webHidden/>
          </w:rPr>
          <w:fldChar w:fldCharType="begin"/>
        </w:r>
        <w:r w:rsidR="00A74C64">
          <w:rPr>
            <w:noProof/>
            <w:webHidden/>
          </w:rPr>
          <w:instrText xml:space="preserve"> PAGEREF _Toc76121099 \h </w:instrText>
        </w:r>
        <w:r w:rsidR="00A74C64">
          <w:rPr>
            <w:noProof/>
            <w:webHidden/>
          </w:rPr>
        </w:r>
        <w:r w:rsidR="00A74C64">
          <w:rPr>
            <w:noProof/>
            <w:webHidden/>
          </w:rPr>
          <w:fldChar w:fldCharType="separate"/>
        </w:r>
        <w:r w:rsidR="00A74C64">
          <w:rPr>
            <w:noProof/>
            <w:webHidden/>
          </w:rPr>
          <w:t>14</w:t>
        </w:r>
        <w:r w:rsidR="00A74C64">
          <w:rPr>
            <w:noProof/>
            <w:webHidden/>
          </w:rPr>
          <w:fldChar w:fldCharType="end"/>
        </w:r>
      </w:hyperlink>
    </w:p>
    <w:p w14:paraId="6D9F88E3" w14:textId="5E90FD70" w:rsidR="00A74C64" w:rsidRDefault="00DB1658">
      <w:pPr>
        <w:pStyle w:val="TableofFigures"/>
        <w:tabs>
          <w:tab w:val="right" w:leader="dot" w:pos="9350"/>
        </w:tabs>
        <w:rPr>
          <w:rFonts w:cstheme="minorBidi"/>
          <w:i w:val="0"/>
          <w:iCs w:val="0"/>
          <w:noProof/>
          <w:sz w:val="24"/>
          <w:szCs w:val="24"/>
        </w:rPr>
      </w:pPr>
      <w:hyperlink w:anchor="_Toc76121100" w:history="1">
        <w:r w:rsidR="00A74C64" w:rsidRPr="00FC050C">
          <w:rPr>
            <w:rStyle w:val="Hyperlink"/>
            <w:noProof/>
          </w:rPr>
          <w:t>Table 7. Summary SMB Claim Savings and Investment Factors</w:t>
        </w:r>
        <w:r w:rsidR="00A74C64">
          <w:rPr>
            <w:noProof/>
            <w:webHidden/>
          </w:rPr>
          <w:tab/>
        </w:r>
        <w:r w:rsidR="00A74C64">
          <w:rPr>
            <w:noProof/>
            <w:webHidden/>
          </w:rPr>
          <w:fldChar w:fldCharType="begin"/>
        </w:r>
        <w:r w:rsidR="00A74C64">
          <w:rPr>
            <w:noProof/>
            <w:webHidden/>
          </w:rPr>
          <w:instrText xml:space="preserve"> PAGEREF _Toc76121100 \h </w:instrText>
        </w:r>
        <w:r w:rsidR="00A74C64">
          <w:rPr>
            <w:noProof/>
            <w:webHidden/>
          </w:rPr>
        </w:r>
        <w:r w:rsidR="00A74C64">
          <w:rPr>
            <w:noProof/>
            <w:webHidden/>
          </w:rPr>
          <w:fldChar w:fldCharType="separate"/>
        </w:r>
        <w:r w:rsidR="00A74C64">
          <w:rPr>
            <w:noProof/>
            <w:webHidden/>
          </w:rPr>
          <w:t>15</w:t>
        </w:r>
        <w:r w:rsidR="00A74C64">
          <w:rPr>
            <w:noProof/>
            <w:webHidden/>
          </w:rPr>
          <w:fldChar w:fldCharType="end"/>
        </w:r>
      </w:hyperlink>
    </w:p>
    <w:p w14:paraId="1C5360FB" w14:textId="2B3B9606" w:rsidR="00A74C64" w:rsidRDefault="00DB1658">
      <w:pPr>
        <w:pStyle w:val="TableofFigures"/>
        <w:tabs>
          <w:tab w:val="right" w:leader="dot" w:pos="9350"/>
        </w:tabs>
        <w:rPr>
          <w:rFonts w:cstheme="minorBidi"/>
          <w:i w:val="0"/>
          <w:iCs w:val="0"/>
          <w:noProof/>
          <w:sz w:val="24"/>
          <w:szCs w:val="24"/>
        </w:rPr>
      </w:pPr>
      <w:hyperlink w:anchor="_Toc76121101" w:history="1">
        <w:r w:rsidR="00A74C64" w:rsidRPr="00FC050C">
          <w:rPr>
            <w:rStyle w:val="Hyperlink"/>
            <w:noProof/>
          </w:rPr>
          <w:t>Table 8. Summary SMB Claim Savings and Investment Factors – Incentive &lt; $250k</w:t>
        </w:r>
        <w:r w:rsidR="00A74C64">
          <w:rPr>
            <w:noProof/>
            <w:webHidden/>
          </w:rPr>
          <w:tab/>
        </w:r>
        <w:r w:rsidR="00A74C64">
          <w:rPr>
            <w:noProof/>
            <w:webHidden/>
          </w:rPr>
          <w:fldChar w:fldCharType="begin"/>
        </w:r>
        <w:r w:rsidR="00A74C64">
          <w:rPr>
            <w:noProof/>
            <w:webHidden/>
          </w:rPr>
          <w:instrText xml:space="preserve"> PAGEREF _Toc76121101 \h </w:instrText>
        </w:r>
        <w:r w:rsidR="00A74C64">
          <w:rPr>
            <w:noProof/>
            <w:webHidden/>
          </w:rPr>
        </w:r>
        <w:r w:rsidR="00A74C64">
          <w:rPr>
            <w:noProof/>
            <w:webHidden/>
          </w:rPr>
          <w:fldChar w:fldCharType="separate"/>
        </w:r>
        <w:r w:rsidR="00A74C64">
          <w:rPr>
            <w:noProof/>
            <w:webHidden/>
          </w:rPr>
          <w:t>15</w:t>
        </w:r>
        <w:r w:rsidR="00A74C64">
          <w:rPr>
            <w:noProof/>
            <w:webHidden/>
          </w:rPr>
          <w:fldChar w:fldCharType="end"/>
        </w:r>
      </w:hyperlink>
    </w:p>
    <w:p w14:paraId="45BC420B" w14:textId="5C0B6CAF" w:rsidR="00A74C64" w:rsidRDefault="00DB1658">
      <w:pPr>
        <w:pStyle w:val="TableofFigures"/>
        <w:tabs>
          <w:tab w:val="right" w:leader="dot" w:pos="9350"/>
        </w:tabs>
        <w:rPr>
          <w:rFonts w:cstheme="minorBidi"/>
          <w:i w:val="0"/>
          <w:iCs w:val="0"/>
          <w:noProof/>
          <w:sz w:val="24"/>
          <w:szCs w:val="24"/>
        </w:rPr>
      </w:pPr>
      <w:hyperlink w:anchor="_Toc76121102" w:history="1">
        <w:r w:rsidR="00A74C64" w:rsidRPr="00FC050C">
          <w:rPr>
            <w:rStyle w:val="Hyperlink"/>
            <w:noProof/>
          </w:rPr>
          <w:t>Table 9. Individual Regression Results for Site Penetration vs. Firm Size Features</w:t>
        </w:r>
        <w:r w:rsidR="00A74C64">
          <w:rPr>
            <w:noProof/>
            <w:webHidden/>
          </w:rPr>
          <w:tab/>
        </w:r>
        <w:r w:rsidR="00A74C64">
          <w:rPr>
            <w:noProof/>
            <w:webHidden/>
          </w:rPr>
          <w:fldChar w:fldCharType="begin"/>
        </w:r>
        <w:r w:rsidR="00A74C64">
          <w:rPr>
            <w:noProof/>
            <w:webHidden/>
          </w:rPr>
          <w:instrText xml:space="preserve"> PAGEREF _Toc76121102 \h </w:instrText>
        </w:r>
        <w:r w:rsidR="00A74C64">
          <w:rPr>
            <w:noProof/>
            <w:webHidden/>
          </w:rPr>
        </w:r>
        <w:r w:rsidR="00A74C64">
          <w:rPr>
            <w:noProof/>
            <w:webHidden/>
          </w:rPr>
          <w:fldChar w:fldCharType="separate"/>
        </w:r>
        <w:r w:rsidR="00A74C64">
          <w:rPr>
            <w:noProof/>
            <w:webHidden/>
          </w:rPr>
          <w:t>17</w:t>
        </w:r>
        <w:r w:rsidR="00A74C64">
          <w:rPr>
            <w:noProof/>
            <w:webHidden/>
          </w:rPr>
          <w:fldChar w:fldCharType="end"/>
        </w:r>
      </w:hyperlink>
    </w:p>
    <w:p w14:paraId="623E7710" w14:textId="11B0E7E4" w:rsidR="00A74C64" w:rsidRDefault="00DB1658">
      <w:pPr>
        <w:pStyle w:val="TableofFigures"/>
        <w:tabs>
          <w:tab w:val="right" w:leader="dot" w:pos="9350"/>
        </w:tabs>
        <w:rPr>
          <w:rFonts w:cstheme="minorBidi"/>
          <w:i w:val="0"/>
          <w:iCs w:val="0"/>
          <w:noProof/>
          <w:sz w:val="24"/>
          <w:szCs w:val="24"/>
        </w:rPr>
      </w:pPr>
      <w:hyperlink w:anchor="_Toc76121103" w:history="1">
        <w:r w:rsidR="00A74C64" w:rsidRPr="00FC050C">
          <w:rPr>
            <w:rStyle w:val="Hyperlink"/>
            <w:noProof/>
          </w:rPr>
          <w:t>Table 10. Site Penetration vs. Multiple Firm Size Features</w:t>
        </w:r>
        <w:r w:rsidR="00A74C64">
          <w:rPr>
            <w:noProof/>
            <w:webHidden/>
          </w:rPr>
          <w:tab/>
        </w:r>
        <w:r w:rsidR="00A74C64">
          <w:rPr>
            <w:noProof/>
            <w:webHidden/>
          </w:rPr>
          <w:fldChar w:fldCharType="begin"/>
        </w:r>
        <w:r w:rsidR="00A74C64">
          <w:rPr>
            <w:noProof/>
            <w:webHidden/>
          </w:rPr>
          <w:instrText xml:space="preserve"> PAGEREF _Toc76121103 \h </w:instrText>
        </w:r>
        <w:r w:rsidR="00A74C64">
          <w:rPr>
            <w:noProof/>
            <w:webHidden/>
          </w:rPr>
        </w:r>
        <w:r w:rsidR="00A74C64">
          <w:rPr>
            <w:noProof/>
            <w:webHidden/>
          </w:rPr>
          <w:fldChar w:fldCharType="separate"/>
        </w:r>
        <w:r w:rsidR="00A74C64">
          <w:rPr>
            <w:noProof/>
            <w:webHidden/>
          </w:rPr>
          <w:t>18</w:t>
        </w:r>
        <w:r w:rsidR="00A74C64">
          <w:rPr>
            <w:noProof/>
            <w:webHidden/>
          </w:rPr>
          <w:fldChar w:fldCharType="end"/>
        </w:r>
      </w:hyperlink>
    </w:p>
    <w:p w14:paraId="116A7D34" w14:textId="7F6D0DDB" w:rsidR="00A74C64" w:rsidRDefault="00DB1658">
      <w:pPr>
        <w:pStyle w:val="TableofFigures"/>
        <w:tabs>
          <w:tab w:val="right" w:leader="dot" w:pos="9350"/>
        </w:tabs>
        <w:rPr>
          <w:rFonts w:cstheme="minorBidi"/>
          <w:i w:val="0"/>
          <w:iCs w:val="0"/>
          <w:noProof/>
          <w:sz w:val="24"/>
          <w:szCs w:val="24"/>
        </w:rPr>
      </w:pPr>
      <w:hyperlink w:anchor="_Toc76121104" w:history="1">
        <w:r w:rsidR="00A74C64" w:rsidRPr="00FC050C">
          <w:rPr>
            <w:rStyle w:val="Hyperlink"/>
            <w:noProof/>
          </w:rPr>
          <w:t>Table 11. Site Penetration vs. Firm Size, Density and CES3.0</w:t>
        </w:r>
        <w:r w:rsidR="00A74C64">
          <w:rPr>
            <w:noProof/>
            <w:webHidden/>
          </w:rPr>
          <w:tab/>
        </w:r>
        <w:r w:rsidR="00A74C64">
          <w:rPr>
            <w:noProof/>
            <w:webHidden/>
          </w:rPr>
          <w:fldChar w:fldCharType="begin"/>
        </w:r>
        <w:r w:rsidR="00A74C64">
          <w:rPr>
            <w:noProof/>
            <w:webHidden/>
          </w:rPr>
          <w:instrText xml:space="preserve"> PAGEREF _Toc76121104 \h </w:instrText>
        </w:r>
        <w:r w:rsidR="00A74C64">
          <w:rPr>
            <w:noProof/>
            <w:webHidden/>
          </w:rPr>
        </w:r>
        <w:r w:rsidR="00A74C64">
          <w:rPr>
            <w:noProof/>
            <w:webHidden/>
          </w:rPr>
          <w:fldChar w:fldCharType="separate"/>
        </w:r>
        <w:r w:rsidR="00A74C64">
          <w:rPr>
            <w:noProof/>
            <w:webHidden/>
          </w:rPr>
          <w:t>20</w:t>
        </w:r>
        <w:r w:rsidR="00A74C64">
          <w:rPr>
            <w:noProof/>
            <w:webHidden/>
          </w:rPr>
          <w:fldChar w:fldCharType="end"/>
        </w:r>
      </w:hyperlink>
    </w:p>
    <w:p w14:paraId="3D51E5F1" w14:textId="42D7B6D5" w:rsidR="00A74C64" w:rsidRDefault="00DB1658">
      <w:pPr>
        <w:pStyle w:val="TableofFigures"/>
        <w:tabs>
          <w:tab w:val="right" w:leader="dot" w:pos="9350"/>
        </w:tabs>
        <w:rPr>
          <w:rFonts w:cstheme="minorBidi"/>
          <w:i w:val="0"/>
          <w:iCs w:val="0"/>
          <w:noProof/>
          <w:sz w:val="24"/>
          <w:szCs w:val="24"/>
        </w:rPr>
      </w:pPr>
      <w:hyperlink w:anchor="_Toc76121105" w:history="1">
        <w:r w:rsidR="00A74C64" w:rsidRPr="00FC050C">
          <w:rPr>
            <w:rStyle w:val="Hyperlink"/>
            <w:noProof/>
          </w:rPr>
          <w:t>Table 12. Individual Regression Results for Site Penetration vs. Density Variables</w:t>
        </w:r>
        <w:r w:rsidR="00A74C64">
          <w:rPr>
            <w:noProof/>
            <w:webHidden/>
          </w:rPr>
          <w:tab/>
        </w:r>
        <w:r w:rsidR="00A74C64">
          <w:rPr>
            <w:noProof/>
            <w:webHidden/>
          </w:rPr>
          <w:fldChar w:fldCharType="begin"/>
        </w:r>
        <w:r w:rsidR="00A74C64">
          <w:rPr>
            <w:noProof/>
            <w:webHidden/>
          </w:rPr>
          <w:instrText xml:space="preserve"> PAGEREF _Toc76121105 \h </w:instrText>
        </w:r>
        <w:r w:rsidR="00A74C64">
          <w:rPr>
            <w:noProof/>
            <w:webHidden/>
          </w:rPr>
        </w:r>
        <w:r w:rsidR="00A74C64">
          <w:rPr>
            <w:noProof/>
            <w:webHidden/>
          </w:rPr>
          <w:fldChar w:fldCharType="separate"/>
        </w:r>
        <w:r w:rsidR="00A74C64">
          <w:rPr>
            <w:noProof/>
            <w:webHidden/>
          </w:rPr>
          <w:t>22</w:t>
        </w:r>
        <w:r w:rsidR="00A74C64">
          <w:rPr>
            <w:noProof/>
            <w:webHidden/>
          </w:rPr>
          <w:fldChar w:fldCharType="end"/>
        </w:r>
      </w:hyperlink>
    </w:p>
    <w:p w14:paraId="09EF3548" w14:textId="0BEF7494" w:rsidR="00A74C64" w:rsidRDefault="00DB1658">
      <w:pPr>
        <w:pStyle w:val="TableofFigures"/>
        <w:tabs>
          <w:tab w:val="right" w:leader="dot" w:pos="9350"/>
        </w:tabs>
        <w:rPr>
          <w:rFonts w:cstheme="minorBidi"/>
          <w:i w:val="0"/>
          <w:iCs w:val="0"/>
          <w:noProof/>
          <w:sz w:val="24"/>
          <w:szCs w:val="24"/>
        </w:rPr>
      </w:pPr>
      <w:hyperlink w:anchor="_Toc76121106" w:history="1">
        <w:r w:rsidR="00A74C64" w:rsidRPr="00FC050C">
          <w:rPr>
            <w:rStyle w:val="Hyperlink"/>
            <w:noProof/>
          </w:rPr>
          <w:t>Table 13. Site Penetration vs. Firm Size, CES3.0, and Density</w:t>
        </w:r>
        <w:r w:rsidR="00A74C64">
          <w:rPr>
            <w:noProof/>
            <w:webHidden/>
          </w:rPr>
          <w:tab/>
        </w:r>
        <w:r w:rsidR="00A74C64">
          <w:rPr>
            <w:noProof/>
            <w:webHidden/>
          </w:rPr>
          <w:fldChar w:fldCharType="begin"/>
        </w:r>
        <w:r w:rsidR="00A74C64">
          <w:rPr>
            <w:noProof/>
            <w:webHidden/>
          </w:rPr>
          <w:instrText xml:space="preserve"> PAGEREF _Toc76121106 \h </w:instrText>
        </w:r>
        <w:r w:rsidR="00A74C64">
          <w:rPr>
            <w:noProof/>
            <w:webHidden/>
          </w:rPr>
        </w:r>
        <w:r w:rsidR="00A74C64">
          <w:rPr>
            <w:noProof/>
            <w:webHidden/>
          </w:rPr>
          <w:fldChar w:fldCharType="separate"/>
        </w:r>
        <w:r w:rsidR="00A74C64">
          <w:rPr>
            <w:noProof/>
            <w:webHidden/>
          </w:rPr>
          <w:t>23</w:t>
        </w:r>
        <w:r w:rsidR="00A74C64">
          <w:rPr>
            <w:noProof/>
            <w:webHidden/>
          </w:rPr>
          <w:fldChar w:fldCharType="end"/>
        </w:r>
      </w:hyperlink>
    </w:p>
    <w:p w14:paraId="38DBBFC2" w14:textId="249BBCEA" w:rsidR="00A74C64" w:rsidRDefault="00DB1658">
      <w:pPr>
        <w:pStyle w:val="TableofFigures"/>
        <w:tabs>
          <w:tab w:val="right" w:leader="dot" w:pos="9350"/>
        </w:tabs>
        <w:rPr>
          <w:rFonts w:cstheme="minorBidi"/>
          <w:i w:val="0"/>
          <w:iCs w:val="0"/>
          <w:noProof/>
          <w:sz w:val="24"/>
          <w:szCs w:val="24"/>
        </w:rPr>
      </w:pPr>
      <w:hyperlink w:anchor="_Toc76121107" w:history="1">
        <w:r w:rsidR="00A74C64" w:rsidRPr="00FC050C">
          <w:rPr>
            <w:rStyle w:val="Hyperlink"/>
            <w:noProof/>
          </w:rPr>
          <w:t>Table 14. Individual Regression Results for Site Penetration vs. Demographic Features</w:t>
        </w:r>
        <w:r w:rsidR="00A74C64">
          <w:rPr>
            <w:noProof/>
            <w:webHidden/>
          </w:rPr>
          <w:tab/>
        </w:r>
        <w:r w:rsidR="00A74C64">
          <w:rPr>
            <w:noProof/>
            <w:webHidden/>
          </w:rPr>
          <w:fldChar w:fldCharType="begin"/>
        </w:r>
        <w:r w:rsidR="00A74C64">
          <w:rPr>
            <w:noProof/>
            <w:webHidden/>
          </w:rPr>
          <w:instrText xml:space="preserve"> PAGEREF _Toc76121107 \h </w:instrText>
        </w:r>
        <w:r w:rsidR="00A74C64">
          <w:rPr>
            <w:noProof/>
            <w:webHidden/>
          </w:rPr>
        </w:r>
        <w:r w:rsidR="00A74C64">
          <w:rPr>
            <w:noProof/>
            <w:webHidden/>
          </w:rPr>
          <w:fldChar w:fldCharType="separate"/>
        </w:r>
        <w:r w:rsidR="00A74C64">
          <w:rPr>
            <w:noProof/>
            <w:webHidden/>
          </w:rPr>
          <w:t>24</w:t>
        </w:r>
        <w:r w:rsidR="00A74C64">
          <w:rPr>
            <w:noProof/>
            <w:webHidden/>
          </w:rPr>
          <w:fldChar w:fldCharType="end"/>
        </w:r>
      </w:hyperlink>
    </w:p>
    <w:p w14:paraId="61583C95" w14:textId="73178E9F" w:rsidR="00A74C64" w:rsidRDefault="00DB1658">
      <w:pPr>
        <w:pStyle w:val="TableofFigures"/>
        <w:tabs>
          <w:tab w:val="right" w:leader="dot" w:pos="9350"/>
        </w:tabs>
        <w:rPr>
          <w:rFonts w:cstheme="minorBidi"/>
          <w:i w:val="0"/>
          <w:iCs w:val="0"/>
          <w:noProof/>
          <w:sz w:val="24"/>
          <w:szCs w:val="24"/>
        </w:rPr>
      </w:pPr>
      <w:hyperlink w:anchor="_Toc76121108" w:history="1">
        <w:r w:rsidR="00A74C64" w:rsidRPr="00FC050C">
          <w:rPr>
            <w:rStyle w:val="Hyperlink"/>
            <w:noProof/>
          </w:rPr>
          <w:t>Table 15. Site Penetration vs. Firm Size, CES3.0, Density, and Demographics</w:t>
        </w:r>
        <w:r w:rsidR="00A74C64">
          <w:rPr>
            <w:noProof/>
            <w:webHidden/>
          </w:rPr>
          <w:tab/>
        </w:r>
        <w:r w:rsidR="00A74C64">
          <w:rPr>
            <w:noProof/>
            <w:webHidden/>
          </w:rPr>
          <w:fldChar w:fldCharType="begin"/>
        </w:r>
        <w:r w:rsidR="00A74C64">
          <w:rPr>
            <w:noProof/>
            <w:webHidden/>
          </w:rPr>
          <w:instrText xml:space="preserve"> PAGEREF _Toc76121108 \h </w:instrText>
        </w:r>
        <w:r w:rsidR="00A74C64">
          <w:rPr>
            <w:noProof/>
            <w:webHidden/>
          </w:rPr>
        </w:r>
        <w:r w:rsidR="00A74C64">
          <w:rPr>
            <w:noProof/>
            <w:webHidden/>
          </w:rPr>
          <w:fldChar w:fldCharType="separate"/>
        </w:r>
        <w:r w:rsidR="00A74C64">
          <w:rPr>
            <w:noProof/>
            <w:webHidden/>
          </w:rPr>
          <w:t>25</w:t>
        </w:r>
        <w:r w:rsidR="00A74C64">
          <w:rPr>
            <w:noProof/>
            <w:webHidden/>
          </w:rPr>
          <w:fldChar w:fldCharType="end"/>
        </w:r>
      </w:hyperlink>
    </w:p>
    <w:p w14:paraId="1119086F" w14:textId="2ED23958" w:rsidR="00A74C64" w:rsidRDefault="00DB1658">
      <w:pPr>
        <w:pStyle w:val="TableofFigures"/>
        <w:tabs>
          <w:tab w:val="right" w:leader="dot" w:pos="9350"/>
        </w:tabs>
        <w:rPr>
          <w:rFonts w:cstheme="minorBidi"/>
          <w:i w:val="0"/>
          <w:iCs w:val="0"/>
          <w:noProof/>
          <w:sz w:val="24"/>
          <w:szCs w:val="24"/>
        </w:rPr>
      </w:pPr>
      <w:hyperlink w:anchor="_Toc76121109" w:history="1">
        <w:r w:rsidR="00A74C64" w:rsidRPr="00FC050C">
          <w:rPr>
            <w:rStyle w:val="Hyperlink"/>
            <w:noProof/>
          </w:rPr>
          <w:t>Table 16. Regression Results for Savings Totals vs. Firm Size</w:t>
        </w:r>
        <w:r w:rsidR="00A74C64">
          <w:rPr>
            <w:noProof/>
            <w:webHidden/>
          </w:rPr>
          <w:tab/>
        </w:r>
        <w:r w:rsidR="00A74C64">
          <w:rPr>
            <w:noProof/>
            <w:webHidden/>
          </w:rPr>
          <w:fldChar w:fldCharType="begin"/>
        </w:r>
        <w:r w:rsidR="00A74C64">
          <w:rPr>
            <w:noProof/>
            <w:webHidden/>
          </w:rPr>
          <w:instrText xml:space="preserve"> PAGEREF _Toc76121109 \h </w:instrText>
        </w:r>
        <w:r w:rsidR="00A74C64">
          <w:rPr>
            <w:noProof/>
            <w:webHidden/>
          </w:rPr>
        </w:r>
        <w:r w:rsidR="00A74C64">
          <w:rPr>
            <w:noProof/>
            <w:webHidden/>
          </w:rPr>
          <w:fldChar w:fldCharType="separate"/>
        </w:r>
        <w:r w:rsidR="00A74C64">
          <w:rPr>
            <w:noProof/>
            <w:webHidden/>
          </w:rPr>
          <w:t>27</w:t>
        </w:r>
        <w:r w:rsidR="00A74C64">
          <w:rPr>
            <w:noProof/>
            <w:webHidden/>
          </w:rPr>
          <w:fldChar w:fldCharType="end"/>
        </w:r>
      </w:hyperlink>
    </w:p>
    <w:p w14:paraId="086537CF" w14:textId="171F21E0" w:rsidR="00A74C64" w:rsidRDefault="00DB1658">
      <w:pPr>
        <w:pStyle w:val="TableofFigures"/>
        <w:tabs>
          <w:tab w:val="right" w:leader="dot" w:pos="9350"/>
        </w:tabs>
        <w:rPr>
          <w:rFonts w:cstheme="minorBidi"/>
          <w:i w:val="0"/>
          <w:iCs w:val="0"/>
          <w:noProof/>
          <w:sz w:val="24"/>
          <w:szCs w:val="24"/>
        </w:rPr>
      </w:pPr>
      <w:hyperlink w:anchor="_Toc76121110" w:history="1">
        <w:r w:rsidR="00A74C64" w:rsidRPr="00FC050C">
          <w:rPr>
            <w:rStyle w:val="Hyperlink"/>
            <w:noProof/>
          </w:rPr>
          <w:t>Table 17. Regression Results for Investment Totals vs. Firm Size</w:t>
        </w:r>
        <w:r w:rsidR="00A74C64">
          <w:rPr>
            <w:noProof/>
            <w:webHidden/>
          </w:rPr>
          <w:tab/>
        </w:r>
        <w:r w:rsidR="00A74C64">
          <w:rPr>
            <w:noProof/>
            <w:webHidden/>
          </w:rPr>
          <w:fldChar w:fldCharType="begin"/>
        </w:r>
        <w:r w:rsidR="00A74C64">
          <w:rPr>
            <w:noProof/>
            <w:webHidden/>
          </w:rPr>
          <w:instrText xml:space="preserve"> PAGEREF _Toc76121110 \h </w:instrText>
        </w:r>
        <w:r w:rsidR="00A74C64">
          <w:rPr>
            <w:noProof/>
            <w:webHidden/>
          </w:rPr>
        </w:r>
        <w:r w:rsidR="00A74C64">
          <w:rPr>
            <w:noProof/>
            <w:webHidden/>
          </w:rPr>
          <w:fldChar w:fldCharType="separate"/>
        </w:r>
        <w:r w:rsidR="00A74C64">
          <w:rPr>
            <w:noProof/>
            <w:webHidden/>
          </w:rPr>
          <w:t>29</w:t>
        </w:r>
        <w:r w:rsidR="00A74C64">
          <w:rPr>
            <w:noProof/>
            <w:webHidden/>
          </w:rPr>
          <w:fldChar w:fldCharType="end"/>
        </w:r>
      </w:hyperlink>
    </w:p>
    <w:p w14:paraId="2E1ABD7E" w14:textId="7576C370" w:rsidR="00A74C64" w:rsidRDefault="00DB1658">
      <w:pPr>
        <w:pStyle w:val="TableofFigures"/>
        <w:tabs>
          <w:tab w:val="right" w:leader="dot" w:pos="9350"/>
        </w:tabs>
        <w:rPr>
          <w:rFonts w:cstheme="minorBidi"/>
          <w:i w:val="0"/>
          <w:iCs w:val="0"/>
          <w:noProof/>
          <w:sz w:val="24"/>
          <w:szCs w:val="24"/>
        </w:rPr>
      </w:pPr>
      <w:hyperlink w:anchor="_Toc76121111" w:history="1">
        <w:r w:rsidR="00A74C64" w:rsidRPr="00FC050C">
          <w:rPr>
            <w:rStyle w:val="Hyperlink"/>
            <w:noProof/>
          </w:rPr>
          <w:t>Table 18. Regression Results for Investment Mean vs. Firm Size</w:t>
        </w:r>
        <w:r w:rsidR="00A74C64">
          <w:rPr>
            <w:noProof/>
            <w:webHidden/>
          </w:rPr>
          <w:tab/>
        </w:r>
        <w:r w:rsidR="00A74C64">
          <w:rPr>
            <w:noProof/>
            <w:webHidden/>
          </w:rPr>
          <w:fldChar w:fldCharType="begin"/>
        </w:r>
        <w:r w:rsidR="00A74C64">
          <w:rPr>
            <w:noProof/>
            <w:webHidden/>
          </w:rPr>
          <w:instrText xml:space="preserve"> PAGEREF _Toc76121111 \h </w:instrText>
        </w:r>
        <w:r w:rsidR="00A74C64">
          <w:rPr>
            <w:noProof/>
            <w:webHidden/>
          </w:rPr>
        </w:r>
        <w:r w:rsidR="00A74C64">
          <w:rPr>
            <w:noProof/>
            <w:webHidden/>
          </w:rPr>
          <w:fldChar w:fldCharType="separate"/>
        </w:r>
        <w:r w:rsidR="00A74C64">
          <w:rPr>
            <w:noProof/>
            <w:webHidden/>
          </w:rPr>
          <w:t>29</w:t>
        </w:r>
        <w:r w:rsidR="00A74C64">
          <w:rPr>
            <w:noProof/>
            <w:webHidden/>
          </w:rPr>
          <w:fldChar w:fldCharType="end"/>
        </w:r>
      </w:hyperlink>
    </w:p>
    <w:p w14:paraId="00511E4D" w14:textId="52E45494" w:rsidR="002727B8" w:rsidRDefault="002727B8" w:rsidP="007C57C2">
      <w:r>
        <w:fldChar w:fldCharType="end"/>
      </w:r>
    </w:p>
    <w:p w14:paraId="51588116" w14:textId="5DFAFFE4" w:rsidR="002727B8" w:rsidRDefault="002727B8" w:rsidP="00D43EBC">
      <w:pPr>
        <w:pStyle w:val="IntenseQuote"/>
      </w:pPr>
      <w:r>
        <w:t>List of Figures</w:t>
      </w:r>
    </w:p>
    <w:p w14:paraId="5D92DCFD" w14:textId="27A61798" w:rsidR="00A74C64" w:rsidRDefault="002727B8">
      <w:pPr>
        <w:pStyle w:val="TableofFigures"/>
        <w:tabs>
          <w:tab w:val="right" w:leader="dot" w:pos="9350"/>
        </w:tabs>
        <w:rPr>
          <w:rFonts w:cstheme="minorBidi"/>
          <w:i w:val="0"/>
          <w:iCs w:val="0"/>
          <w:noProof/>
          <w:sz w:val="24"/>
          <w:szCs w:val="24"/>
        </w:rPr>
      </w:pPr>
      <w:r>
        <w:fldChar w:fldCharType="begin"/>
      </w:r>
      <w:r>
        <w:instrText xml:space="preserve"> TOC \h \z \c "Figure" </w:instrText>
      </w:r>
      <w:r>
        <w:fldChar w:fldCharType="separate"/>
      </w:r>
      <w:hyperlink w:anchor="_Toc76121112" w:history="1">
        <w:r w:rsidR="00A74C64" w:rsidRPr="00FE186C">
          <w:rPr>
            <w:rStyle w:val="Hyperlink"/>
            <w:noProof/>
          </w:rPr>
          <w:t>Figure 1. Overview of Analysis Approach</w:t>
        </w:r>
        <w:r w:rsidR="00A74C64">
          <w:rPr>
            <w:noProof/>
            <w:webHidden/>
          </w:rPr>
          <w:tab/>
        </w:r>
        <w:r w:rsidR="00A74C64">
          <w:rPr>
            <w:noProof/>
            <w:webHidden/>
          </w:rPr>
          <w:fldChar w:fldCharType="begin"/>
        </w:r>
        <w:r w:rsidR="00A74C64">
          <w:rPr>
            <w:noProof/>
            <w:webHidden/>
          </w:rPr>
          <w:instrText xml:space="preserve"> PAGEREF _Toc76121112 \h </w:instrText>
        </w:r>
        <w:r w:rsidR="00A74C64">
          <w:rPr>
            <w:noProof/>
            <w:webHidden/>
          </w:rPr>
        </w:r>
        <w:r w:rsidR="00A74C64">
          <w:rPr>
            <w:noProof/>
            <w:webHidden/>
          </w:rPr>
          <w:fldChar w:fldCharType="separate"/>
        </w:r>
        <w:r w:rsidR="00A74C64">
          <w:rPr>
            <w:noProof/>
            <w:webHidden/>
          </w:rPr>
          <w:t>8</w:t>
        </w:r>
        <w:r w:rsidR="00A74C64">
          <w:rPr>
            <w:noProof/>
            <w:webHidden/>
          </w:rPr>
          <w:fldChar w:fldCharType="end"/>
        </w:r>
      </w:hyperlink>
    </w:p>
    <w:p w14:paraId="6634BA89" w14:textId="739CA9CA" w:rsidR="00A74C64" w:rsidRDefault="00DB1658">
      <w:pPr>
        <w:pStyle w:val="TableofFigures"/>
        <w:tabs>
          <w:tab w:val="right" w:leader="dot" w:pos="9350"/>
        </w:tabs>
        <w:rPr>
          <w:rFonts w:cstheme="minorBidi"/>
          <w:i w:val="0"/>
          <w:iCs w:val="0"/>
          <w:noProof/>
          <w:sz w:val="24"/>
          <w:szCs w:val="24"/>
        </w:rPr>
      </w:pPr>
      <w:hyperlink w:anchor="_Toc76121113" w:history="1">
        <w:r w:rsidR="00A74C64" w:rsidRPr="00FE186C">
          <w:rPr>
            <w:rStyle w:val="Hyperlink"/>
            <w:noProof/>
          </w:rPr>
          <w:t>Figure 2. Overview of Data Sources</w:t>
        </w:r>
        <w:r w:rsidR="00A74C64">
          <w:rPr>
            <w:noProof/>
            <w:webHidden/>
          </w:rPr>
          <w:tab/>
        </w:r>
        <w:r w:rsidR="00A74C64">
          <w:rPr>
            <w:noProof/>
            <w:webHidden/>
          </w:rPr>
          <w:fldChar w:fldCharType="begin"/>
        </w:r>
        <w:r w:rsidR="00A74C64">
          <w:rPr>
            <w:noProof/>
            <w:webHidden/>
          </w:rPr>
          <w:instrText xml:space="preserve"> PAGEREF _Toc76121113 \h </w:instrText>
        </w:r>
        <w:r w:rsidR="00A74C64">
          <w:rPr>
            <w:noProof/>
            <w:webHidden/>
          </w:rPr>
        </w:r>
        <w:r w:rsidR="00A74C64">
          <w:rPr>
            <w:noProof/>
            <w:webHidden/>
          </w:rPr>
          <w:fldChar w:fldCharType="separate"/>
        </w:r>
        <w:r w:rsidR="00A74C64">
          <w:rPr>
            <w:noProof/>
            <w:webHidden/>
          </w:rPr>
          <w:t>11</w:t>
        </w:r>
        <w:r w:rsidR="00A74C64">
          <w:rPr>
            <w:noProof/>
            <w:webHidden/>
          </w:rPr>
          <w:fldChar w:fldCharType="end"/>
        </w:r>
      </w:hyperlink>
    </w:p>
    <w:p w14:paraId="0FE517CD" w14:textId="297C4663" w:rsidR="00A74C64" w:rsidRDefault="00DB1658">
      <w:pPr>
        <w:pStyle w:val="TableofFigures"/>
        <w:tabs>
          <w:tab w:val="right" w:leader="dot" w:pos="9350"/>
        </w:tabs>
        <w:rPr>
          <w:rFonts w:cstheme="minorBidi"/>
          <w:i w:val="0"/>
          <w:iCs w:val="0"/>
          <w:noProof/>
          <w:sz w:val="24"/>
          <w:szCs w:val="24"/>
        </w:rPr>
      </w:pPr>
      <w:hyperlink w:anchor="_Toc76121114" w:history="1">
        <w:r w:rsidR="00A74C64" w:rsidRPr="00FE186C">
          <w:rPr>
            <w:rStyle w:val="Hyperlink"/>
            <w:noProof/>
          </w:rPr>
          <w:t>Figure 3. Histogram of Site Penetration by ZIP Code</w:t>
        </w:r>
        <w:r w:rsidR="00A74C64">
          <w:rPr>
            <w:noProof/>
            <w:webHidden/>
          </w:rPr>
          <w:tab/>
        </w:r>
        <w:r w:rsidR="00A74C64">
          <w:rPr>
            <w:noProof/>
            <w:webHidden/>
          </w:rPr>
          <w:fldChar w:fldCharType="begin"/>
        </w:r>
        <w:r w:rsidR="00A74C64">
          <w:rPr>
            <w:noProof/>
            <w:webHidden/>
          </w:rPr>
          <w:instrText xml:space="preserve"> PAGEREF _Toc76121114 \h </w:instrText>
        </w:r>
        <w:r w:rsidR="00A74C64">
          <w:rPr>
            <w:noProof/>
            <w:webHidden/>
          </w:rPr>
        </w:r>
        <w:r w:rsidR="00A74C64">
          <w:rPr>
            <w:noProof/>
            <w:webHidden/>
          </w:rPr>
          <w:fldChar w:fldCharType="separate"/>
        </w:r>
        <w:r w:rsidR="00A74C64">
          <w:rPr>
            <w:noProof/>
            <w:webHidden/>
          </w:rPr>
          <w:t>16</w:t>
        </w:r>
        <w:r w:rsidR="00A74C64">
          <w:rPr>
            <w:noProof/>
            <w:webHidden/>
          </w:rPr>
          <w:fldChar w:fldCharType="end"/>
        </w:r>
      </w:hyperlink>
    </w:p>
    <w:p w14:paraId="62CEDAE1" w14:textId="55DF85E0" w:rsidR="00A74C64" w:rsidRDefault="00DB1658">
      <w:pPr>
        <w:pStyle w:val="TableofFigures"/>
        <w:tabs>
          <w:tab w:val="right" w:leader="dot" w:pos="9350"/>
        </w:tabs>
        <w:rPr>
          <w:rFonts w:cstheme="minorBidi"/>
          <w:i w:val="0"/>
          <w:iCs w:val="0"/>
          <w:noProof/>
          <w:sz w:val="24"/>
          <w:szCs w:val="24"/>
        </w:rPr>
      </w:pPr>
      <w:hyperlink w:anchor="_Toc76121115" w:history="1">
        <w:r w:rsidR="00A74C64" w:rsidRPr="00FE186C">
          <w:rPr>
            <w:rStyle w:val="Hyperlink"/>
            <w:noProof/>
          </w:rPr>
          <w:t>Figure 4. Site Penetration Compared to Firm Size at the ZIP Code Level</w:t>
        </w:r>
        <w:r w:rsidR="00A74C64">
          <w:rPr>
            <w:noProof/>
            <w:webHidden/>
          </w:rPr>
          <w:tab/>
        </w:r>
        <w:r w:rsidR="00A74C64">
          <w:rPr>
            <w:noProof/>
            <w:webHidden/>
          </w:rPr>
          <w:fldChar w:fldCharType="begin"/>
        </w:r>
        <w:r w:rsidR="00A74C64">
          <w:rPr>
            <w:noProof/>
            <w:webHidden/>
          </w:rPr>
          <w:instrText xml:space="preserve"> PAGEREF _Toc76121115 \h </w:instrText>
        </w:r>
        <w:r w:rsidR="00A74C64">
          <w:rPr>
            <w:noProof/>
            <w:webHidden/>
          </w:rPr>
        </w:r>
        <w:r w:rsidR="00A74C64">
          <w:rPr>
            <w:noProof/>
            <w:webHidden/>
          </w:rPr>
          <w:fldChar w:fldCharType="separate"/>
        </w:r>
        <w:r w:rsidR="00A74C64">
          <w:rPr>
            <w:noProof/>
            <w:webHidden/>
          </w:rPr>
          <w:t>17</w:t>
        </w:r>
        <w:r w:rsidR="00A74C64">
          <w:rPr>
            <w:noProof/>
            <w:webHidden/>
          </w:rPr>
          <w:fldChar w:fldCharType="end"/>
        </w:r>
      </w:hyperlink>
    </w:p>
    <w:p w14:paraId="34AFC78D" w14:textId="1A109C28" w:rsidR="00A74C64" w:rsidRDefault="00DB1658">
      <w:pPr>
        <w:pStyle w:val="TableofFigures"/>
        <w:tabs>
          <w:tab w:val="right" w:leader="dot" w:pos="9350"/>
        </w:tabs>
        <w:rPr>
          <w:rFonts w:cstheme="minorBidi"/>
          <w:i w:val="0"/>
          <w:iCs w:val="0"/>
          <w:noProof/>
          <w:sz w:val="24"/>
          <w:szCs w:val="24"/>
        </w:rPr>
      </w:pPr>
      <w:hyperlink w:anchor="_Toc76121116" w:history="1">
        <w:r w:rsidR="00A74C64" w:rsidRPr="00FE186C">
          <w:rPr>
            <w:rStyle w:val="Hyperlink"/>
            <w:noProof/>
          </w:rPr>
          <w:t>Figure 5, Site Penetration Compared to CES3.0 Score at the ZIP Code Level</w:t>
        </w:r>
        <w:r w:rsidR="00A74C64">
          <w:rPr>
            <w:noProof/>
            <w:webHidden/>
          </w:rPr>
          <w:tab/>
        </w:r>
        <w:r w:rsidR="00A74C64">
          <w:rPr>
            <w:noProof/>
            <w:webHidden/>
          </w:rPr>
          <w:fldChar w:fldCharType="begin"/>
        </w:r>
        <w:r w:rsidR="00A74C64">
          <w:rPr>
            <w:noProof/>
            <w:webHidden/>
          </w:rPr>
          <w:instrText xml:space="preserve"> PAGEREF _Toc76121116 \h </w:instrText>
        </w:r>
        <w:r w:rsidR="00A74C64">
          <w:rPr>
            <w:noProof/>
            <w:webHidden/>
          </w:rPr>
        </w:r>
        <w:r w:rsidR="00A74C64">
          <w:rPr>
            <w:noProof/>
            <w:webHidden/>
          </w:rPr>
          <w:fldChar w:fldCharType="separate"/>
        </w:r>
        <w:r w:rsidR="00A74C64">
          <w:rPr>
            <w:noProof/>
            <w:webHidden/>
          </w:rPr>
          <w:t>19</w:t>
        </w:r>
        <w:r w:rsidR="00A74C64">
          <w:rPr>
            <w:noProof/>
            <w:webHidden/>
          </w:rPr>
          <w:fldChar w:fldCharType="end"/>
        </w:r>
      </w:hyperlink>
    </w:p>
    <w:p w14:paraId="56872F95" w14:textId="426D9748" w:rsidR="00A74C64" w:rsidRDefault="00DB1658">
      <w:pPr>
        <w:pStyle w:val="TableofFigures"/>
        <w:tabs>
          <w:tab w:val="right" w:leader="dot" w:pos="9350"/>
        </w:tabs>
        <w:rPr>
          <w:rFonts w:cstheme="minorBidi"/>
          <w:i w:val="0"/>
          <w:iCs w:val="0"/>
          <w:noProof/>
          <w:sz w:val="24"/>
          <w:szCs w:val="24"/>
        </w:rPr>
      </w:pPr>
      <w:hyperlink w:anchor="_Toc76121117" w:history="1">
        <w:r w:rsidR="00A74C64" w:rsidRPr="00FE186C">
          <w:rPr>
            <w:rStyle w:val="Hyperlink"/>
            <w:noProof/>
          </w:rPr>
          <w:t>Figure 6. Histograms of Normalized Population and Business Density</w:t>
        </w:r>
        <w:r w:rsidR="00A74C64">
          <w:rPr>
            <w:noProof/>
            <w:webHidden/>
          </w:rPr>
          <w:tab/>
        </w:r>
        <w:r w:rsidR="00A74C64">
          <w:rPr>
            <w:noProof/>
            <w:webHidden/>
          </w:rPr>
          <w:fldChar w:fldCharType="begin"/>
        </w:r>
        <w:r w:rsidR="00A74C64">
          <w:rPr>
            <w:noProof/>
            <w:webHidden/>
          </w:rPr>
          <w:instrText xml:space="preserve"> PAGEREF _Toc76121117 \h </w:instrText>
        </w:r>
        <w:r w:rsidR="00A74C64">
          <w:rPr>
            <w:noProof/>
            <w:webHidden/>
          </w:rPr>
        </w:r>
        <w:r w:rsidR="00A74C64">
          <w:rPr>
            <w:noProof/>
            <w:webHidden/>
          </w:rPr>
          <w:fldChar w:fldCharType="separate"/>
        </w:r>
        <w:r w:rsidR="00A74C64">
          <w:rPr>
            <w:noProof/>
            <w:webHidden/>
          </w:rPr>
          <w:t>21</w:t>
        </w:r>
        <w:r w:rsidR="00A74C64">
          <w:rPr>
            <w:noProof/>
            <w:webHidden/>
          </w:rPr>
          <w:fldChar w:fldCharType="end"/>
        </w:r>
      </w:hyperlink>
    </w:p>
    <w:p w14:paraId="1B394C49" w14:textId="4F020B9B" w:rsidR="00A74C64" w:rsidRDefault="00DB1658">
      <w:pPr>
        <w:pStyle w:val="TableofFigures"/>
        <w:tabs>
          <w:tab w:val="right" w:leader="dot" w:pos="9350"/>
        </w:tabs>
        <w:rPr>
          <w:rFonts w:cstheme="minorBidi"/>
          <w:i w:val="0"/>
          <w:iCs w:val="0"/>
          <w:noProof/>
          <w:sz w:val="24"/>
          <w:szCs w:val="24"/>
        </w:rPr>
      </w:pPr>
      <w:hyperlink w:anchor="_Toc76121118" w:history="1">
        <w:r w:rsidR="00A74C64" w:rsidRPr="00FE186C">
          <w:rPr>
            <w:rStyle w:val="Hyperlink"/>
            <w:noProof/>
          </w:rPr>
          <w:t>Figure 7. Histograms of Log Transforms for Population and Business Density</w:t>
        </w:r>
        <w:r w:rsidR="00A74C64">
          <w:rPr>
            <w:noProof/>
            <w:webHidden/>
          </w:rPr>
          <w:tab/>
        </w:r>
        <w:r w:rsidR="00A74C64">
          <w:rPr>
            <w:noProof/>
            <w:webHidden/>
          </w:rPr>
          <w:fldChar w:fldCharType="begin"/>
        </w:r>
        <w:r w:rsidR="00A74C64">
          <w:rPr>
            <w:noProof/>
            <w:webHidden/>
          </w:rPr>
          <w:instrText xml:space="preserve"> PAGEREF _Toc76121118 \h </w:instrText>
        </w:r>
        <w:r w:rsidR="00A74C64">
          <w:rPr>
            <w:noProof/>
            <w:webHidden/>
          </w:rPr>
        </w:r>
        <w:r w:rsidR="00A74C64">
          <w:rPr>
            <w:noProof/>
            <w:webHidden/>
          </w:rPr>
          <w:fldChar w:fldCharType="separate"/>
        </w:r>
        <w:r w:rsidR="00A74C64">
          <w:rPr>
            <w:noProof/>
            <w:webHidden/>
          </w:rPr>
          <w:t>21</w:t>
        </w:r>
        <w:r w:rsidR="00A74C64">
          <w:rPr>
            <w:noProof/>
            <w:webHidden/>
          </w:rPr>
          <w:fldChar w:fldCharType="end"/>
        </w:r>
      </w:hyperlink>
    </w:p>
    <w:p w14:paraId="0030483E" w14:textId="7E675268" w:rsidR="00A74C64" w:rsidRDefault="00DB1658">
      <w:pPr>
        <w:pStyle w:val="TableofFigures"/>
        <w:tabs>
          <w:tab w:val="right" w:leader="dot" w:pos="9350"/>
        </w:tabs>
        <w:rPr>
          <w:rFonts w:cstheme="minorBidi"/>
          <w:i w:val="0"/>
          <w:iCs w:val="0"/>
          <w:noProof/>
          <w:sz w:val="24"/>
          <w:szCs w:val="24"/>
        </w:rPr>
      </w:pPr>
      <w:hyperlink w:anchor="_Toc76121119" w:history="1">
        <w:r w:rsidR="00A74C64" w:rsidRPr="00FE186C">
          <w:rPr>
            <w:rStyle w:val="Hyperlink"/>
            <w:noProof/>
          </w:rPr>
          <w:t>Figure 8. Log of Business Density vs. Log of Population Density</w:t>
        </w:r>
        <w:r w:rsidR="00A74C64">
          <w:rPr>
            <w:noProof/>
            <w:webHidden/>
          </w:rPr>
          <w:tab/>
        </w:r>
        <w:r w:rsidR="00A74C64">
          <w:rPr>
            <w:noProof/>
            <w:webHidden/>
          </w:rPr>
          <w:fldChar w:fldCharType="begin"/>
        </w:r>
        <w:r w:rsidR="00A74C64">
          <w:rPr>
            <w:noProof/>
            <w:webHidden/>
          </w:rPr>
          <w:instrText xml:space="preserve"> PAGEREF _Toc76121119 \h </w:instrText>
        </w:r>
        <w:r w:rsidR="00A74C64">
          <w:rPr>
            <w:noProof/>
            <w:webHidden/>
          </w:rPr>
        </w:r>
        <w:r w:rsidR="00A74C64">
          <w:rPr>
            <w:noProof/>
            <w:webHidden/>
          </w:rPr>
          <w:fldChar w:fldCharType="separate"/>
        </w:r>
        <w:r w:rsidR="00A74C64">
          <w:rPr>
            <w:noProof/>
            <w:webHidden/>
          </w:rPr>
          <w:t>22</w:t>
        </w:r>
        <w:r w:rsidR="00A74C64">
          <w:rPr>
            <w:noProof/>
            <w:webHidden/>
          </w:rPr>
          <w:fldChar w:fldCharType="end"/>
        </w:r>
      </w:hyperlink>
    </w:p>
    <w:p w14:paraId="57501D15" w14:textId="63702E49" w:rsidR="00A74C64" w:rsidRDefault="00DB1658">
      <w:pPr>
        <w:pStyle w:val="TableofFigures"/>
        <w:tabs>
          <w:tab w:val="right" w:leader="dot" w:pos="9350"/>
        </w:tabs>
        <w:rPr>
          <w:rFonts w:cstheme="minorBidi"/>
          <w:i w:val="0"/>
          <w:iCs w:val="0"/>
          <w:noProof/>
          <w:sz w:val="24"/>
          <w:szCs w:val="24"/>
        </w:rPr>
      </w:pPr>
      <w:hyperlink w:anchor="_Toc76121120" w:history="1">
        <w:r w:rsidR="00A74C64" w:rsidRPr="00FE186C">
          <w:rPr>
            <w:rStyle w:val="Hyperlink"/>
            <w:noProof/>
          </w:rPr>
          <w:t>Figure 9. Site Penetration vs. Log of Business Density</w:t>
        </w:r>
        <w:r w:rsidR="00A74C64">
          <w:rPr>
            <w:noProof/>
            <w:webHidden/>
          </w:rPr>
          <w:tab/>
        </w:r>
        <w:r w:rsidR="00A74C64">
          <w:rPr>
            <w:noProof/>
            <w:webHidden/>
          </w:rPr>
          <w:fldChar w:fldCharType="begin"/>
        </w:r>
        <w:r w:rsidR="00A74C64">
          <w:rPr>
            <w:noProof/>
            <w:webHidden/>
          </w:rPr>
          <w:instrText xml:space="preserve"> PAGEREF _Toc76121120 \h </w:instrText>
        </w:r>
        <w:r w:rsidR="00A74C64">
          <w:rPr>
            <w:noProof/>
            <w:webHidden/>
          </w:rPr>
        </w:r>
        <w:r w:rsidR="00A74C64">
          <w:rPr>
            <w:noProof/>
            <w:webHidden/>
          </w:rPr>
          <w:fldChar w:fldCharType="separate"/>
        </w:r>
        <w:r w:rsidR="00A74C64">
          <w:rPr>
            <w:noProof/>
            <w:webHidden/>
          </w:rPr>
          <w:t>23</w:t>
        </w:r>
        <w:r w:rsidR="00A74C64">
          <w:rPr>
            <w:noProof/>
            <w:webHidden/>
          </w:rPr>
          <w:fldChar w:fldCharType="end"/>
        </w:r>
      </w:hyperlink>
    </w:p>
    <w:p w14:paraId="37788F10" w14:textId="1FBEE95C" w:rsidR="00A74C64" w:rsidRDefault="00DB1658">
      <w:pPr>
        <w:pStyle w:val="TableofFigures"/>
        <w:tabs>
          <w:tab w:val="right" w:leader="dot" w:pos="9350"/>
        </w:tabs>
        <w:rPr>
          <w:rFonts w:cstheme="minorBidi"/>
          <w:i w:val="0"/>
          <w:iCs w:val="0"/>
          <w:noProof/>
          <w:sz w:val="24"/>
          <w:szCs w:val="24"/>
        </w:rPr>
      </w:pPr>
      <w:hyperlink w:anchor="_Toc76121121" w:history="1">
        <w:r w:rsidR="00A74C64" w:rsidRPr="00FE186C">
          <w:rPr>
            <w:rStyle w:val="Hyperlink"/>
            <w:noProof/>
          </w:rPr>
          <w:t>Figure 10. County-level Site Penetration vs. Index of Relative Rurality 2010</w:t>
        </w:r>
        <w:r w:rsidR="00A74C64">
          <w:rPr>
            <w:noProof/>
            <w:webHidden/>
          </w:rPr>
          <w:tab/>
        </w:r>
        <w:r w:rsidR="00A74C64">
          <w:rPr>
            <w:noProof/>
            <w:webHidden/>
          </w:rPr>
          <w:fldChar w:fldCharType="begin"/>
        </w:r>
        <w:r w:rsidR="00A74C64">
          <w:rPr>
            <w:noProof/>
            <w:webHidden/>
          </w:rPr>
          <w:instrText xml:space="preserve"> PAGEREF _Toc76121121 \h </w:instrText>
        </w:r>
        <w:r w:rsidR="00A74C64">
          <w:rPr>
            <w:noProof/>
            <w:webHidden/>
          </w:rPr>
        </w:r>
        <w:r w:rsidR="00A74C64">
          <w:rPr>
            <w:noProof/>
            <w:webHidden/>
          </w:rPr>
          <w:fldChar w:fldCharType="separate"/>
        </w:r>
        <w:r w:rsidR="00A74C64">
          <w:rPr>
            <w:noProof/>
            <w:webHidden/>
          </w:rPr>
          <w:t>30</w:t>
        </w:r>
        <w:r w:rsidR="00A74C64">
          <w:rPr>
            <w:noProof/>
            <w:webHidden/>
          </w:rPr>
          <w:fldChar w:fldCharType="end"/>
        </w:r>
      </w:hyperlink>
    </w:p>
    <w:p w14:paraId="353010F3" w14:textId="27153846" w:rsidR="00D21DAB" w:rsidRDefault="002727B8" w:rsidP="007C57C2">
      <w:r>
        <w:fldChar w:fldCharType="end"/>
      </w:r>
    </w:p>
    <w:p w14:paraId="771727FD" w14:textId="77777777" w:rsidR="00D21DAB" w:rsidRDefault="00D21DAB" w:rsidP="007C57C2"/>
    <w:p w14:paraId="17942FB3" w14:textId="7224567F" w:rsidR="002727B8" w:rsidRPr="00D21DAB" w:rsidRDefault="002727B8" w:rsidP="007C57C2">
      <w:pPr>
        <w:sectPr w:rsidR="002727B8" w:rsidRPr="00D21DAB" w:rsidSect="004C3994">
          <w:footerReference w:type="even" r:id="rId9"/>
          <w:pgSz w:w="12240" w:h="15840"/>
          <w:pgMar w:top="1440" w:right="1440" w:bottom="1440" w:left="1440" w:header="360" w:footer="720" w:gutter="0"/>
          <w:pgNumType w:fmt="lowerRoman"/>
          <w:cols w:space="720"/>
          <w:titlePg/>
        </w:sectPr>
      </w:pPr>
    </w:p>
    <w:p w14:paraId="4FDBA5CE" w14:textId="46B01D47" w:rsidR="0008307C" w:rsidRDefault="0008307C" w:rsidP="00984939">
      <w:pPr>
        <w:pStyle w:val="Heading1"/>
      </w:pPr>
      <w:bookmarkStart w:id="0" w:name="_Toc76121044"/>
      <w:r>
        <w:lastRenderedPageBreak/>
        <w:t>Executive Summary</w:t>
      </w:r>
      <w:bookmarkEnd w:id="0"/>
    </w:p>
    <w:p w14:paraId="54E4A222" w14:textId="77777777" w:rsidR="00BC4357" w:rsidRPr="00677DCE" w:rsidRDefault="00861AA5" w:rsidP="00861AA5">
      <w:r>
        <w:t>The California Energy Efficiency Coordinating Committee (CAEECC) Small and Medium Business Underserved Working Group (SMB UWG) examined a large set of energy efficiency (EE) participation data for programs that investor-owned utilities (IOUs) identified as targeting SMBs. This data set was for over 270,000 energy efficiency project claims from 2017 through 2019 for 71 programs from four IOUs across California</w:t>
      </w:r>
      <w:r w:rsidR="002C749F">
        <w:t>.</w:t>
      </w:r>
      <w:r>
        <w:rPr>
          <w:rStyle w:val="FootnoteReference"/>
        </w:rPr>
        <w:footnoteReference w:id="1"/>
      </w:r>
      <w:r>
        <w:t xml:space="preserve"> By combining the EE claims data set with publicly available data on business characteristics, demographics, rurality, and environmental and social justice factors, we were able to examine who was and was not benefiting from these energy efficiency programs. We specifically examined participation rates, savings, and investment flow against variables that the UWG identified as typically being </w:t>
      </w:r>
      <w:r w:rsidRPr="00677DCE">
        <w:t>underserved.</w:t>
      </w:r>
      <w:r w:rsidR="00195C69" w:rsidRPr="00677DCE">
        <w:t xml:space="preserve"> </w:t>
      </w:r>
    </w:p>
    <w:p w14:paraId="55D5C003" w14:textId="158591A1" w:rsidR="00E1336E" w:rsidRDefault="00677DCE" w:rsidP="00861AA5">
      <w:r w:rsidRPr="00677DCE">
        <w:t>We present our findings in</w:t>
      </w:r>
      <w:r w:rsidR="00861AA5" w:rsidRPr="00677DCE">
        <w:t xml:space="preserve"> three general categories: </w:t>
      </w:r>
      <w:r w:rsidR="00E1336E" w:rsidRPr="00677DCE">
        <w:t xml:space="preserve">variables </w:t>
      </w:r>
      <w:r w:rsidRPr="00677DCE">
        <w:t>illustrating an underserved characteristic,</w:t>
      </w:r>
      <w:r w:rsidR="00E1336E" w:rsidRPr="00677DCE">
        <w:t xml:space="preserve"> variables </w:t>
      </w:r>
      <w:r w:rsidRPr="00677DCE">
        <w:t xml:space="preserve">indicating </w:t>
      </w:r>
      <w:r>
        <w:t xml:space="preserve">positive </w:t>
      </w:r>
      <w:r w:rsidR="00194AD7">
        <w:t>correlation with EE participation, savings and investment</w:t>
      </w:r>
      <w:r w:rsidR="00E1336E" w:rsidRPr="00677DCE">
        <w:t>, and those variables that showed no</w:t>
      </w:r>
      <w:r w:rsidR="00861AA5" w:rsidRPr="00677DCE">
        <w:t xml:space="preserve"> observable </w:t>
      </w:r>
      <w:r w:rsidR="00E1336E" w:rsidRPr="00677DCE">
        <w:t>impact</w:t>
      </w:r>
      <w:r w:rsidR="00194AD7">
        <w:t xml:space="preserve"> on underserved status</w:t>
      </w:r>
      <w:r w:rsidR="00E1336E" w:rsidRPr="00677DCE">
        <w:t xml:space="preserve">. </w:t>
      </w:r>
      <w:r w:rsidRPr="00677DCE">
        <w:fldChar w:fldCharType="begin"/>
      </w:r>
      <w:r w:rsidRPr="00677DCE">
        <w:instrText xml:space="preserve"> REF _Ref75205087 \h </w:instrText>
      </w:r>
      <w:r>
        <w:instrText xml:space="preserve"> \* MERGEFORMAT </w:instrText>
      </w:r>
      <w:r w:rsidRPr="00677DCE">
        <w:fldChar w:fldCharType="separate"/>
      </w:r>
      <w:r w:rsidR="00A74C64">
        <w:t xml:space="preserve">Table </w:t>
      </w:r>
      <w:r w:rsidR="00A74C64">
        <w:rPr>
          <w:noProof/>
        </w:rPr>
        <w:t>1</w:t>
      </w:r>
      <w:r w:rsidRPr="00677DCE">
        <w:fldChar w:fldCharType="end"/>
      </w:r>
      <w:r w:rsidRPr="00677DCE">
        <w:t xml:space="preserve"> provides a full breakout</w:t>
      </w:r>
      <w:r>
        <w:t xml:space="preserve"> of the results for each variable and the results are summarized below.</w:t>
      </w:r>
    </w:p>
    <w:p w14:paraId="603814BB" w14:textId="2978426E" w:rsidR="00E1336E" w:rsidRPr="00E1336E" w:rsidRDefault="00E1336E" w:rsidP="00861AA5">
      <w:pPr>
        <w:rPr>
          <w:b/>
          <w:bCs/>
          <w:u w:val="single"/>
        </w:rPr>
      </w:pPr>
      <w:r w:rsidRPr="00E1336E">
        <w:rPr>
          <w:b/>
          <w:bCs/>
          <w:u w:val="single"/>
        </w:rPr>
        <w:t>Variables Associated with</w:t>
      </w:r>
      <w:r w:rsidR="00677DCE">
        <w:rPr>
          <w:b/>
          <w:bCs/>
          <w:u w:val="single"/>
        </w:rPr>
        <w:t xml:space="preserve"> an Underserved Characteristic</w:t>
      </w:r>
      <w:r>
        <w:rPr>
          <w:b/>
          <w:bCs/>
          <w:u w:val="single"/>
        </w:rPr>
        <w:t xml:space="preserve"> </w:t>
      </w:r>
    </w:p>
    <w:p w14:paraId="424F1BC4" w14:textId="28FBCBB2" w:rsidR="00855B2E" w:rsidRDefault="00E1336E" w:rsidP="00861AA5">
      <w:r>
        <w:t xml:space="preserve">The main finding was that firm size, as measured by the number of employees, had the largest identifiable effect on participation, savings, and </w:t>
      </w:r>
      <w:proofErr w:type="gramStart"/>
      <w:r>
        <w:t>investment</w:t>
      </w:r>
      <w:r w:rsidR="00677DCE">
        <w:t xml:space="preserve"> .</w:t>
      </w:r>
      <w:proofErr w:type="gramEnd"/>
      <w:r w:rsidR="00677DCE">
        <w:t xml:space="preserve"> The business size factors combined made up about two-thirds of the explanatory power of the best fit regression.</w:t>
      </w:r>
      <w:r>
        <w:t xml:space="preserve"> </w:t>
      </w:r>
      <w:r w:rsidR="00BC4357">
        <w:t xml:space="preserve">We documented this finding most directly in </w:t>
      </w:r>
      <w:r w:rsidR="00677DCE">
        <w:t>a few ways</w:t>
      </w:r>
      <w:r>
        <w:t xml:space="preserve"> “</w:t>
      </w:r>
      <w:r w:rsidR="00677DCE">
        <w:t>M</w:t>
      </w:r>
      <w:r>
        <w:t xml:space="preserve">icro” firms that had less than 10 employees were associated with lower participation rates, saw less investment, and less savings, even after having controlled for multiple other variables. This finding is in line with the many barriers that have been identified with serving the smallest of business customers, including split incentives for landlords and tenants, </w:t>
      </w:r>
      <w:r w:rsidR="00855B2E">
        <w:t xml:space="preserve">difficulty paying </w:t>
      </w:r>
      <w:r>
        <w:t xml:space="preserve">up-front costs for undertaking energy efficiency investment, and the difficulty and cost associated with educating small businesses on EE opportunities. </w:t>
      </w:r>
    </w:p>
    <w:p w14:paraId="22D0ECD8" w14:textId="2C94F029" w:rsidR="00E1336E" w:rsidRDefault="00E1336E" w:rsidP="00861AA5">
      <w:r>
        <w:t xml:space="preserve">We also found </w:t>
      </w:r>
      <w:r w:rsidR="00855B2E">
        <w:t>some slight gaps in participation by</w:t>
      </w:r>
      <w:r>
        <w:t xml:space="preserve"> communities with</w:t>
      </w:r>
      <w:r w:rsidR="00855B2E">
        <w:t xml:space="preserve"> higher percentages of the population below the poverty line and</w:t>
      </w:r>
      <w:r>
        <w:t xml:space="preserve"> environmental issues, as identified under the CalEnviroScreen 3.0</w:t>
      </w:r>
      <w:r w:rsidR="00855B2E">
        <w:t xml:space="preserve"> (CES3.0)</w:t>
      </w:r>
      <w:r>
        <w:t xml:space="preserve"> Score</w:t>
      </w:r>
      <w:r w:rsidR="00855B2E">
        <w:t xml:space="preserve">. While these effects were small, they were statistically significant and show that communities in which </w:t>
      </w:r>
      <w:r w:rsidR="00677DCE">
        <w:t>environmental issues exist may lead to less participation by SMBs.</w:t>
      </w:r>
    </w:p>
    <w:p w14:paraId="68CE3001" w14:textId="5175CC5A" w:rsidR="00677DCE" w:rsidRDefault="00677DCE" w:rsidP="00861AA5">
      <w:r>
        <w:lastRenderedPageBreak/>
        <w:t xml:space="preserve">We also found some small, but ultimately inconclusive evidence, that SMBs in ZIP Codes with higher portions of Native American populations and </w:t>
      </w:r>
      <w:proofErr w:type="spellStart"/>
      <w:r>
        <w:t>foregin</w:t>
      </w:r>
      <w:proofErr w:type="spellEnd"/>
      <w:r>
        <w:t xml:space="preserve"> born populations are underserved by energy efficiency programs. </w:t>
      </w:r>
    </w:p>
    <w:p w14:paraId="347D53BC" w14:textId="0BB84DEF" w:rsidR="00E1336E" w:rsidRPr="00E1336E" w:rsidRDefault="00E1336E" w:rsidP="00861AA5">
      <w:pPr>
        <w:rPr>
          <w:b/>
          <w:bCs/>
          <w:u w:val="single"/>
        </w:rPr>
      </w:pPr>
      <w:r w:rsidRPr="00E1336E">
        <w:rPr>
          <w:b/>
          <w:bCs/>
          <w:u w:val="single"/>
        </w:rPr>
        <w:t xml:space="preserve">Variables Associated with </w:t>
      </w:r>
      <w:r w:rsidR="00677DCE">
        <w:rPr>
          <w:b/>
          <w:bCs/>
          <w:u w:val="single"/>
        </w:rPr>
        <w:t xml:space="preserve">Higher </w:t>
      </w:r>
      <w:r w:rsidR="00194AD7">
        <w:rPr>
          <w:b/>
          <w:bCs/>
          <w:u w:val="single"/>
        </w:rPr>
        <w:t>EE Participation, Savings and Investment</w:t>
      </w:r>
    </w:p>
    <w:p w14:paraId="21E265D6" w14:textId="195529FD" w:rsidR="00855B2E" w:rsidRDefault="00855B2E" w:rsidP="00855B2E">
      <w:r>
        <w:t xml:space="preserve">Most interestingly, we found that a ZIP Code with any larger business presence increased program uptake rates across all </w:t>
      </w:r>
      <w:proofErr w:type="gramStart"/>
      <w:r>
        <w:t>micro</w:t>
      </w:r>
      <w:proofErr w:type="gramEnd"/>
      <w:r>
        <w:t xml:space="preserve">, small, and medium businesses. This seems to imply a spillover effect from larger businesses as it relates to SMB EE program participation. It also shows how communities of more exclusively small and micro business may be more insular and difficult to reach.  </w:t>
      </w:r>
    </w:p>
    <w:p w14:paraId="02DFB216" w14:textId="361D6C86" w:rsidR="00E1336E" w:rsidRDefault="00855B2E" w:rsidP="00861AA5">
      <w:r>
        <w:t xml:space="preserve">We also found </w:t>
      </w:r>
      <w:r w:rsidR="00677DCE">
        <w:t>higher rates of participation, investment and savings</w:t>
      </w:r>
      <w:r>
        <w:t xml:space="preserve"> for a few variables that we had original hypothesized to be associated with lower participation and benefits. This includes Asian and Hispanic communities, as well as higher program uptake in ZIP Codes with fewer businesses per square kilometer. This probably indicates that the efforts of SMB program administrators to reach some underserved groups were successful. However, without the greater context of full non-residential investment and savings potential, it is difficult to say whether these groups are still underserved or not. Ultimately, it may be that these specific programs have been </w:t>
      </w:r>
      <w:r w:rsidR="00DD2DCD">
        <w:t xml:space="preserve">somewhat </w:t>
      </w:r>
      <w:r>
        <w:t>successful at reaching some underserved communities, but not that these communities are receiving the full benefits that are technically or economically possible.</w:t>
      </w:r>
    </w:p>
    <w:p w14:paraId="5EA33BE8" w14:textId="1995D521" w:rsidR="00855B2E" w:rsidRPr="00E1336E" w:rsidRDefault="00855B2E" w:rsidP="00855B2E">
      <w:pPr>
        <w:rPr>
          <w:b/>
          <w:bCs/>
          <w:u w:val="single"/>
        </w:rPr>
      </w:pPr>
      <w:r w:rsidRPr="00E1336E">
        <w:rPr>
          <w:b/>
          <w:bCs/>
          <w:u w:val="single"/>
        </w:rPr>
        <w:t xml:space="preserve">Variables </w:t>
      </w:r>
      <w:r>
        <w:rPr>
          <w:b/>
          <w:bCs/>
          <w:u w:val="single"/>
        </w:rPr>
        <w:t>without any Observable Impact</w:t>
      </w:r>
      <w:r w:rsidR="00194AD7">
        <w:rPr>
          <w:b/>
          <w:bCs/>
          <w:u w:val="single"/>
        </w:rPr>
        <w:t xml:space="preserve"> on </w:t>
      </w:r>
      <w:proofErr w:type="spellStart"/>
      <w:r w:rsidR="00194AD7">
        <w:rPr>
          <w:b/>
          <w:bCs/>
          <w:u w:val="single"/>
        </w:rPr>
        <w:t>Undereserved</w:t>
      </w:r>
      <w:proofErr w:type="spellEnd"/>
      <w:r w:rsidR="00194AD7">
        <w:rPr>
          <w:b/>
          <w:bCs/>
          <w:u w:val="single"/>
        </w:rPr>
        <w:t xml:space="preserve"> Status</w:t>
      </w:r>
    </w:p>
    <w:p w14:paraId="10DB84E8" w14:textId="3438767D" w:rsidR="00861AA5" w:rsidRDefault="00D0692F" w:rsidP="00861AA5">
      <w:r>
        <w:t xml:space="preserve">For some of the variables we examined we were unable to find any statistically significant results, either positive or negative. The main variable we found this for was the percentage of the population that was African American. We also found no effect for a more comprehensive measure of rurality at the county level called the Index of Relative Rurality. </w:t>
      </w:r>
      <w:r w:rsidR="00DD2DCD">
        <w:t xml:space="preserve"> </w:t>
      </w:r>
    </w:p>
    <w:p w14:paraId="4A125C72" w14:textId="0A761C15" w:rsidR="00855B2E" w:rsidRPr="00E1336E" w:rsidRDefault="00855B2E" w:rsidP="00855B2E">
      <w:pPr>
        <w:rPr>
          <w:b/>
          <w:bCs/>
          <w:u w:val="single"/>
        </w:rPr>
      </w:pPr>
      <w:r>
        <w:rPr>
          <w:b/>
          <w:bCs/>
          <w:u w:val="single"/>
        </w:rPr>
        <w:t>Data Challenges</w:t>
      </w:r>
    </w:p>
    <w:p w14:paraId="50868143" w14:textId="64AC94EC" w:rsidR="00861AA5" w:rsidRDefault="00D0692F" w:rsidP="00861AA5">
      <w:r>
        <w:t xml:space="preserve">While performing the analysis, we also </w:t>
      </w:r>
      <w:r w:rsidR="00861AA5">
        <w:t xml:space="preserve">encountered various challenges around data collection and classification that could be </w:t>
      </w:r>
      <w:r w:rsidR="00195C69">
        <w:t>improved</w:t>
      </w:r>
      <w:r w:rsidR="00861AA5">
        <w:t xml:space="preserve"> upon to better understand </w:t>
      </w:r>
      <w:r>
        <w:t xml:space="preserve">EE data and </w:t>
      </w:r>
      <w:r w:rsidR="00861AA5">
        <w:t xml:space="preserve">the issues facing underserved </w:t>
      </w:r>
      <w:r w:rsidR="00195C69">
        <w:t>communities</w:t>
      </w:r>
      <w:r>
        <w:t xml:space="preserve"> in the future</w:t>
      </w:r>
      <w:r w:rsidR="00861AA5">
        <w:t>. In particular</w:t>
      </w:r>
      <w:r>
        <w:t xml:space="preserve"> we found two areas that we believe could be improved upon. </w:t>
      </w:r>
    </w:p>
    <w:p w14:paraId="5319BE08" w14:textId="3F55876E" w:rsidR="00861AA5" w:rsidRDefault="00D0692F" w:rsidP="00677DCE">
      <w:pPr>
        <w:pStyle w:val="ListParagraph"/>
        <w:numPr>
          <w:ilvl w:val="0"/>
          <w:numId w:val="28"/>
        </w:numPr>
      </w:pPr>
      <w:r>
        <w:t>Claim data was not tied to rate class in any usable way. While a rate class field exists in the California Energy Data and Reporting System (CEDARS), it was not used by most IOUs, and if it was used, was not based on any specific rules that we were able to determine. While other fields exist to identify residential customers, there was no way to separate out different types of non-residential participation data, and so the analysis we performed was based on a data set of programs associated with SMB customers, and not specifically associated with participation of existing SMB rate classes in all EE programs.</w:t>
      </w:r>
    </w:p>
    <w:p w14:paraId="62FA0402" w14:textId="220C56E8" w:rsidR="00195C69" w:rsidRDefault="00D0692F" w:rsidP="00677DCE">
      <w:pPr>
        <w:pStyle w:val="ListParagraph"/>
        <w:numPr>
          <w:ilvl w:val="0"/>
          <w:numId w:val="28"/>
        </w:numPr>
      </w:pPr>
      <w:r>
        <w:lastRenderedPageBreak/>
        <w:t>We were unable to obtain complete documentation for many of the fields in CEDARS. A publicly available spreadsheet provided a one or two sentence description, and another document provided the list of possible values, but there was no documentation of the meaning behind possible values, and so often times we relied on educated guesses in order to interpret some of the CEDARS data.</w:t>
      </w:r>
    </w:p>
    <w:p w14:paraId="693995D5" w14:textId="1D81D1F1" w:rsidR="00D0692F" w:rsidRPr="00E1336E" w:rsidRDefault="00D0692F" w:rsidP="00D0692F">
      <w:pPr>
        <w:rPr>
          <w:b/>
          <w:bCs/>
          <w:u w:val="single"/>
        </w:rPr>
      </w:pPr>
      <w:r>
        <w:rPr>
          <w:b/>
          <w:bCs/>
          <w:u w:val="single"/>
        </w:rPr>
        <w:t xml:space="preserve">Additional </w:t>
      </w:r>
      <w:r w:rsidR="00DD2DCD">
        <w:rPr>
          <w:b/>
          <w:bCs/>
          <w:u w:val="single"/>
        </w:rPr>
        <w:t xml:space="preserve">Future </w:t>
      </w:r>
      <w:r>
        <w:rPr>
          <w:b/>
          <w:bCs/>
          <w:u w:val="single"/>
        </w:rPr>
        <w:t>Analysis</w:t>
      </w:r>
      <w:r w:rsidR="00DD2DCD">
        <w:rPr>
          <w:b/>
          <w:bCs/>
          <w:u w:val="single"/>
        </w:rPr>
        <w:t xml:space="preserve"> that Merits Completion</w:t>
      </w:r>
    </w:p>
    <w:p w14:paraId="21222F67" w14:textId="6B671E0E" w:rsidR="00195C69" w:rsidRDefault="00195C69" w:rsidP="00861AA5">
      <w:r w:rsidRPr="00195C69">
        <w:t xml:space="preserve">Finally, we believe that additional work is probably warranted regarding the comparison of SMB program data to participants in all non-residential energy efficiency programs, as well as the additional contextualization of savings against savings potential and/or energy usage. </w:t>
      </w:r>
    </w:p>
    <w:p w14:paraId="1CF1AADA" w14:textId="3616BB74" w:rsidR="00195C69" w:rsidRDefault="00195C69" w:rsidP="00861AA5">
      <w:pPr>
        <w:sectPr w:rsidR="00195C69" w:rsidSect="004C3994">
          <w:headerReference w:type="default" r:id="rId10"/>
          <w:footerReference w:type="default" r:id="rId11"/>
          <w:pgSz w:w="12240" w:h="15840"/>
          <w:pgMar w:top="1440" w:right="1440" w:bottom="1440" w:left="1440" w:header="360" w:footer="720" w:gutter="0"/>
          <w:pgNumType w:start="1"/>
          <w:cols w:space="720"/>
        </w:sectPr>
      </w:pPr>
    </w:p>
    <w:p w14:paraId="1D9C18D1" w14:textId="6BEDCD80" w:rsidR="00861AA5" w:rsidRDefault="00861AA5" w:rsidP="00861AA5"/>
    <w:p w14:paraId="40896301" w14:textId="5D47BBE4" w:rsidR="0008307C" w:rsidRDefault="00861AA5" w:rsidP="00861AA5">
      <w:pPr>
        <w:pStyle w:val="Caption"/>
      </w:pPr>
      <w:bookmarkStart w:id="1" w:name="_Ref75205087"/>
      <w:bookmarkStart w:id="2" w:name="_Toc76121094"/>
      <w:r>
        <w:t xml:space="preserve">Table </w:t>
      </w:r>
      <w:r w:rsidR="00DB1658">
        <w:fldChar w:fldCharType="begin"/>
      </w:r>
      <w:r w:rsidR="00DB1658">
        <w:instrText xml:space="preserve"> SEQ Table \* ARABIC </w:instrText>
      </w:r>
      <w:r w:rsidR="00DB1658">
        <w:fldChar w:fldCharType="separate"/>
      </w:r>
      <w:r w:rsidR="00A74C64">
        <w:rPr>
          <w:noProof/>
        </w:rPr>
        <w:t>1</w:t>
      </w:r>
      <w:r w:rsidR="00DB1658">
        <w:rPr>
          <w:noProof/>
        </w:rPr>
        <w:fldChar w:fldCharType="end"/>
      </w:r>
      <w:bookmarkEnd w:id="1"/>
      <w:r w:rsidR="002C749F">
        <w:t xml:space="preserve">. Summary of </w:t>
      </w:r>
      <w:r w:rsidR="009731DB">
        <w:t xml:space="preserve">Main </w:t>
      </w:r>
      <w:r w:rsidR="002C749F">
        <w:t xml:space="preserve">Variables Examined </w:t>
      </w:r>
      <w:r w:rsidR="00531760">
        <w:t>and Key Findings</w:t>
      </w:r>
      <w:bookmarkEnd w:id="2"/>
      <w:r w:rsidR="002C749F">
        <w:t xml:space="preserve"> </w:t>
      </w:r>
    </w:p>
    <w:tbl>
      <w:tblPr>
        <w:tblStyle w:val="TableGrid"/>
        <w:tblW w:w="13855" w:type="dxa"/>
        <w:tblLook w:val="04A0" w:firstRow="1" w:lastRow="0" w:firstColumn="1" w:lastColumn="0" w:noHBand="0" w:noVBand="1"/>
      </w:tblPr>
      <w:tblGrid>
        <w:gridCol w:w="2875"/>
        <w:gridCol w:w="3060"/>
        <w:gridCol w:w="4260"/>
        <w:gridCol w:w="3660"/>
      </w:tblGrid>
      <w:tr w:rsidR="0008307C" w:rsidRPr="004C3994" w14:paraId="5DCE82F1" w14:textId="77777777" w:rsidTr="00677DCE">
        <w:trPr>
          <w:cantSplit/>
          <w:tblHeader/>
        </w:trPr>
        <w:tc>
          <w:tcPr>
            <w:tcW w:w="2875" w:type="dxa"/>
            <w:shd w:val="clear" w:color="auto" w:fill="DBE5F1" w:themeFill="accent1" w:themeFillTint="33"/>
          </w:tcPr>
          <w:p w14:paraId="71A7EBBD" w14:textId="77777777" w:rsidR="0008307C" w:rsidRPr="004C3994" w:rsidRDefault="0008307C" w:rsidP="004250D8">
            <w:pPr>
              <w:pStyle w:val="Normal-Table"/>
              <w:rPr>
                <w:b/>
                <w:bCs w:val="0"/>
              </w:rPr>
            </w:pPr>
            <w:r w:rsidRPr="00AF6756">
              <w:rPr>
                <w:b/>
              </w:rPr>
              <w:t>Variable Examined</w:t>
            </w:r>
          </w:p>
        </w:tc>
        <w:tc>
          <w:tcPr>
            <w:tcW w:w="3060" w:type="dxa"/>
            <w:shd w:val="clear" w:color="auto" w:fill="DBE5F1" w:themeFill="accent1" w:themeFillTint="33"/>
          </w:tcPr>
          <w:p w14:paraId="520BA25A" w14:textId="77777777" w:rsidR="0008307C" w:rsidRPr="004C3994" w:rsidRDefault="0008307C" w:rsidP="004250D8">
            <w:pPr>
              <w:pStyle w:val="Normal-Table"/>
              <w:rPr>
                <w:b/>
                <w:bCs w:val="0"/>
              </w:rPr>
            </w:pPr>
            <w:r>
              <w:rPr>
                <w:b/>
              </w:rPr>
              <w:t xml:space="preserve"> Hypothesis</w:t>
            </w:r>
          </w:p>
        </w:tc>
        <w:tc>
          <w:tcPr>
            <w:tcW w:w="4260" w:type="dxa"/>
            <w:shd w:val="clear" w:color="auto" w:fill="DBE5F1" w:themeFill="accent1" w:themeFillTint="33"/>
          </w:tcPr>
          <w:p w14:paraId="236037BB" w14:textId="77777777" w:rsidR="0008307C" w:rsidRDefault="0008307C" w:rsidP="004250D8">
            <w:pPr>
              <w:pStyle w:val="Normal-Table"/>
              <w:rPr>
                <w:b/>
                <w:bCs w:val="0"/>
              </w:rPr>
            </w:pPr>
            <w:r w:rsidRPr="00AF6756">
              <w:rPr>
                <w:b/>
              </w:rPr>
              <w:t>Actual Relationship</w:t>
            </w:r>
          </w:p>
        </w:tc>
        <w:tc>
          <w:tcPr>
            <w:tcW w:w="3660" w:type="dxa"/>
            <w:shd w:val="clear" w:color="auto" w:fill="DBE5F1" w:themeFill="accent1" w:themeFillTint="33"/>
          </w:tcPr>
          <w:p w14:paraId="3D46BD07" w14:textId="26718FA6" w:rsidR="0008307C" w:rsidRDefault="0008307C" w:rsidP="004250D8">
            <w:pPr>
              <w:pStyle w:val="Normal-Table"/>
              <w:rPr>
                <w:b/>
                <w:bCs w:val="0"/>
              </w:rPr>
            </w:pPr>
            <w:r w:rsidRPr="00AF6756">
              <w:rPr>
                <w:b/>
              </w:rPr>
              <w:t xml:space="preserve">Potential Explanation of Relationship </w:t>
            </w:r>
          </w:p>
        </w:tc>
      </w:tr>
      <w:tr w:rsidR="00677DCE" w:rsidRPr="00AF6756" w14:paraId="6478C611" w14:textId="77777777" w:rsidTr="00677DCE">
        <w:trPr>
          <w:cantSplit/>
          <w:tblHeader/>
        </w:trPr>
        <w:tc>
          <w:tcPr>
            <w:tcW w:w="13855" w:type="dxa"/>
            <w:gridSpan w:val="4"/>
            <w:shd w:val="clear" w:color="auto" w:fill="DBE5F1" w:themeFill="accent1" w:themeFillTint="33"/>
          </w:tcPr>
          <w:p w14:paraId="13DEC6AE" w14:textId="77777777" w:rsidR="00677DCE" w:rsidRPr="00677DCE" w:rsidRDefault="00677DCE" w:rsidP="00FE1CFE">
            <w:pPr>
              <w:pStyle w:val="Normal-Table"/>
              <w:jc w:val="center"/>
              <w:rPr>
                <w:b/>
                <w:sz w:val="28"/>
                <w:szCs w:val="32"/>
              </w:rPr>
            </w:pPr>
            <w:r w:rsidRPr="00677DCE">
              <w:rPr>
                <w:b/>
                <w:sz w:val="28"/>
                <w:szCs w:val="32"/>
              </w:rPr>
              <w:t>Underserved Characteristics</w:t>
            </w:r>
          </w:p>
        </w:tc>
      </w:tr>
      <w:tr w:rsidR="00677DCE" w14:paraId="5A36B265" w14:textId="77777777" w:rsidTr="00677DCE">
        <w:trPr>
          <w:cantSplit/>
        </w:trPr>
        <w:tc>
          <w:tcPr>
            <w:tcW w:w="2875" w:type="dxa"/>
          </w:tcPr>
          <w:p w14:paraId="65CE0600" w14:textId="77777777" w:rsidR="00677DCE" w:rsidRDefault="00677DCE" w:rsidP="00FE1CFE">
            <w:pPr>
              <w:pStyle w:val="Normal-Table"/>
            </w:pPr>
            <w:r>
              <w:t>Firm Size</w:t>
            </w:r>
          </w:p>
        </w:tc>
        <w:tc>
          <w:tcPr>
            <w:tcW w:w="3060" w:type="dxa"/>
          </w:tcPr>
          <w:p w14:paraId="2BC92836" w14:textId="77777777" w:rsidR="00677DCE" w:rsidRDefault="00677DCE" w:rsidP="00FE1CFE">
            <w:pPr>
              <w:pStyle w:val="Normal-Table"/>
            </w:pPr>
            <w:r>
              <w:t>Program uptake by smaller firms as measured by employee counts would be lower than larger firms</w:t>
            </w:r>
          </w:p>
        </w:tc>
        <w:tc>
          <w:tcPr>
            <w:tcW w:w="4260" w:type="dxa"/>
          </w:tcPr>
          <w:p w14:paraId="5F185CE8" w14:textId="75500273" w:rsidR="00677DCE" w:rsidRDefault="00677DCE" w:rsidP="00FE1CFE">
            <w:pPr>
              <w:pStyle w:val="Normal-Table"/>
            </w:pPr>
            <w:r>
              <w:t>Micro firms had negative correlation with uptake, savings, and investment. ZIP Codes with larger shares of large firms had higher take up rates. This was the finding with the most explanatory power.</w:t>
            </w:r>
          </w:p>
        </w:tc>
        <w:tc>
          <w:tcPr>
            <w:tcW w:w="3660" w:type="dxa"/>
          </w:tcPr>
          <w:p w14:paraId="44B12073" w14:textId="77777777" w:rsidR="00677DCE" w:rsidRDefault="00677DCE" w:rsidP="00FE1CFE">
            <w:pPr>
              <w:pStyle w:val="Normal-Table"/>
            </w:pPr>
            <w:r>
              <w:t xml:space="preserve">Interesting result and may show some spillover effects from large firms to small firms. Also shows some gaps exist between large and small firms and that employee count is a potentially valid metric for determining firm size.  </w:t>
            </w:r>
          </w:p>
        </w:tc>
      </w:tr>
      <w:tr w:rsidR="00677DCE" w14:paraId="2C6EAEF5" w14:textId="77777777" w:rsidTr="00677DCE">
        <w:trPr>
          <w:cantSplit/>
          <w:trHeight w:val="386"/>
        </w:trPr>
        <w:tc>
          <w:tcPr>
            <w:tcW w:w="2875" w:type="dxa"/>
          </w:tcPr>
          <w:p w14:paraId="19D0EE26" w14:textId="77777777" w:rsidR="00677DCE" w:rsidRDefault="00677DCE" w:rsidP="00FE1CFE">
            <w:pPr>
              <w:pStyle w:val="Normal-Table"/>
            </w:pPr>
            <w:r>
              <w:t xml:space="preserve">CES3.0 </w:t>
            </w:r>
            <w:proofErr w:type="gramStart"/>
            <w:r>
              <w:t>Score</w:t>
            </w:r>
            <w:proofErr w:type="gramEnd"/>
          </w:p>
        </w:tc>
        <w:tc>
          <w:tcPr>
            <w:tcW w:w="3060" w:type="dxa"/>
          </w:tcPr>
          <w:p w14:paraId="7F4CDF53" w14:textId="77777777" w:rsidR="00677DCE" w:rsidRDefault="00677DCE" w:rsidP="00FE1CFE">
            <w:pPr>
              <w:pStyle w:val="Normal-Table"/>
            </w:pPr>
            <w:r>
              <w:t>Communities with social and environmental justice issues, as measured by CalEnviroScreen, face higher barriers to participation.</w:t>
            </w:r>
          </w:p>
        </w:tc>
        <w:tc>
          <w:tcPr>
            <w:tcW w:w="4260" w:type="dxa"/>
          </w:tcPr>
          <w:p w14:paraId="432063D8" w14:textId="5D905737" w:rsidR="00677DCE" w:rsidRDefault="00677DCE" w:rsidP="00FE1CFE">
            <w:pPr>
              <w:pStyle w:val="Normal-Table"/>
            </w:pPr>
            <w:r>
              <w:t xml:space="preserve">Initially found CES3.0 scores correlated with higher participation rates. After controlling for demographics, a slight negative correlation was found. </w:t>
            </w:r>
          </w:p>
        </w:tc>
        <w:tc>
          <w:tcPr>
            <w:tcW w:w="3660" w:type="dxa"/>
          </w:tcPr>
          <w:p w14:paraId="4CA33680" w14:textId="77777777" w:rsidR="00677DCE" w:rsidRDefault="00677DCE" w:rsidP="00FE1CFE">
            <w:pPr>
              <w:pStyle w:val="Normal-Table"/>
            </w:pPr>
            <w:r>
              <w:t>This seems to indicate that the demographic aspect of these communities is being targeted by these programs, while the underlying environmental issues may not be.</w:t>
            </w:r>
          </w:p>
        </w:tc>
      </w:tr>
      <w:tr w:rsidR="00677DCE" w14:paraId="4133C197" w14:textId="77777777" w:rsidTr="00677DCE">
        <w:trPr>
          <w:cantSplit/>
          <w:trHeight w:val="386"/>
        </w:trPr>
        <w:tc>
          <w:tcPr>
            <w:tcW w:w="2875" w:type="dxa"/>
          </w:tcPr>
          <w:p w14:paraId="6F6A14A6" w14:textId="77777777" w:rsidR="00677DCE" w:rsidRDefault="00677DCE" w:rsidP="00FE1CFE">
            <w:pPr>
              <w:pStyle w:val="Normal-Table"/>
            </w:pPr>
            <w:r>
              <w:t>Percentage of Population – Foreign Born</w:t>
            </w:r>
          </w:p>
        </w:tc>
        <w:tc>
          <w:tcPr>
            <w:tcW w:w="3060" w:type="dxa"/>
          </w:tcPr>
          <w:p w14:paraId="53A70B41" w14:textId="77777777" w:rsidR="00677DCE" w:rsidRDefault="00677DCE" w:rsidP="00FE1CFE">
            <w:pPr>
              <w:pStyle w:val="Normal-Table"/>
            </w:pPr>
            <w:r>
              <w:t xml:space="preserve">Group that may be underserved due to communication and awareness gaps </w:t>
            </w:r>
          </w:p>
        </w:tc>
        <w:tc>
          <w:tcPr>
            <w:tcW w:w="4260" w:type="dxa"/>
          </w:tcPr>
          <w:p w14:paraId="4A67ACA1" w14:textId="1A92175F" w:rsidR="00677DCE" w:rsidRDefault="00677DCE" w:rsidP="00FE1CFE">
            <w:pPr>
              <w:pStyle w:val="Normal-Table"/>
            </w:pPr>
            <w:r>
              <w:t>Confirmed with a modest negative effect that did not persist across all regressions. Explanatory power was low.</w:t>
            </w:r>
          </w:p>
        </w:tc>
        <w:tc>
          <w:tcPr>
            <w:tcW w:w="3660" w:type="dxa"/>
          </w:tcPr>
          <w:p w14:paraId="06568B89" w14:textId="77777777" w:rsidR="00677DCE" w:rsidRDefault="00677DCE" w:rsidP="00FE1CFE">
            <w:pPr>
              <w:pStyle w:val="Normal-Table"/>
            </w:pPr>
            <w:r>
              <w:t>There may be some gaps in service due to difficulty communicating with business in non-native communities.</w:t>
            </w:r>
          </w:p>
        </w:tc>
      </w:tr>
      <w:tr w:rsidR="00677DCE" w14:paraId="019DD6D8" w14:textId="77777777" w:rsidTr="00677DCE">
        <w:trPr>
          <w:cantSplit/>
          <w:trHeight w:val="386"/>
        </w:trPr>
        <w:tc>
          <w:tcPr>
            <w:tcW w:w="2875" w:type="dxa"/>
          </w:tcPr>
          <w:p w14:paraId="45A802AE" w14:textId="77777777" w:rsidR="00677DCE" w:rsidRDefault="00677DCE" w:rsidP="00FE1CFE">
            <w:pPr>
              <w:pStyle w:val="Normal-Table"/>
            </w:pPr>
            <w:r>
              <w:t>Percentage of Population – Native American</w:t>
            </w:r>
          </w:p>
        </w:tc>
        <w:tc>
          <w:tcPr>
            <w:tcW w:w="3060" w:type="dxa"/>
          </w:tcPr>
          <w:p w14:paraId="597BB2D0" w14:textId="77777777" w:rsidR="00677DCE" w:rsidRDefault="00677DCE" w:rsidP="00FE1CFE">
            <w:pPr>
              <w:pStyle w:val="Normal-Table"/>
            </w:pPr>
            <w:r>
              <w:t>Minority group that may be underserved</w:t>
            </w:r>
          </w:p>
        </w:tc>
        <w:tc>
          <w:tcPr>
            <w:tcW w:w="4260" w:type="dxa"/>
          </w:tcPr>
          <w:p w14:paraId="7987BB16" w14:textId="0ED6C229" w:rsidR="00677DCE" w:rsidRDefault="00677DCE" w:rsidP="00FE1CFE">
            <w:pPr>
              <w:pStyle w:val="Normal-Table"/>
            </w:pPr>
            <w:r>
              <w:t>Confirmed. Very large negative effect, but also smaller population and results were of borderline significance and explanatory power.</w:t>
            </w:r>
          </w:p>
        </w:tc>
        <w:tc>
          <w:tcPr>
            <w:tcW w:w="3660" w:type="dxa"/>
          </w:tcPr>
          <w:p w14:paraId="67213FEA" w14:textId="77777777" w:rsidR="00677DCE" w:rsidRDefault="00677DCE" w:rsidP="00FE1CFE">
            <w:pPr>
              <w:pStyle w:val="Normal-Table"/>
            </w:pPr>
            <w:r>
              <w:t xml:space="preserve">Difficult to draw any real conclusion from the existing data. </w:t>
            </w:r>
          </w:p>
        </w:tc>
      </w:tr>
    </w:tbl>
    <w:p w14:paraId="6911607E" w14:textId="77777777" w:rsidR="0008307C" w:rsidRDefault="0008307C" w:rsidP="0008307C"/>
    <w:p w14:paraId="333D5C7B" w14:textId="77777777" w:rsidR="00531760" w:rsidRDefault="00531760">
      <w:pPr>
        <w:spacing w:after="0" w:line="240" w:lineRule="auto"/>
      </w:pPr>
    </w:p>
    <w:p w14:paraId="37FC3816" w14:textId="323F0C46" w:rsidR="00677DCE" w:rsidRDefault="00677DCE">
      <w:pPr>
        <w:spacing w:after="0" w:line="240" w:lineRule="auto"/>
      </w:pPr>
      <w:r>
        <w:br w:type="page"/>
      </w:r>
    </w:p>
    <w:p w14:paraId="51DBB695" w14:textId="77777777" w:rsidR="00531760" w:rsidRDefault="00531760">
      <w:pPr>
        <w:spacing w:after="0" w:line="240" w:lineRule="auto"/>
      </w:pPr>
    </w:p>
    <w:tbl>
      <w:tblPr>
        <w:tblStyle w:val="TableGrid"/>
        <w:tblW w:w="13855" w:type="dxa"/>
        <w:tblLook w:val="04A0" w:firstRow="1" w:lastRow="0" w:firstColumn="1" w:lastColumn="0" w:noHBand="0" w:noVBand="1"/>
      </w:tblPr>
      <w:tblGrid>
        <w:gridCol w:w="2875"/>
        <w:gridCol w:w="3060"/>
        <w:gridCol w:w="3780"/>
        <w:gridCol w:w="4140"/>
      </w:tblGrid>
      <w:tr w:rsidR="00677DCE" w:rsidRPr="004C3994" w14:paraId="26B816A2" w14:textId="77777777" w:rsidTr="00677DCE">
        <w:trPr>
          <w:cantSplit/>
          <w:tblHeader/>
        </w:trPr>
        <w:tc>
          <w:tcPr>
            <w:tcW w:w="2875" w:type="dxa"/>
            <w:shd w:val="clear" w:color="auto" w:fill="DBE5F1" w:themeFill="accent1" w:themeFillTint="33"/>
          </w:tcPr>
          <w:p w14:paraId="0241B008" w14:textId="77777777" w:rsidR="00677DCE" w:rsidRPr="004C3994" w:rsidRDefault="00677DCE" w:rsidP="00FE1CFE">
            <w:pPr>
              <w:pStyle w:val="Normal-Table"/>
              <w:rPr>
                <w:b/>
                <w:bCs w:val="0"/>
              </w:rPr>
            </w:pPr>
            <w:r w:rsidRPr="00AF6756">
              <w:rPr>
                <w:b/>
              </w:rPr>
              <w:t>Variable Examined</w:t>
            </w:r>
          </w:p>
        </w:tc>
        <w:tc>
          <w:tcPr>
            <w:tcW w:w="3060" w:type="dxa"/>
            <w:shd w:val="clear" w:color="auto" w:fill="DBE5F1" w:themeFill="accent1" w:themeFillTint="33"/>
          </w:tcPr>
          <w:p w14:paraId="2D0AD183" w14:textId="77777777" w:rsidR="00677DCE" w:rsidRPr="004C3994" w:rsidRDefault="00677DCE" w:rsidP="00FE1CFE">
            <w:pPr>
              <w:pStyle w:val="Normal-Table"/>
              <w:rPr>
                <w:b/>
                <w:bCs w:val="0"/>
              </w:rPr>
            </w:pPr>
            <w:r>
              <w:rPr>
                <w:b/>
              </w:rPr>
              <w:t xml:space="preserve"> Hypothesis</w:t>
            </w:r>
          </w:p>
        </w:tc>
        <w:tc>
          <w:tcPr>
            <w:tcW w:w="3780" w:type="dxa"/>
            <w:shd w:val="clear" w:color="auto" w:fill="DBE5F1" w:themeFill="accent1" w:themeFillTint="33"/>
          </w:tcPr>
          <w:p w14:paraId="131467AF" w14:textId="77777777" w:rsidR="00677DCE" w:rsidRDefault="00677DCE" w:rsidP="00FE1CFE">
            <w:pPr>
              <w:pStyle w:val="Normal-Table"/>
              <w:rPr>
                <w:b/>
                <w:bCs w:val="0"/>
              </w:rPr>
            </w:pPr>
            <w:r w:rsidRPr="00AF6756">
              <w:rPr>
                <w:b/>
              </w:rPr>
              <w:t>Actual Relationship</w:t>
            </w:r>
          </w:p>
        </w:tc>
        <w:tc>
          <w:tcPr>
            <w:tcW w:w="4140" w:type="dxa"/>
            <w:shd w:val="clear" w:color="auto" w:fill="DBE5F1" w:themeFill="accent1" w:themeFillTint="33"/>
          </w:tcPr>
          <w:p w14:paraId="10DA6DEF" w14:textId="77777777" w:rsidR="00677DCE" w:rsidRDefault="00677DCE" w:rsidP="00FE1CFE">
            <w:pPr>
              <w:pStyle w:val="Normal-Table"/>
              <w:rPr>
                <w:b/>
                <w:bCs w:val="0"/>
              </w:rPr>
            </w:pPr>
            <w:r w:rsidRPr="00AF6756">
              <w:rPr>
                <w:b/>
              </w:rPr>
              <w:t xml:space="preserve">Potential Explanation of Relationship </w:t>
            </w:r>
          </w:p>
        </w:tc>
      </w:tr>
      <w:tr w:rsidR="00677DCE" w:rsidRPr="004C3994" w14:paraId="3EF03412" w14:textId="77777777" w:rsidTr="00FE1CFE">
        <w:trPr>
          <w:cantSplit/>
          <w:tblHeader/>
        </w:trPr>
        <w:tc>
          <w:tcPr>
            <w:tcW w:w="13855" w:type="dxa"/>
            <w:gridSpan w:val="4"/>
            <w:shd w:val="clear" w:color="auto" w:fill="DBE5F1" w:themeFill="accent1" w:themeFillTint="33"/>
          </w:tcPr>
          <w:p w14:paraId="4E236540" w14:textId="51FADCAD" w:rsidR="00677DCE" w:rsidRPr="00677DCE" w:rsidRDefault="00677DCE" w:rsidP="00FE1CFE">
            <w:pPr>
              <w:pStyle w:val="Normal-Table"/>
              <w:jc w:val="center"/>
              <w:rPr>
                <w:b/>
                <w:sz w:val="28"/>
                <w:szCs w:val="32"/>
              </w:rPr>
            </w:pPr>
            <w:r w:rsidRPr="00677DCE">
              <w:rPr>
                <w:b/>
                <w:sz w:val="28"/>
                <w:szCs w:val="32"/>
              </w:rPr>
              <w:t xml:space="preserve">Characteristics with </w:t>
            </w:r>
            <w:r w:rsidR="00194AD7">
              <w:rPr>
                <w:b/>
                <w:sz w:val="28"/>
                <w:szCs w:val="32"/>
              </w:rPr>
              <w:t xml:space="preserve">Associated with </w:t>
            </w:r>
            <w:r w:rsidRPr="00677DCE">
              <w:rPr>
                <w:b/>
                <w:sz w:val="28"/>
                <w:szCs w:val="32"/>
              </w:rPr>
              <w:t xml:space="preserve">Higher </w:t>
            </w:r>
            <w:r w:rsidR="00194AD7">
              <w:rPr>
                <w:b/>
                <w:sz w:val="28"/>
                <w:szCs w:val="32"/>
              </w:rPr>
              <w:t>EE Participation, Savings, and Investment</w:t>
            </w:r>
          </w:p>
        </w:tc>
      </w:tr>
      <w:tr w:rsidR="00677DCE" w14:paraId="5D3521EB" w14:textId="77777777" w:rsidTr="00677DCE">
        <w:trPr>
          <w:cantSplit/>
        </w:trPr>
        <w:tc>
          <w:tcPr>
            <w:tcW w:w="2875" w:type="dxa"/>
          </w:tcPr>
          <w:p w14:paraId="200A7EFE" w14:textId="77777777" w:rsidR="00677DCE" w:rsidRDefault="00677DCE" w:rsidP="00FE1CFE">
            <w:pPr>
              <w:pStyle w:val="Normal-Table"/>
            </w:pPr>
            <w:r>
              <w:t>Population and Business Density</w:t>
            </w:r>
          </w:p>
        </w:tc>
        <w:tc>
          <w:tcPr>
            <w:tcW w:w="3060" w:type="dxa"/>
          </w:tcPr>
          <w:p w14:paraId="4DB691B1" w14:textId="77777777" w:rsidR="00677DCE" w:rsidRDefault="00677DCE" w:rsidP="00FE1CFE">
            <w:pPr>
              <w:pStyle w:val="Normal-Table"/>
            </w:pPr>
            <w:r>
              <w:t>More rural customers are underserved</w:t>
            </w:r>
          </w:p>
        </w:tc>
        <w:tc>
          <w:tcPr>
            <w:tcW w:w="3780" w:type="dxa"/>
          </w:tcPr>
          <w:p w14:paraId="70000EB6" w14:textId="19955D0D" w:rsidR="00677DCE" w:rsidRDefault="00677DCE" w:rsidP="00FE1CFE">
            <w:pPr>
              <w:pStyle w:val="Normal-Table"/>
            </w:pPr>
            <w:r>
              <w:t xml:space="preserve">ZIP codes with </w:t>
            </w:r>
            <w:r w:rsidRPr="004250D8">
              <w:rPr>
                <w:i/>
                <w:iCs/>
              </w:rPr>
              <w:t>less</w:t>
            </w:r>
            <w:r>
              <w:t xml:space="preserve"> people and business per square foot had greater program uptake.  This was the finding with the second most explanatory power.</w:t>
            </w:r>
          </w:p>
        </w:tc>
        <w:tc>
          <w:tcPr>
            <w:tcW w:w="4140" w:type="dxa"/>
          </w:tcPr>
          <w:p w14:paraId="4D414D09" w14:textId="77777777" w:rsidR="00677DCE" w:rsidRDefault="00677DCE" w:rsidP="00FE1CFE">
            <w:pPr>
              <w:pStyle w:val="Normal-Table"/>
            </w:pPr>
            <w:r>
              <w:t>Density is not conducive to knowledge spillovers of programs.  Small numbers in less dense areas are conducive to high uptake rates.</w:t>
            </w:r>
          </w:p>
        </w:tc>
      </w:tr>
      <w:tr w:rsidR="00677DCE" w:rsidRPr="009731DB" w14:paraId="54AECFA6" w14:textId="77777777" w:rsidTr="00677DCE">
        <w:trPr>
          <w:cantSplit/>
          <w:trHeight w:val="386"/>
        </w:trPr>
        <w:tc>
          <w:tcPr>
            <w:tcW w:w="2875" w:type="dxa"/>
          </w:tcPr>
          <w:p w14:paraId="5A63116E" w14:textId="77777777" w:rsidR="00677DCE" w:rsidRPr="009731DB" w:rsidRDefault="00677DCE" w:rsidP="00FE1CFE">
            <w:pPr>
              <w:pStyle w:val="Normal-Table"/>
            </w:pPr>
            <w:r>
              <w:t>Percentage of Population – Asian and Hispanic</w:t>
            </w:r>
          </w:p>
        </w:tc>
        <w:tc>
          <w:tcPr>
            <w:tcW w:w="3060" w:type="dxa"/>
          </w:tcPr>
          <w:p w14:paraId="25A099BB" w14:textId="77777777" w:rsidR="00677DCE" w:rsidRPr="009731DB" w:rsidRDefault="00677DCE" w:rsidP="00FE1CFE">
            <w:pPr>
              <w:pStyle w:val="Normal-Table"/>
            </w:pPr>
            <w:r>
              <w:t>Minority groups that may be underserved</w:t>
            </w:r>
          </w:p>
        </w:tc>
        <w:tc>
          <w:tcPr>
            <w:tcW w:w="3780" w:type="dxa"/>
          </w:tcPr>
          <w:p w14:paraId="1D365C93" w14:textId="0216E73C" w:rsidR="00677DCE" w:rsidRPr="009731DB" w:rsidRDefault="00677DCE" w:rsidP="00FE1CFE">
            <w:pPr>
              <w:pStyle w:val="Normal-Table"/>
            </w:pPr>
            <w:r>
              <w:t>Positive correlation found between higher population percentages and uptake rates, when already controlled for foreign born, which had decent explanatory power.</w:t>
            </w:r>
          </w:p>
        </w:tc>
        <w:tc>
          <w:tcPr>
            <w:tcW w:w="4140" w:type="dxa"/>
          </w:tcPr>
          <w:p w14:paraId="498A2B60" w14:textId="77777777" w:rsidR="00677DCE" w:rsidRPr="009731DB" w:rsidRDefault="00677DCE" w:rsidP="00FE1CFE">
            <w:pPr>
              <w:pStyle w:val="Normal-Table"/>
            </w:pPr>
            <w:r>
              <w:t xml:space="preserve">Potential impact from PA outreach. May have some network effect from established communities with shared ethnic background. </w:t>
            </w:r>
          </w:p>
        </w:tc>
      </w:tr>
      <w:tr w:rsidR="00677DCE" w14:paraId="71A9AD7C" w14:textId="77777777" w:rsidTr="00677DCE">
        <w:trPr>
          <w:cantSplit/>
          <w:trHeight w:val="386"/>
        </w:trPr>
        <w:tc>
          <w:tcPr>
            <w:tcW w:w="2875" w:type="dxa"/>
          </w:tcPr>
          <w:p w14:paraId="516101F9" w14:textId="77777777" w:rsidR="00677DCE" w:rsidRDefault="00677DCE" w:rsidP="00FE1CFE">
            <w:pPr>
              <w:pStyle w:val="Normal-Table"/>
            </w:pPr>
            <w:r>
              <w:t>Percentage of Population – Broadband Access</w:t>
            </w:r>
          </w:p>
        </w:tc>
        <w:tc>
          <w:tcPr>
            <w:tcW w:w="3060" w:type="dxa"/>
          </w:tcPr>
          <w:p w14:paraId="1195922A" w14:textId="77777777" w:rsidR="00677DCE" w:rsidRDefault="00677DCE" w:rsidP="00FE1CFE">
            <w:pPr>
              <w:pStyle w:val="Normal-Table"/>
            </w:pPr>
            <w:r>
              <w:t>No initial hypothesis</w:t>
            </w:r>
          </w:p>
        </w:tc>
        <w:tc>
          <w:tcPr>
            <w:tcW w:w="3780" w:type="dxa"/>
          </w:tcPr>
          <w:p w14:paraId="32150D88" w14:textId="442F6B11" w:rsidR="00677DCE" w:rsidRDefault="00677DCE" w:rsidP="00FE1CFE">
            <w:pPr>
              <w:pStyle w:val="Normal-Table"/>
            </w:pPr>
            <w:r>
              <w:t>Found significant and persistent negative effect indicating that lower participation in areas with less broadband penetration, which had decent explanatory power.</w:t>
            </w:r>
          </w:p>
        </w:tc>
        <w:tc>
          <w:tcPr>
            <w:tcW w:w="4140" w:type="dxa"/>
          </w:tcPr>
          <w:p w14:paraId="6CB4DDB1" w14:textId="77777777" w:rsidR="00677DCE" w:rsidRDefault="00677DCE" w:rsidP="00FE1CFE">
            <w:pPr>
              <w:pStyle w:val="Normal-Table"/>
            </w:pPr>
            <w:r>
              <w:t xml:space="preserve">May be related to program uptake being higher in more rural areas. </w:t>
            </w:r>
          </w:p>
        </w:tc>
      </w:tr>
      <w:tr w:rsidR="00677DCE" w14:paraId="3B344B7B" w14:textId="77777777" w:rsidTr="00677DCE">
        <w:trPr>
          <w:cantSplit/>
          <w:trHeight w:val="386"/>
        </w:trPr>
        <w:tc>
          <w:tcPr>
            <w:tcW w:w="2875" w:type="dxa"/>
          </w:tcPr>
          <w:p w14:paraId="15715454" w14:textId="77777777" w:rsidR="00677DCE" w:rsidRDefault="00677DCE" w:rsidP="00FE1CFE">
            <w:pPr>
              <w:pStyle w:val="Normal-Table"/>
            </w:pPr>
            <w:r>
              <w:t>Median Household Income</w:t>
            </w:r>
          </w:p>
        </w:tc>
        <w:tc>
          <w:tcPr>
            <w:tcW w:w="3060" w:type="dxa"/>
          </w:tcPr>
          <w:p w14:paraId="37BCCBBF" w14:textId="77777777" w:rsidR="00677DCE" w:rsidRDefault="00677DCE" w:rsidP="00FE1CFE">
            <w:pPr>
              <w:pStyle w:val="Normal-Table"/>
            </w:pPr>
            <w:r>
              <w:t>Participation rates by small businesses in more wealthy neighborhoods would be higher</w:t>
            </w:r>
          </w:p>
        </w:tc>
        <w:tc>
          <w:tcPr>
            <w:tcW w:w="3780" w:type="dxa"/>
          </w:tcPr>
          <w:p w14:paraId="60E11ED3" w14:textId="1AA839BC" w:rsidR="00677DCE" w:rsidRDefault="00677DCE" w:rsidP="00FE1CFE">
            <w:pPr>
              <w:pStyle w:val="Normal-Table"/>
            </w:pPr>
            <w:r>
              <w:t>Found a negative effect equating to small drop in participation as median income rises that explained a small portion of the variance.</w:t>
            </w:r>
          </w:p>
        </w:tc>
        <w:tc>
          <w:tcPr>
            <w:tcW w:w="4140" w:type="dxa"/>
          </w:tcPr>
          <w:p w14:paraId="37686696" w14:textId="77777777" w:rsidR="00677DCE" w:rsidRDefault="00677DCE" w:rsidP="00FE1CFE">
            <w:pPr>
              <w:pStyle w:val="Normal-Table"/>
            </w:pPr>
            <w:r>
              <w:t xml:space="preserve">This may be due to program delivery for direct install programs being targeted at customers who are in less wealthy neighborhoods. </w:t>
            </w:r>
          </w:p>
        </w:tc>
      </w:tr>
      <w:tr w:rsidR="00677DCE" w14:paraId="4E01B33B" w14:textId="77777777" w:rsidTr="00677DCE">
        <w:trPr>
          <w:cantSplit/>
        </w:trPr>
        <w:tc>
          <w:tcPr>
            <w:tcW w:w="2875" w:type="dxa"/>
          </w:tcPr>
          <w:p w14:paraId="60406FFE" w14:textId="77777777" w:rsidR="00677DCE" w:rsidRDefault="00677DCE" w:rsidP="00FE1CFE">
            <w:pPr>
              <w:pStyle w:val="Normal-Table"/>
            </w:pPr>
            <w:r>
              <w:t>Percentage of Population – Greater than 65 years of age</w:t>
            </w:r>
          </w:p>
        </w:tc>
        <w:tc>
          <w:tcPr>
            <w:tcW w:w="3060" w:type="dxa"/>
          </w:tcPr>
          <w:p w14:paraId="231559F6" w14:textId="77777777" w:rsidR="00677DCE" w:rsidRDefault="00677DCE" w:rsidP="00FE1CFE">
            <w:pPr>
              <w:pStyle w:val="Normal-Table"/>
            </w:pPr>
            <w:r>
              <w:t>No initial hypothesis</w:t>
            </w:r>
          </w:p>
        </w:tc>
        <w:tc>
          <w:tcPr>
            <w:tcW w:w="3780" w:type="dxa"/>
          </w:tcPr>
          <w:p w14:paraId="0529016C" w14:textId="3D9F8DF5" w:rsidR="00677DCE" w:rsidRDefault="00677DCE" w:rsidP="00FE1CFE">
            <w:pPr>
              <w:pStyle w:val="Normal-Table"/>
            </w:pPr>
            <w:r>
              <w:t>Found significant positive effect, that explained a small portion of the variance.</w:t>
            </w:r>
          </w:p>
        </w:tc>
        <w:tc>
          <w:tcPr>
            <w:tcW w:w="4140" w:type="dxa"/>
          </w:tcPr>
          <w:p w14:paraId="1128318D" w14:textId="77777777" w:rsidR="00677DCE" w:rsidRDefault="00677DCE" w:rsidP="00FE1CFE">
            <w:pPr>
              <w:pStyle w:val="Normal-Table"/>
            </w:pPr>
            <w:r>
              <w:t>A surprisingly large effect without a ready explanation. May be related to outreach to senior citizens by program administrators.</w:t>
            </w:r>
          </w:p>
        </w:tc>
      </w:tr>
    </w:tbl>
    <w:p w14:paraId="4401B896" w14:textId="111326A4" w:rsidR="00677DCE" w:rsidRDefault="00677DCE">
      <w:pPr>
        <w:spacing w:after="0" w:line="240" w:lineRule="auto"/>
      </w:pPr>
    </w:p>
    <w:p w14:paraId="26BE1462" w14:textId="7D31C30C" w:rsidR="00677DCE" w:rsidRDefault="00677DCE">
      <w:pPr>
        <w:spacing w:after="0" w:line="240" w:lineRule="auto"/>
      </w:pPr>
      <w:r>
        <w:br w:type="page"/>
      </w:r>
    </w:p>
    <w:tbl>
      <w:tblPr>
        <w:tblStyle w:val="TableGrid"/>
        <w:tblW w:w="13855" w:type="dxa"/>
        <w:tblLook w:val="04A0" w:firstRow="1" w:lastRow="0" w:firstColumn="1" w:lastColumn="0" w:noHBand="0" w:noVBand="1"/>
      </w:tblPr>
      <w:tblGrid>
        <w:gridCol w:w="2875"/>
        <w:gridCol w:w="3060"/>
        <w:gridCol w:w="3780"/>
        <w:gridCol w:w="4140"/>
      </w:tblGrid>
      <w:tr w:rsidR="00677DCE" w:rsidRPr="004C3994" w14:paraId="135CBB2D" w14:textId="77777777" w:rsidTr="00FE1CFE">
        <w:trPr>
          <w:cantSplit/>
          <w:tblHeader/>
        </w:trPr>
        <w:tc>
          <w:tcPr>
            <w:tcW w:w="2875" w:type="dxa"/>
            <w:shd w:val="clear" w:color="auto" w:fill="DBE5F1" w:themeFill="accent1" w:themeFillTint="33"/>
          </w:tcPr>
          <w:p w14:paraId="24B760F6" w14:textId="77777777" w:rsidR="00677DCE" w:rsidRPr="004C3994" w:rsidRDefault="00677DCE" w:rsidP="00FE1CFE">
            <w:pPr>
              <w:pStyle w:val="Normal-Table"/>
              <w:rPr>
                <w:b/>
                <w:bCs w:val="0"/>
              </w:rPr>
            </w:pPr>
            <w:r w:rsidRPr="00AF6756">
              <w:rPr>
                <w:b/>
              </w:rPr>
              <w:lastRenderedPageBreak/>
              <w:t>Variable Examined</w:t>
            </w:r>
          </w:p>
        </w:tc>
        <w:tc>
          <w:tcPr>
            <w:tcW w:w="3060" w:type="dxa"/>
            <w:shd w:val="clear" w:color="auto" w:fill="DBE5F1" w:themeFill="accent1" w:themeFillTint="33"/>
          </w:tcPr>
          <w:p w14:paraId="2A0F750A" w14:textId="77777777" w:rsidR="00677DCE" w:rsidRPr="004C3994" w:rsidRDefault="00677DCE" w:rsidP="00FE1CFE">
            <w:pPr>
              <w:pStyle w:val="Normal-Table"/>
              <w:rPr>
                <w:b/>
                <w:bCs w:val="0"/>
              </w:rPr>
            </w:pPr>
            <w:r>
              <w:rPr>
                <w:b/>
              </w:rPr>
              <w:t xml:space="preserve"> Hypothesis</w:t>
            </w:r>
          </w:p>
        </w:tc>
        <w:tc>
          <w:tcPr>
            <w:tcW w:w="3780" w:type="dxa"/>
            <w:shd w:val="clear" w:color="auto" w:fill="DBE5F1" w:themeFill="accent1" w:themeFillTint="33"/>
          </w:tcPr>
          <w:p w14:paraId="2E09D8E6" w14:textId="77777777" w:rsidR="00677DCE" w:rsidRDefault="00677DCE" w:rsidP="00FE1CFE">
            <w:pPr>
              <w:pStyle w:val="Normal-Table"/>
              <w:rPr>
                <w:b/>
                <w:bCs w:val="0"/>
              </w:rPr>
            </w:pPr>
            <w:r w:rsidRPr="00AF6756">
              <w:rPr>
                <w:b/>
              </w:rPr>
              <w:t>Actual Relationship</w:t>
            </w:r>
          </w:p>
        </w:tc>
        <w:tc>
          <w:tcPr>
            <w:tcW w:w="4140" w:type="dxa"/>
            <w:shd w:val="clear" w:color="auto" w:fill="DBE5F1" w:themeFill="accent1" w:themeFillTint="33"/>
          </w:tcPr>
          <w:p w14:paraId="4AD2C858" w14:textId="77777777" w:rsidR="00677DCE" w:rsidRDefault="00677DCE" w:rsidP="00FE1CFE">
            <w:pPr>
              <w:pStyle w:val="Normal-Table"/>
              <w:rPr>
                <w:b/>
                <w:bCs w:val="0"/>
              </w:rPr>
            </w:pPr>
            <w:r w:rsidRPr="00AF6756">
              <w:rPr>
                <w:b/>
              </w:rPr>
              <w:t xml:space="preserve">Potential Explanation of Relationship </w:t>
            </w:r>
          </w:p>
        </w:tc>
      </w:tr>
      <w:tr w:rsidR="00677DCE" w:rsidRPr="004C3994" w14:paraId="2105D216" w14:textId="77777777" w:rsidTr="00FE1CFE">
        <w:trPr>
          <w:cantSplit/>
          <w:tblHeader/>
        </w:trPr>
        <w:tc>
          <w:tcPr>
            <w:tcW w:w="13855" w:type="dxa"/>
            <w:gridSpan w:val="4"/>
            <w:shd w:val="clear" w:color="auto" w:fill="DBE5F1" w:themeFill="accent1" w:themeFillTint="33"/>
          </w:tcPr>
          <w:p w14:paraId="6151FA8D" w14:textId="73DE6F0B" w:rsidR="00677DCE" w:rsidRPr="00AF6756" w:rsidRDefault="00677DCE" w:rsidP="00FE1CFE">
            <w:pPr>
              <w:pStyle w:val="Normal-Table"/>
              <w:jc w:val="center"/>
              <w:rPr>
                <w:b/>
              </w:rPr>
            </w:pPr>
            <w:r w:rsidRPr="00677DCE">
              <w:rPr>
                <w:b/>
                <w:sz w:val="28"/>
                <w:szCs w:val="32"/>
              </w:rPr>
              <w:t>Characteristics with No Observable Impact</w:t>
            </w:r>
            <w:r w:rsidR="00194AD7">
              <w:rPr>
                <w:b/>
                <w:sz w:val="28"/>
                <w:szCs w:val="32"/>
              </w:rPr>
              <w:t xml:space="preserve"> on Underserved Status</w:t>
            </w:r>
          </w:p>
        </w:tc>
      </w:tr>
      <w:tr w:rsidR="00677DCE" w14:paraId="15F60F8D" w14:textId="77777777" w:rsidTr="00FE1CFE">
        <w:trPr>
          <w:cantSplit/>
          <w:trHeight w:val="386"/>
        </w:trPr>
        <w:tc>
          <w:tcPr>
            <w:tcW w:w="2875" w:type="dxa"/>
          </w:tcPr>
          <w:p w14:paraId="775947D1" w14:textId="77777777" w:rsidR="00677DCE" w:rsidRDefault="00677DCE" w:rsidP="00FE1CFE">
            <w:pPr>
              <w:pStyle w:val="Normal-Table"/>
            </w:pPr>
            <w:r>
              <w:t>Percentage of Population – Black</w:t>
            </w:r>
          </w:p>
        </w:tc>
        <w:tc>
          <w:tcPr>
            <w:tcW w:w="3060" w:type="dxa"/>
          </w:tcPr>
          <w:p w14:paraId="3725151D" w14:textId="77777777" w:rsidR="00677DCE" w:rsidRDefault="00677DCE" w:rsidP="00FE1CFE">
            <w:pPr>
              <w:pStyle w:val="Normal-Table"/>
            </w:pPr>
            <w:r>
              <w:t>Minority group that may be underserved</w:t>
            </w:r>
          </w:p>
        </w:tc>
        <w:tc>
          <w:tcPr>
            <w:tcW w:w="3780" w:type="dxa"/>
          </w:tcPr>
          <w:p w14:paraId="24A7BA80" w14:textId="77777777" w:rsidR="00677DCE" w:rsidRDefault="00677DCE" w:rsidP="00FE1CFE">
            <w:pPr>
              <w:pStyle w:val="Normal-Table"/>
            </w:pPr>
            <w:r>
              <w:t>No persistent effect found.</w:t>
            </w:r>
          </w:p>
        </w:tc>
        <w:tc>
          <w:tcPr>
            <w:tcW w:w="4140" w:type="dxa"/>
          </w:tcPr>
          <w:p w14:paraId="51AA867B" w14:textId="77777777" w:rsidR="00677DCE" w:rsidRDefault="00677DCE" w:rsidP="00FE1CFE">
            <w:pPr>
              <w:pStyle w:val="Normal-Table"/>
            </w:pPr>
            <w:r>
              <w:t xml:space="preserve">Almost no effect found in multiple regression approaches. </w:t>
            </w:r>
          </w:p>
        </w:tc>
      </w:tr>
      <w:tr w:rsidR="00677DCE" w14:paraId="5D9AE1CF" w14:textId="77777777" w:rsidTr="00FE1CFE">
        <w:trPr>
          <w:cantSplit/>
          <w:trHeight w:val="386"/>
        </w:trPr>
        <w:tc>
          <w:tcPr>
            <w:tcW w:w="2875" w:type="dxa"/>
          </w:tcPr>
          <w:p w14:paraId="1BBF5929" w14:textId="77777777" w:rsidR="00677DCE" w:rsidRDefault="00677DCE" w:rsidP="00FE1CFE">
            <w:pPr>
              <w:pStyle w:val="Normal-Table"/>
            </w:pPr>
            <w:r>
              <w:t xml:space="preserve">County Level Rurality </w:t>
            </w:r>
          </w:p>
        </w:tc>
        <w:tc>
          <w:tcPr>
            <w:tcW w:w="3060" w:type="dxa"/>
          </w:tcPr>
          <w:p w14:paraId="16CC3192" w14:textId="77777777" w:rsidR="00677DCE" w:rsidRDefault="00677DCE" w:rsidP="00FE1CFE">
            <w:pPr>
              <w:pStyle w:val="Normal-Table"/>
            </w:pPr>
            <w:r>
              <w:t>Less served</w:t>
            </w:r>
          </w:p>
        </w:tc>
        <w:tc>
          <w:tcPr>
            <w:tcW w:w="3780" w:type="dxa"/>
          </w:tcPr>
          <w:p w14:paraId="32965FF1" w14:textId="77777777" w:rsidR="00677DCE" w:rsidRDefault="00677DCE" w:rsidP="00FE1CFE">
            <w:pPr>
              <w:pStyle w:val="Normal-Table"/>
            </w:pPr>
            <w:r>
              <w:t>No effect found</w:t>
            </w:r>
          </w:p>
        </w:tc>
        <w:tc>
          <w:tcPr>
            <w:tcW w:w="4140" w:type="dxa"/>
          </w:tcPr>
          <w:p w14:paraId="4DEB7957" w14:textId="77777777" w:rsidR="00677DCE" w:rsidRDefault="00677DCE" w:rsidP="00FE1CFE">
            <w:pPr>
              <w:pStyle w:val="Normal-Table"/>
            </w:pPr>
            <w:r>
              <w:t>No effect found in rollup of ZIP Code data to county and comparison against Index of Relative Rurality.</w:t>
            </w:r>
          </w:p>
        </w:tc>
      </w:tr>
    </w:tbl>
    <w:p w14:paraId="79148ECE" w14:textId="77777777" w:rsidR="00677DCE" w:rsidRDefault="00677DCE">
      <w:pPr>
        <w:spacing w:after="0" w:line="240" w:lineRule="auto"/>
      </w:pPr>
    </w:p>
    <w:p w14:paraId="3196B1DA" w14:textId="77777777" w:rsidR="00677DCE" w:rsidRDefault="00677DCE">
      <w:pPr>
        <w:spacing w:after="0" w:line="240" w:lineRule="auto"/>
      </w:pPr>
    </w:p>
    <w:p w14:paraId="37C6B43E" w14:textId="51EB1E99" w:rsidR="00677DCE" w:rsidRDefault="00677DCE">
      <w:pPr>
        <w:spacing w:after="0" w:line="240" w:lineRule="auto"/>
        <w:sectPr w:rsidR="00677DCE" w:rsidSect="00531760">
          <w:footerReference w:type="default" r:id="rId12"/>
          <w:pgSz w:w="15840" w:h="12240" w:orient="landscape"/>
          <w:pgMar w:top="1440" w:right="1440" w:bottom="1440" w:left="1440" w:header="360" w:footer="720" w:gutter="0"/>
          <w:cols w:space="720"/>
        </w:sectPr>
      </w:pPr>
    </w:p>
    <w:p w14:paraId="6A180090" w14:textId="6A6F6DFE" w:rsidR="00A4162E" w:rsidRDefault="00A4162E" w:rsidP="00984939">
      <w:pPr>
        <w:pStyle w:val="Heading1"/>
      </w:pPr>
      <w:bookmarkStart w:id="3" w:name="_Toc76121045"/>
      <w:r>
        <w:lastRenderedPageBreak/>
        <w:t>Background</w:t>
      </w:r>
      <w:bookmarkEnd w:id="3"/>
    </w:p>
    <w:p w14:paraId="6B3F7A46" w14:textId="1F2B5FE2" w:rsidR="003325EB" w:rsidRDefault="00A933C6" w:rsidP="00A933C6">
      <w:r w:rsidRPr="00A933C6">
        <w:t xml:space="preserve">The </w:t>
      </w:r>
      <w:r w:rsidR="003325EB">
        <w:t>California Public Utility Commissions (</w:t>
      </w:r>
      <w:r w:rsidRPr="00A933C6">
        <w:t>CPUC</w:t>
      </w:r>
      <w:r w:rsidR="003325EB">
        <w:t xml:space="preserve">) </w:t>
      </w:r>
      <w:r w:rsidRPr="00A933C6">
        <w:t xml:space="preserve">has authorized </w:t>
      </w:r>
      <w:r w:rsidR="003325EB">
        <w:t xml:space="preserve">energy efficiency </w:t>
      </w:r>
      <w:r w:rsidRPr="00A933C6">
        <w:t>programs to serve the general population as well as specific, vulnerable groups. These programs include: (1) EE main-general population; (2) hard-to-reach (HTR)</w:t>
      </w:r>
      <w:r w:rsidR="003325EB">
        <w:t xml:space="preserve"> and Regional Energy (</w:t>
      </w:r>
      <w:r w:rsidRPr="00A933C6">
        <w:t>REN</w:t>
      </w:r>
      <w:r w:rsidR="003325EB">
        <w:t>)</w:t>
      </w:r>
      <w:r w:rsidRPr="00A933C6">
        <w:t xml:space="preserve"> programs; and (3)</w:t>
      </w:r>
      <w:r w:rsidR="003325EB">
        <w:t xml:space="preserve"> Energy Savings Assistance (</w:t>
      </w:r>
      <w:r w:rsidRPr="00A933C6">
        <w:t>ESA</w:t>
      </w:r>
      <w:r w:rsidR="003325EB">
        <w:t>) programs.</w:t>
      </w:r>
      <w:r w:rsidRPr="00A933C6">
        <w:t xml:space="preserve"> </w:t>
      </w:r>
      <w:r w:rsidR="003325EB">
        <w:t xml:space="preserve">The </w:t>
      </w:r>
      <w:r w:rsidR="00677DCE">
        <w:t>CAEECC</w:t>
      </w:r>
      <w:r w:rsidR="003325EB">
        <w:t xml:space="preserve"> undertook an investigation into wh</w:t>
      </w:r>
      <w:r w:rsidR="00C91241">
        <w:t>ich</w:t>
      </w:r>
      <w:r w:rsidR="003325EB">
        <w:t xml:space="preserve"> groups of customers are currently underserved by energy efficiency programs</w:t>
      </w:r>
      <w:r w:rsidR="00C91241">
        <w:t>,</w:t>
      </w:r>
      <w:r w:rsidR="003325EB">
        <w:t xml:space="preserve"> to help devise the appropriate strategies and forums to address these problems. Specifically, t</w:t>
      </w:r>
      <w:r w:rsidRPr="00A933C6">
        <w:t>he goal of investigating underserved customers further seeks to</w:t>
      </w:r>
      <w:r w:rsidR="003325EB">
        <w:t>:</w:t>
      </w:r>
    </w:p>
    <w:p w14:paraId="4A8DE727" w14:textId="3E9434BD" w:rsidR="003325EB" w:rsidRDefault="00A933C6" w:rsidP="003325EB">
      <w:pPr>
        <w:pStyle w:val="ListParagraph"/>
        <w:numPr>
          <w:ilvl w:val="0"/>
          <w:numId w:val="25"/>
        </w:numPr>
      </w:pPr>
      <w:r w:rsidRPr="00A933C6">
        <w:t xml:space="preserve">identify who is not benefiting from energy efficiency programs, </w:t>
      </w:r>
    </w:p>
    <w:p w14:paraId="5F866CE3" w14:textId="14971A79" w:rsidR="003325EB" w:rsidRDefault="00A933C6" w:rsidP="003325EB">
      <w:pPr>
        <w:pStyle w:val="ListParagraph"/>
        <w:numPr>
          <w:ilvl w:val="0"/>
          <w:numId w:val="25"/>
        </w:numPr>
      </w:pPr>
      <w:r w:rsidRPr="00A933C6">
        <w:t>increase the accessibility and availability of energy-saving programs designed specifically to serve these customers, especially those experiencing high energy burden</w:t>
      </w:r>
      <w:r w:rsidR="003325EB">
        <w:rPr>
          <w:vertAlign w:val="superscript"/>
        </w:rPr>
        <w:t xml:space="preserve"> </w:t>
      </w:r>
      <w:r w:rsidRPr="00A933C6">
        <w:t>but are not eligible for the Energy Savings Assistance Program,</w:t>
      </w:r>
      <w:r w:rsidRPr="003325EB">
        <w:rPr>
          <w:vertAlign w:val="superscript"/>
        </w:rPr>
        <w:t xml:space="preserve"> </w:t>
      </w:r>
      <w:r w:rsidRPr="00A933C6">
        <w:t xml:space="preserve">and </w:t>
      </w:r>
    </w:p>
    <w:p w14:paraId="52F97B4C" w14:textId="2508C33F" w:rsidR="00A933C6" w:rsidRPr="00A933C6" w:rsidRDefault="00A933C6" w:rsidP="003325EB">
      <w:pPr>
        <w:pStyle w:val="ListParagraph"/>
        <w:numPr>
          <w:ilvl w:val="0"/>
          <w:numId w:val="25"/>
        </w:numPr>
      </w:pPr>
      <w:r w:rsidRPr="00A933C6">
        <w:t>scale up energy savings to help meet the state's aggressive energy-saving goals.</w:t>
      </w:r>
    </w:p>
    <w:p w14:paraId="5CFB8DB6" w14:textId="585CA687" w:rsidR="002237F1" w:rsidRDefault="003325EB" w:rsidP="007C57C2">
      <w:r>
        <w:t>CAEECC</w:t>
      </w:r>
      <w:r w:rsidR="002237F1">
        <w:t xml:space="preserve"> </w:t>
      </w:r>
      <w:r w:rsidR="00391E88">
        <w:t>directed</w:t>
      </w:r>
      <w:r w:rsidR="002237F1">
        <w:t xml:space="preserve"> the SMB UWG to better understand </w:t>
      </w:r>
      <w:r w:rsidR="00391E88">
        <w:t>gaps in how</w:t>
      </w:r>
      <w:r w:rsidR="002237F1">
        <w:t xml:space="preserve"> small and medium non-residential</w:t>
      </w:r>
      <w:r w:rsidR="003E6031">
        <w:t xml:space="preserve"> utility</w:t>
      </w:r>
      <w:r w:rsidR="002237F1">
        <w:t xml:space="preserve"> customers are </w:t>
      </w:r>
      <w:r w:rsidR="00391E88">
        <w:t xml:space="preserve">served by California’s energy efficiency programs. The outcomes from this analysis will be used to help with the goal of </w:t>
      </w:r>
      <w:r w:rsidR="002237F1">
        <w:t>increas</w:t>
      </w:r>
      <w:r w:rsidR="00391E88">
        <w:t>ing</w:t>
      </w:r>
      <w:r w:rsidR="002237F1">
        <w:t xml:space="preserve"> the availability and accessibility of energy efficiency programs for </w:t>
      </w:r>
      <w:r w:rsidR="00391E88">
        <w:t>SMBs</w:t>
      </w:r>
      <w:r w:rsidR="003E6031">
        <w:t>.</w:t>
      </w:r>
      <w:r w:rsidR="002237F1">
        <w:t xml:space="preserve"> These concerns have been translated into the following research questions, which have guided the analysis detailed in this report:</w:t>
      </w:r>
    </w:p>
    <w:p w14:paraId="77A19A93" w14:textId="13183448" w:rsidR="00A4162E" w:rsidRDefault="00A4162E" w:rsidP="00A4162E">
      <w:pPr>
        <w:pStyle w:val="ListParagraph"/>
        <w:numPr>
          <w:ilvl w:val="0"/>
          <w:numId w:val="3"/>
        </w:numPr>
      </w:pPr>
      <w:r>
        <w:t xml:space="preserve">Are there gaps in </w:t>
      </w:r>
      <w:r w:rsidR="003E6031">
        <w:t xml:space="preserve">SMB </w:t>
      </w:r>
      <w:r>
        <w:t>participation</w:t>
      </w:r>
      <w:r w:rsidR="003E6031">
        <w:t xml:space="preserve"> in energy efficiency programs in California</w:t>
      </w:r>
      <w:r>
        <w:t xml:space="preserve"> </w:t>
      </w:r>
      <w:r w:rsidR="003E6031">
        <w:t xml:space="preserve">by </w:t>
      </w:r>
      <w:r>
        <w:t>geographic areas?</w:t>
      </w:r>
    </w:p>
    <w:p w14:paraId="38A2348F" w14:textId="0539F07D" w:rsidR="003325EB" w:rsidRDefault="003325EB" w:rsidP="003325EB">
      <w:pPr>
        <w:pStyle w:val="ListParagraph"/>
        <w:numPr>
          <w:ilvl w:val="0"/>
          <w:numId w:val="3"/>
        </w:numPr>
      </w:pPr>
      <w:r>
        <w:t>Are there gaps in SMB participation in energy efficiency programs in California by business characteristics?</w:t>
      </w:r>
    </w:p>
    <w:p w14:paraId="7F17CD18" w14:textId="7AE3FB30" w:rsidR="00A4162E" w:rsidRDefault="00A4162E" w:rsidP="00A4162E">
      <w:pPr>
        <w:pStyle w:val="ListParagraph"/>
        <w:numPr>
          <w:ilvl w:val="0"/>
          <w:numId w:val="3"/>
        </w:numPr>
      </w:pPr>
      <w:r>
        <w:t xml:space="preserve">Are there gaps in </w:t>
      </w:r>
      <w:r w:rsidR="003E6031">
        <w:t xml:space="preserve">SMB </w:t>
      </w:r>
      <w:r>
        <w:t>participation</w:t>
      </w:r>
      <w:r w:rsidR="003E6031">
        <w:t xml:space="preserve"> in energy efficiency programs in California</w:t>
      </w:r>
      <w:r>
        <w:t xml:space="preserve"> by socio-demographic groups?</w:t>
      </w:r>
    </w:p>
    <w:p w14:paraId="55402AE5" w14:textId="40A41D26" w:rsidR="00A933C6" w:rsidRDefault="00390F32" w:rsidP="00390F32">
      <w:r>
        <w:t xml:space="preserve">The program data </w:t>
      </w:r>
      <w:r w:rsidR="003325EB">
        <w:t>used to examine these questions from 71 EE programs</w:t>
      </w:r>
      <w:r w:rsidR="003325EB">
        <w:rPr>
          <w:rStyle w:val="FootnoteReference"/>
        </w:rPr>
        <w:footnoteReference w:id="2"/>
      </w:r>
      <w:r w:rsidR="003325EB">
        <w:t xml:space="preserve"> identified as serving SMBs by</w:t>
      </w:r>
      <w:r>
        <w:t xml:space="preserve"> four investor-owned utilities (IOUs):</w:t>
      </w:r>
      <w:r w:rsidR="003325EB">
        <w:t xml:space="preserve"> P</w:t>
      </w:r>
      <w:r>
        <w:t>acific Gas &amp; Electric (PGE)</w:t>
      </w:r>
      <w:r w:rsidR="003325EB">
        <w:t xml:space="preserve">, </w:t>
      </w:r>
      <w:r>
        <w:t>Southern Cal</w:t>
      </w:r>
      <w:r w:rsidR="004001C6">
        <w:t>i</w:t>
      </w:r>
      <w:r>
        <w:t>fornia Edison (SCE)</w:t>
      </w:r>
      <w:r w:rsidR="003325EB">
        <w:t xml:space="preserve">, </w:t>
      </w:r>
      <w:r>
        <w:t>Southern California Gas (SoCalGas)</w:t>
      </w:r>
      <w:r w:rsidR="003325EB">
        <w:t xml:space="preserve">, </w:t>
      </w:r>
      <w:r>
        <w:t>San Diego Gas &amp; Electric (SDGE)</w:t>
      </w:r>
      <w:r w:rsidR="003325EB">
        <w:t xml:space="preserve">. </w:t>
      </w:r>
    </w:p>
    <w:p w14:paraId="1572BF8E" w14:textId="77777777" w:rsidR="00A933C6" w:rsidRDefault="00A933C6">
      <w:pPr>
        <w:spacing w:after="0" w:line="240" w:lineRule="auto"/>
      </w:pPr>
      <w:r>
        <w:br w:type="page"/>
      </w:r>
    </w:p>
    <w:p w14:paraId="220D8098" w14:textId="123082D6" w:rsidR="00984939" w:rsidRDefault="00984939" w:rsidP="00984939">
      <w:pPr>
        <w:pStyle w:val="Heading1"/>
      </w:pPr>
      <w:bookmarkStart w:id="4" w:name="_Toc76121046"/>
      <w:r>
        <w:lastRenderedPageBreak/>
        <w:t>Methodology</w:t>
      </w:r>
      <w:bookmarkEnd w:id="4"/>
    </w:p>
    <w:p w14:paraId="16396233" w14:textId="64D7839F" w:rsidR="003E6031" w:rsidRDefault="003E6031" w:rsidP="003E6031">
      <w:pPr>
        <w:pStyle w:val="Heading2"/>
      </w:pPr>
      <w:bookmarkStart w:id="5" w:name="_Toc76121047"/>
      <w:r>
        <w:t>Analysis Approach</w:t>
      </w:r>
      <w:bookmarkEnd w:id="5"/>
      <w:r>
        <w:t xml:space="preserve"> </w:t>
      </w:r>
    </w:p>
    <w:p w14:paraId="70A9C740" w14:textId="29B04778" w:rsidR="003E6031" w:rsidRPr="00A4162E" w:rsidRDefault="003E6031" w:rsidP="007C57C2">
      <w:r>
        <w:t xml:space="preserve">This study used </w:t>
      </w:r>
      <w:r w:rsidR="00391E88">
        <w:t xml:space="preserve">a </w:t>
      </w:r>
      <w:r>
        <w:t xml:space="preserve">statistical approach to understanding correlations between energy efficiency program activity </w:t>
      </w:r>
      <w:r w:rsidR="00593995">
        <w:t xml:space="preserve">related to SMBs </w:t>
      </w:r>
      <w:r>
        <w:t>and various geographical, socioeconomic, and environmental factors. As shown in the following figure, this was an iterative process that required a large amount of data exploration and</w:t>
      </w:r>
      <w:r w:rsidR="00593995">
        <w:t xml:space="preserve"> successive steps of refinement. </w:t>
      </w:r>
    </w:p>
    <w:p w14:paraId="327904E3" w14:textId="4C6CC2E4" w:rsidR="003E6031" w:rsidRDefault="003E6031" w:rsidP="003E6031">
      <w:pPr>
        <w:pStyle w:val="Caption"/>
      </w:pPr>
      <w:bookmarkStart w:id="6" w:name="_Ref73978278"/>
      <w:bookmarkStart w:id="7" w:name="_Toc76121112"/>
      <w:r>
        <w:t xml:space="preserve">Figure </w:t>
      </w:r>
      <w:r w:rsidR="00DB1658">
        <w:fldChar w:fldCharType="begin"/>
      </w:r>
      <w:r w:rsidR="00DB1658">
        <w:instrText xml:space="preserve"> SEQ Figure \* ARABIC </w:instrText>
      </w:r>
      <w:r w:rsidR="00DB1658">
        <w:fldChar w:fldCharType="separate"/>
      </w:r>
      <w:r w:rsidR="00A74C64">
        <w:rPr>
          <w:noProof/>
        </w:rPr>
        <w:t>1</w:t>
      </w:r>
      <w:r w:rsidR="00DB1658">
        <w:rPr>
          <w:noProof/>
        </w:rPr>
        <w:fldChar w:fldCharType="end"/>
      </w:r>
      <w:r>
        <w:t>. Overview of Analysis Approach</w:t>
      </w:r>
      <w:bookmarkEnd w:id="6"/>
      <w:bookmarkEnd w:id="7"/>
    </w:p>
    <w:p w14:paraId="67BD4171" w14:textId="77777777" w:rsidR="003E6031" w:rsidRDefault="003E6031" w:rsidP="007C57C2">
      <w:r>
        <w:rPr>
          <w:noProof/>
        </w:rPr>
        <w:drawing>
          <wp:inline distT="0" distB="0" distL="0" distR="0" wp14:anchorId="5D788F2F" wp14:editId="7519E3F9">
            <wp:extent cx="5486400" cy="3200400"/>
            <wp:effectExtent l="12700" t="12700" r="1270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5CD110" w14:textId="680DDED9" w:rsidR="00C92A4A" w:rsidRDefault="00593995" w:rsidP="00C92A4A">
      <w:r>
        <w:t xml:space="preserve">The first step was to establish a working definition for SMBs and then explore </w:t>
      </w:r>
      <w:r w:rsidR="001B4E58">
        <w:t>available</w:t>
      </w:r>
      <w:r>
        <w:t xml:space="preserve"> program participation data to see what participation rates, investment amounts, and energy savings looked like. </w:t>
      </w:r>
      <w:r w:rsidR="00391E88">
        <w:t>Next, e</w:t>
      </w:r>
      <w:r>
        <w:t xml:space="preserve">nergy efficiency participation data was </w:t>
      </w:r>
      <w:r w:rsidR="001B4E58">
        <w:t xml:space="preserve">aggregated to a </w:t>
      </w:r>
      <w:r w:rsidR="00A54EA8">
        <w:t>ZIP Code-</w:t>
      </w:r>
      <w:r w:rsidR="001B4E58">
        <w:t xml:space="preserve">level since it was the most granular geographical area available in program data. With </w:t>
      </w:r>
      <w:r w:rsidR="00A54EA8">
        <w:t>ZIP Code-</w:t>
      </w:r>
      <w:r w:rsidR="001B4E58">
        <w:t>level information, the analysis was able incorporate additional sources of information and conduct a series of statistical regressions to understand the relationship between SMB energy efficiency activity and socio-economic, geographic, and other environmental factors</w:t>
      </w:r>
      <w:r w:rsidR="007C57C2">
        <w:t xml:space="preserve">. Additional analysis was done at </w:t>
      </w:r>
      <w:r w:rsidR="00C91241">
        <w:t>the</w:t>
      </w:r>
      <w:r w:rsidR="007C57C2">
        <w:t xml:space="preserve"> county level. </w:t>
      </w:r>
      <w:r w:rsidR="00C92A4A">
        <w:t xml:space="preserve">We analyze this data using a regression approach, where some outcome of interest, </w:t>
      </w:r>
      <w:proofErr w:type="spellStart"/>
      <w:r w:rsidR="00C92A4A">
        <w:rPr>
          <w:i/>
          <w:iCs/>
        </w:rPr>
        <w:t>y</w:t>
      </w:r>
      <w:r w:rsidR="00C92A4A">
        <w:rPr>
          <w:i/>
          <w:iCs/>
          <w:vertAlign w:val="subscript"/>
        </w:rPr>
        <w:t>i</w:t>
      </w:r>
      <w:proofErr w:type="spellEnd"/>
      <w:r w:rsidR="00C92A4A">
        <w:rPr>
          <w:strike/>
          <w:vertAlign w:val="subscript"/>
        </w:rPr>
        <w:t xml:space="preserve">, </w:t>
      </w:r>
      <w:r w:rsidR="00C92A4A">
        <w:t xml:space="preserve">is hypothesized to be a linear function of a set of variables, </w:t>
      </w:r>
      <w:r w:rsidR="00C92A4A">
        <w:rPr>
          <w:i/>
          <w:iCs/>
        </w:rPr>
        <w:t>X</w:t>
      </w:r>
      <w:r w:rsidR="00C92A4A">
        <w:rPr>
          <w:i/>
          <w:iCs/>
          <w:vertAlign w:val="subscript"/>
        </w:rPr>
        <w:t>i</w:t>
      </w:r>
      <w:r w:rsidR="00C92A4A">
        <w:t xml:space="preserve">, where </w:t>
      </w:r>
      <w:r w:rsidR="00C92A4A">
        <w:rPr>
          <w:i/>
          <w:iCs/>
        </w:rPr>
        <w:t xml:space="preserve">i </w:t>
      </w:r>
      <w:r w:rsidR="00C92A4A">
        <w:t>is an index for zip codes.  That is, we suppose:</w:t>
      </w:r>
    </w:p>
    <w:p w14:paraId="11CD5292" w14:textId="77777777" w:rsidR="00C92A4A" w:rsidRPr="00B84D77" w:rsidRDefault="00DB1658" w:rsidP="00C92A4A">
      <w:pPr>
        <w:pStyle w:val="Normal-Table"/>
        <w:jc w:val="center"/>
      </w:pPr>
      <m:oMathPara>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β</m:t>
                  </m:r>
                </m:e>
                <m:sub>
                  <m:r>
                    <w:rPr>
                      <w:rFonts w:ascii="Cambria Math" w:hAnsi="Cambria Math"/>
                    </w:rPr>
                    <m:t>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m:oMathPara>
    </w:p>
    <w:p w14:paraId="0FE87781" w14:textId="13A48A83" w:rsidR="001B4E58" w:rsidRDefault="00C92A4A" w:rsidP="0039277E">
      <w:pPr>
        <w:pStyle w:val="Normal-Table"/>
      </w:pPr>
      <w:r>
        <w:t xml:space="preserve">with </w:t>
      </w:r>
      <m:oMath>
        <m:sSub>
          <m:sSubPr>
            <m:ctrlPr>
              <w:rPr>
                <w:rFonts w:ascii="Cambria Math" w:hAnsi="Cambria Math"/>
                <w:i/>
              </w:rPr>
            </m:ctrlPr>
          </m:sSubPr>
          <m:e>
            <m:r>
              <w:rPr>
                <w:rFonts w:ascii="Cambria Math" w:hAnsi="Cambria Math"/>
              </w:rPr>
              <m:t>β</m:t>
            </m:r>
          </m:e>
          <m:sub>
            <m:r>
              <w:rPr>
                <w:rFonts w:ascii="Cambria Math" w:hAnsi="Cambria Math"/>
              </w:rPr>
              <m:t>j</m:t>
            </m:r>
          </m:sub>
        </m:sSub>
      </m:oMath>
      <w:r>
        <w:t xml:space="preserve"> as the coefficient, or weight, given to the </w:t>
      </w:r>
      <w:proofErr w:type="spellStart"/>
      <w:r>
        <w:rPr>
          <w:i/>
          <w:iCs/>
        </w:rPr>
        <w:t>jth</w:t>
      </w:r>
      <w:proofErr w:type="spellEnd"/>
      <w:r>
        <w:t xml:space="preserve"> covariate,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oMath>
      <w:r>
        <w:t xml:space="preserve">in the determination of the outcome for the ith zip code. The term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t xml:space="preserve"> is an intercept term to center the data.   Our analysis </w:t>
      </w:r>
      <w:r>
        <w:lastRenderedPageBreak/>
        <w:t>will center on the sign, magnitude, and the precision (</w:t>
      </w:r>
      <w:proofErr w:type="gramStart"/>
      <w:r>
        <w:t>i.e.</w:t>
      </w:r>
      <w:proofErr w:type="gramEnd"/>
      <w:r>
        <w:t xml:space="preserve"> statistical significance) of these coefficients.  </w:t>
      </w:r>
      <w:r w:rsidR="007C57C2">
        <w:t xml:space="preserve">The analysis looked at </w:t>
      </w:r>
      <w:r w:rsidR="004C3994">
        <w:t>three</w:t>
      </w:r>
      <w:r w:rsidR="007C57C2">
        <w:t xml:space="preserve"> indicators of SMB energy efficiency activity as </w:t>
      </w:r>
      <w:r w:rsidR="004C3994">
        <w:t>shown</w:t>
      </w:r>
      <w:r w:rsidR="007C57C2">
        <w:t xml:space="preserve"> in the following table</w:t>
      </w:r>
      <w:r w:rsidR="004C3994">
        <w:t>, with participation bei</w:t>
      </w:r>
      <w:r w:rsidR="00EE3D39">
        <w:t>ng the metric with the most meaningful results.</w:t>
      </w:r>
      <w:r w:rsidR="004C3994">
        <w:t xml:space="preserve"> </w:t>
      </w:r>
    </w:p>
    <w:p w14:paraId="2A628321" w14:textId="77777777" w:rsidR="0039277E" w:rsidRDefault="0039277E" w:rsidP="0039277E">
      <w:pPr>
        <w:pStyle w:val="Normal-Table"/>
      </w:pPr>
    </w:p>
    <w:p w14:paraId="20258960" w14:textId="2026FC5E" w:rsidR="007C57C2" w:rsidRDefault="007C57C2" w:rsidP="007C57C2">
      <w:pPr>
        <w:pStyle w:val="Caption"/>
      </w:pPr>
      <w:bookmarkStart w:id="8" w:name="_Toc76121095"/>
      <w:r>
        <w:t xml:space="preserve">Table </w:t>
      </w:r>
      <w:r w:rsidR="00DB1658">
        <w:fldChar w:fldCharType="begin"/>
      </w:r>
      <w:r w:rsidR="00DB1658">
        <w:instrText xml:space="preserve"> SEQ Table \* ARABIC</w:instrText>
      </w:r>
      <w:r w:rsidR="00DB1658">
        <w:instrText xml:space="preserve"> </w:instrText>
      </w:r>
      <w:r w:rsidR="00DB1658">
        <w:fldChar w:fldCharType="separate"/>
      </w:r>
      <w:r w:rsidR="00A74C64">
        <w:rPr>
          <w:noProof/>
        </w:rPr>
        <w:t>2</w:t>
      </w:r>
      <w:r w:rsidR="00DB1658">
        <w:rPr>
          <w:noProof/>
        </w:rPr>
        <w:fldChar w:fldCharType="end"/>
      </w:r>
      <w:r>
        <w:t>. Main Energy Efficiency Factors Examined</w:t>
      </w:r>
      <w:bookmarkEnd w:id="8"/>
    </w:p>
    <w:tbl>
      <w:tblPr>
        <w:tblStyle w:val="TableGrid"/>
        <w:tblW w:w="0" w:type="auto"/>
        <w:tblLook w:val="04A0" w:firstRow="1" w:lastRow="0" w:firstColumn="1" w:lastColumn="0" w:noHBand="0" w:noVBand="1"/>
      </w:tblPr>
      <w:tblGrid>
        <w:gridCol w:w="3055"/>
        <w:gridCol w:w="6295"/>
      </w:tblGrid>
      <w:tr w:rsidR="007C57C2" w:rsidRPr="004C3994" w14:paraId="1B96E6BA" w14:textId="77777777" w:rsidTr="004C3994">
        <w:tc>
          <w:tcPr>
            <w:tcW w:w="3055" w:type="dxa"/>
            <w:shd w:val="clear" w:color="auto" w:fill="DBE5F1" w:themeFill="accent1" w:themeFillTint="33"/>
          </w:tcPr>
          <w:p w14:paraId="08394F9F" w14:textId="2E4E13E9" w:rsidR="007C57C2" w:rsidRPr="004C3994" w:rsidRDefault="007C57C2" w:rsidP="004C3994">
            <w:pPr>
              <w:pStyle w:val="Normal-Table"/>
              <w:rPr>
                <w:b/>
                <w:bCs w:val="0"/>
              </w:rPr>
            </w:pPr>
            <w:r w:rsidRPr="004C3994">
              <w:rPr>
                <w:b/>
                <w:bCs w:val="0"/>
              </w:rPr>
              <w:t>Factor</w:t>
            </w:r>
          </w:p>
        </w:tc>
        <w:tc>
          <w:tcPr>
            <w:tcW w:w="6295" w:type="dxa"/>
            <w:shd w:val="clear" w:color="auto" w:fill="DBE5F1" w:themeFill="accent1" w:themeFillTint="33"/>
          </w:tcPr>
          <w:p w14:paraId="19B04D6C" w14:textId="79DEBB10" w:rsidR="007C57C2" w:rsidRPr="004C3994" w:rsidRDefault="004C3994" w:rsidP="004C3994">
            <w:pPr>
              <w:pStyle w:val="Normal-Table"/>
              <w:rPr>
                <w:b/>
                <w:bCs w:val="0"/>
              </w:rPr>
            </w:pPr>
            <w:r>
              <w:rPr>
                <w:b/>
                <w:bCs w:val="0"/>
              </w:rPr>
              <w:t>Variables Used</w:t>
            </w:r>
          </w:p>
        </w:tc>
      </w:tr>
      <w:tr w:rsidR="007C57C2" w14:paraId="3F99C3F6" w14:textId="77777777" w:rsidTr="004C3994">
        <w:tc>
          <w:tcPr>
            <w:tcW w:w="3055" w:type="dxa"/>
          </w:tcPr>
          <w:p w14:paraId="071E33C8" w14:textId="0B15C1C3" w:rsidR="007C57C2" w:rsidRDefault="007C57C2" w:rsidP="004C3994">
            <w:pPr>
              <w:pStyle w:val="Normal-Table"/>
            </w:pPr>
            <w:r>
              <w:t>Participation</w:t>
            </w:r>
          </w:p>
        </w:tc>
        <w:tc>
          <w:tcPr>
            <w:tcW w:w="6295" w:type="dxa"/>
          </w:tcPr>
          <w:p w14:paraId="2CB53AB4" w14:textId="44DBF6F5" w:rsidR="007C57C2" w:rsidRDefault="007C57C2" w:rsidP="004C3994">
            <w:pPr>
              <w:pStyle w:val="Normal-Table"/>
            </w:pPr>
            <w:r>
              <w:t xml:space="preserve">Unique site </w:t>
            </w:r>
            <w:r w:rsidR="004C3994">
              <w:t>count</w:t>
            </w:r>
            <w:r w:rsidR="00E20BD0">
              <w:t>s</w:t>
            </w:r>
          </w:p>
        </w:tc>
      </w:tr>
      <w:tr w:rsidR="007C57C2" w14:paraId="4A8AB3B9" w14:textId="77777777" w:rsidTr="004C3994">
        <w:tc>
          <w:tcPr>
            <w:tcW w:w="3055" w:type="dxa"/>
          </w:tcPr>
          <w:p w14:paraId="08FF9388" w14:textId="09046357" w:rsidR="007C57C2" w:rsidRDefault="007C57C2" w:rsidP="004C3994">
            <w:pPr>
              <w:pStyle w:val="Normal-Table"/>
            </w:pPr>
            <w:r>
              <w:t>Investment</w:t>
            </w:r>
          </w:p>
        </w:tc>
        <w:tc>
          <w:tcPr>
            <w:tcW w:w="6295" w:type="dxa"/>
          </w:tcPr>
          <w:p w14:paraId="4FCB6FBE" w14:textId="4FB71833" w:rsidR="007C57C2" w:rsidRDefault="007C57C2" w:rsidP="004C3994">
            <w:pPr>
              <w:pStyle w:val="Normal-Table"/>
            </w:pPr>
            <w:r>
              <w:t>Gross measure costs and gross incentive amounts</w:t>
            </w:r>
          </w:p>
        </w:tc>
      </w:tr>
      <w:tr w:rsidR="007C57C2" w14:paraId="0FC4166E" w14:textId="77777777" w:rsidTr="004C3994">
        <w:trPr>
          <w:trHeight w:val="386"/>
        </w:trPr>
        <w:tc>
          <w:tcPr>
            <w:tcW w:w="3055" w:type="dxa"/>
          </w:tcPr>
          <w:p w14:paraId="461DA908" w14:textId="3B703FE7" w:rsidR="007C57C2" w:rsidRDefault="007C57C2" w:rsidP="004C3994">
            <w:pPr>
              <w:pStyle w:val="Normal-Table"/>
            </w:pPr>
            <w:r>
              <w:t>Energy Savings</w:t>
            </w:r>
          </w:p>
        </w:tc>
        <w:tc>
          <w:tcPr>
            <w:tcW w:w="6295" w:type="dxa"/>
          </w:tcPr>
          <w:p w14:paraId="7AEA762A" w14:textId="2CE6EF46" w:rsidR="007C57C2" w:rsidRDefault="007C57C2" w:rsidP="004C3994">
            <w:pPr>
              <w:pStyle w:val="Normal-Table"/>
            </w:pPr>
            <w:r>
              <w:t>Gross first year and gross lifecycle energy savings</w:t>
            </w:r>
            <w:r>
              <w:rPr>
                <w:rStyle w:val="FootnoteReference"/>
              </w:rPr>
              <w:footnoteReference w:id="3"/>
            </w:r>
          </w:p>
        </w:tc>
      </w:tr>
    </w:tbl>
    <w:p w14:paraId="24BBB2E5" w14:textId="6A642870" w:rsidR="007C57C2" w:rsidRPr="00A933C6" w:rsidRDefault="007C57C2" w:rsidP="0039277E">
      <w:pPr>
        <w:pStyle w:val="NoSpacing"/>
      </w:pPr>
    </w:p>
    <w:p w14:paraId="55424067" w14:textId="29A30C56" w:rsidR="003E6031" w:rsidRDefault="003E6031" w:rsidP="00984939">
      <w:pPr>
        <w:pStyle w:val="Heading2"/>
      </w:pPr>
      <w:bookmarkStart w:id="9" w:name="_Toc76121048"/>
      <w:r>
        <w:t>Defining SMB</w:t>
      </w:r>
      <w:bookmarkEnd w:id="9"/>
    </w:p>
    <w:p w14:paraId="746F512E" w14:textId="09EAD655" w:rsidR="00EE3D39" w:rsidRDefault="00EE3D39" w:rsidP="007C57C2">
      <w:r>
        <w:t>The first challenge was to establish a working definition for an SMB.</w:t>
      </w:r>
      <w:r w:rsidR="00CA379E">
        <w:t xml:space="preserve"> The utilities each have a strict definition of customer class based on usage, as shown in </w:t>
      </w:r>
      <w:r w:rsidR="00CA379E">
        <w:fldChar w:fldCharType="begin"/>
      </w:r>
      <w:r w:rsidR="00CA379E">
        <w:instrText xml:space="preserve"> REF _Ref73649499 \h </w:instrText>
      </w:r>
      <w:r w:rsidR="00CA379E">
        <w:fldChar w:fldCharType="separate"/>
      </w:r>
      <w:r w:rsidR="00A74C64">
        <w:t xml:space="preserve">Table </w:t>
      </w:r>
      <w:r w:rsidR="00A74C64">
        <w:rPr>
          <w:noProof/>
        </w:rPr>
        <w:t>3</w:t>
      </w:r>
      <w:r w:rsidR="00CA379E">
        <w:fldChar w:fldCharType="end"/>
      </w:r>
      <w:r w:rsidR="00CA379E">
        <w:t xml:space="preserve">. </w:t>
      </w:r>
      <w:r>
        <w:t xml:space="preserve"> </w:t>
      </w:r>
      <w:r w:rsidR="00CA379E">
        <w:t xml:space="preserve">However, it is clear that the definition of SMB does not align across all </w:t>
      </w:r>
      <w:proofErr w:type="gramStart"/>
      <w:r w:rsidR="00CA379E">
        <w:t>investor</w:t>
      </w:r>
      <w:proofErr w:type="gramEnd"/>
      <w:r w:rsidR="00CA379E">
        <w:t xml:space="preserve"> owned utilities (IOUs). </w:t>
      </w:r>
    </w:p>
    <w:p w14:paraId="32BE30A8" w14:textId="4BF2E744" w:rsidR="00CA379E" w:rsidRDefault="00CA379E" w:rsidP="00CA379E">
      <w:pPr>
        <w:pStyle w:val="Caption"/>
      </w:pPr>
      <w:bookmarkStart w:id="10" w:name="_Ref73649499"/>
      <w:bookmarkStart w:id="11" w:name="_Toc76121096"/>
      <w:r>
        <w:t xml:space="preserve">Table </w:t>
      </w:r>
      <w:r w:rsidR="00DB1658">
        <w:fldChar w:fldCharType="begin"/>
      </w:r>
      <w:r w:rsidR="00DB1658">
        <w:instrText xml:space="preserve"> SEQ Table \* ARABIC </w:instrText>
      </w:r>
      <w:r w:rsidR="00DB1658">
        <w:fldChar w:fldCharType="separate"/>
      </w:r>
      <w:r w:rsidR="00A74C64">
        <w:rPr>
          <w:noProof/>
        </w:rPr>
        <w:t>3</w:t>
      </w:r>
      <w:r w:rsidR="00DB1658">
        <w:rPr>
          <w:noProof/>
        </w:rPr>
        <w:fldChar w:fldCharType="end"/>
      </w:r>
      <w:bookmarkEnd w:id="10"/>
      <w:r>
        <w:t>. IOU Definition of Commercial Customer Classes</w:t>
      </w:r>
      <w:bookmarkEnd w:id="11"/>
    </w:p>
    <w:tbl>
      <w:tblPr>
        <w:tblStyle w:val="TableGrid"/>
        <w:tblW w:w="0" w:type="auto"/>
        <w:tblLook w:val="04A0" w:firstRow="1" w:lastRow="0" w:firstColumn="1" w:lastColumn="0" w:noHBand="0" w:noVBand="1"/>
      </w:tblPr>
      <w:tblGrid>
        <w:gridCol w:w="1065"/>
        <w:gridCol w:w="1874"/>
        <w:gridCol w:w="3652"/>
        <w:gridCol w:w="2759"/>
      </w:tblGrid>
      <w:tr w:rsidR="00EE3D39" w:rsidRPr="004C3994" w14:paraId="5F633D7F" w14:textId="1B7F4073" w:rsidTr="00CA379E">
        <w:tc>
          <w:tcPr>
            <w:tcW w:w="988" w:type="dxa"/>
            <w:shd w:val="clear" w:color="auto" w:fill="DBE5F1" w:themeFill="accent1" w:themeFillTint="33"/>
          </w:tcPr>
          <w:p w14:paraId="03853260" w14:textId="1F2F04BB" w:rsidR="00EE3D39" w:rsidRPr="004C3994" w:rsidRDefault="00EE3D39" w:rsidP="00FE1CFE">
            <w:pPr>
              <w:pStyle w:val="Normal-Table"/>
              <w:rPr>
                <w:b/>
                <w:bCs w:val="0"/>
              </w:rPr>
            </w:pPr>
            <w:r>
              <w:rPr>
                <w:b/>
                <w:bCs w:val="0"/>
              </w:rPr>
              <w:t>Utility</w:t>
            </w:r>
          </w:p>
        </w:tc>
        <w:tc>
          <w:tcPr>
            <w:tcW w:w="1887" w:type="dxa"/>
            <w:shd w:val="clear" w:color="auto" w:fill="DBE5F1" w:themeFill="accent1" w:themeFillTint="33"/>
          </w:tcPr>
          <w:p w14:paraId="27EA3796" w14:textId="7EE2690A" w:rsidR="00EE3D39" w:rsidRPr="004C3994" w:rsidRDefault="00EE3D39" w:rsidP="00CA379E">
            <w:pPr>
              <w:pStyle w:val="Normal-Table"/>
              <w:jc w:val="center"/>
              <w:rPr>
                <w:b/>
                <w:bCs w:val="0"/>
              </w:rPr>
            </w:pPr>
            <w:r>
              <w:rPr>
                <w:b/>
                <w:bCs w:val="0"/>
              </w:rPr>
              <w:t>Small</w:t>
            </w:r>
          </w:p>
        </w:tc>
        <w:tc>
          <w:tcPr>
            <w:tcW w:w="3691" w:type="dxa"/>
            <w:shd w:val="clear" w:color="auto" w:fill="DBE5F1" w:themeFill="accent1" w:themeFillTint="33"/>
          </w:tcPr>
          <w:p w14:paraId="7BD82EBA" w14:textId="72F45D61" w:rsidR="00EE3D39" w:rsidRDefault="00EE3D39" w:rsidP="00CA379E">
            <w:pPr>
              <w:pStyle w:val="Normal-Table"/>
              <w:jc w:val="center"/>
              <w:rPr>
                <w:b/>
                <w:bCs w:val="0"/>
              </w:rPr>
            </w:pPr>
            <w:r>
              <w:rPr>
                <w:b/>
                <w:bCs w:val="0"/>
              </w:rPr>
              <w:t>Medium</w:t>
            </w:r>
          </w:p>
        </w:tc>
        <w:tc>
          <w:tcPr>
            <w:tcW w:w="2784" w:type="dxa"/>
            <w:shd w:val="clear" w:color="auto" w:fill="DBE5F1" w:themeFill="accent1" w:themeFillTint="33"/>
          </w:tcPr>
          <w:p w14:paraId="2F858331" w14:textId="1DB1E986" w:rsidR="00EE3D39" w:rsidRDefault="00EE3D39" w:rsidP="00CA379E">
            <w:pPr>
              <w:pStyle w:val="Normal-Table"/>
              <w:jc w:val="center"/>
              <w:rPr>
                <w:b/>
                <w:bCs w:val="0"/>
              </w:rPr>
            </w:pPr>
            <w:r>
              <w:rPr>
                <w:b/>
                <w:bCs w:val="0"/>
              </w:rPr>
              <w:t>Large</w:t>
            </w:r>
          </w:p>
        </w:tc>
      </w:tr>
      <w:tr w:rsidR="00EE3D39" w14:paraId="1734A014" w14:textId="3006BEC0" w:rsidTr="00CA379E">
        <w:tc>
          <w:tcPr>
            <w:tcW w:w="988" w:type="dxa"/>
          </w:tcPr>
          <w:p w14:paraId="7D3B2054" w14:textId="51F25CE7" w:rsidR="00EE3D39" w:rsidRDefault="00EE3D39" w:rsidP="00EE3D39">
            <w:pPr>
              <w:pStyle w:val="Normal-Table"/>
            </w:pPr>
            <w:r w:rsidRPr="00F844A2">
              <w:t>SCE</w:t>
            </w:r>
          </w:p>
        </w:tc>
        <w:tc>
          <w:tcPr>
            <w:tcW w:w="1887" w:type="dxa"/>
          </w:tcPr>
          <w:p w14:paraId="605425A2" w14:textId="7C96F17E" w:rsidR="00EE3D39" w:rsidRPr="00CA379E" w:rsidRDefault="00EE3D39" w:rsidP="00CA379E">
            <w:pPr>
              <w:pStyle w:val="Normal-Table"/>
              <w:jc w:val="center"/>
            </w:pPr>
            <w:r w:rsidRPr="00CA379E">
              <w:t>&lt;50 kW</w:t>
            </w:r>
          </w:p>
        </w:tc>
        <w:tc>
          <w:tcPr>
            <w:tcW w:w="3691" w:type="dxa"/>
          </w:tcPr>
          <w:p w14:paraId="0DD09E53" w14:textId="45BB60D0" w:rsidR="00EE3D39" w:rsidRPr="00CA379E" w:rsidRDefault="00EE3D39" w:rsidP="00CA379E">
            <w:pPr>
              <w:pStyle w:val="Normal-Table"/>
              <w:jc w:val="center"/>
            </w:pPr>
            <w:r w:rsidRPr="00CA379E">
              <w:t>≥50 kW, &lt; 250 kW</w:t>
            </w:r>
          </w:p>
        </w:tc>
        <w:tc>
          <w:tcPr>
            <w:tcW w:w="2784" w:type="dxa"/>
          </w:tcPr>
          <w:p w14:paraId="17569013" w14:textId="3ECD53F1" w:rsidR="00EE3D39" w:rsidRPr="00CA379E" w:rsidRDefault="00EE3D39" w:rsidP="00CA379E">
            <w:pPr>
              <w:pStyle w:val="Normal-Table"/>
              <w:jc w:val="center"/>
            </w:pPr>
            <w:r w:rsidRPr="00CA379E">
              <w:t>≥250 kW</w:t>
            </w:r>
          </w:p>
        </w:tc>
      </w:tr>
      <w:tr w:rsidR="00EE3D39" w14:paraId="4831C5D2" w14:textId="77777777" w:rsidTr="00CA379E">
        <w:tc>
          <w:tcPr>
            <w:tcW w:w="988" w:type="dxa"/>
          </w:tcPr>
          <w:p w14:paraId="413C335D" w14:textId="0EBE0609" w:rsidR="00EE3D39" w:rsidRDefault="00EE3D39" w:rsidP="00EE3D39">
            <w:pPr>
              <w:pStyle w:val="Normal-Table"/>
            </w:pPr>
            <w:r w:rsidRPr="00F844A2">
              <w:t>PG&amp;E</w:t>
            </w:r>
          </w:p>
        </w:tc>
        <w:tc>
          <w:tcPr>
            <w:tcW w:w="1887" w:type="dxa"/>
          </w:tcPr>
          <w:p w14:paraId="130F93E0" w14:textId="77777777" w:rsidR="00CA379E" w:rsidRPr="00CA379E" w:rsidRDefault="00EE3D39" w:rsidP="00CA379E">
            <w:pPr>
              <w:pStyle w:val="Normal-Table"/>
              <w:jc w:val="center"/>
            </w:pPr>
            <w:r w:rsidRPr="00CA379E">
              <w:t xml:space="preserve">&lt;40,000 </w:t>
            </w:r>
            <w:proofErr w:type="gramStart"/>
            <w:r w:rsidRPr="00CA379E">
              <w:t>kWh;</w:t>
            </w:r>
            <w:proofErr w:type="gramEnd"/>
          </w:p>
          <w:p w14:paraId="3D8B533F" w14:textId="080CECFD" w:rsidR="00EE3D39" w:rsidRPr="00CA379E" w:rsidRDefault="00EE3D39" w:rsidP="00CA379E">
            <w:pPr>
              <w:pStyle w:val="Normal-Table"/>
              <w:jc w:val="center"/>
            </w:pPr>
            <w:r w:rsidRPr="00CA379E">
              <w:t>&lt;10,000 therms</w:t>
            </w:r>
          </w:p>
        </w:tc>
        <w:tc>
          <w:tcPr>
            <w:tcW w:w="3691" w:type="dxa"/>
          </w:tcPr>
          <w:p w14:paraId="50AF5970" w14:textId="77777777" w:rsidR="00CA379E" w:rsidRDefault="00EE3D39" w:rsidP="00CA379E">
            <w:pPr>
              <w:pStyle w:val="Normal-Table"/>
              <w:jc w:val="center"/>
            </w:pPr>
            <w:r w:rsidRPr="00CA379E">
              <w:t xml:space="preserve">40,000-500,000 </w:t>
            </w:r>
            <w:proofErr w:type="gramStart"/>
            <w:r w:rsidRPr="00CA379E">
              <w:t>kWh;</w:t>
            </w:r>
            <w:proofErr w:type="gramEnd"/>
            <w:r w:rsidRPr="00CA379E">
              <w:t xml:space="preserve"> </w:t>
            </w:r>
          </w:p>
          <w:p w14:paraId="25057746" w14:textId="70D9055B" w:rsidR="00EE3D39" w:rsidRPr="00CA379E" w:rsidRDefault="00EE3D39" w:rsidP="00CA379E">
            <w:pPr>
              <w:pStyle w:val="Normal-Table"/>
              <w:jc w:val="center"/>
            </w:pPr>
            <w:r w:rsidRPr="00CA379E">
              <w:t>10,000-250,000 therms</w:t>
            </w:r>
          </w:p>
        </w:tc>
        <w:tc>
          <w:tcPr>
            <w:tcW w:w="2784" w:type="dxa"/>
          </w:tcPr>
          <w:p w14:paraId="0252A4D7" w14:textId="77777777" w:rsidR="00CA379E" w:rsidRDefault="00EE3D39" w:rsidP="00CA379E">
            <w:pPr>
              <w:pStyle w:val="Normal-Table"/>
              <w:jc w:val="center"/>
            </w:pPr>
            <w:r w:rsidRPr="00CA379E">
              <w:t xml:space="preserve">≥500,000 </w:t>
            </w:r>
            <w:proofErr w:type="gramStart"/>
            <w:r w:rsidRPr="00CA379E">
              <w:t>kWh;</w:t>
            </w:r>
            <w:proofErr w:type="gramEnd"/>
            <w:r w:rsidR="00CA379E">
              <w:t xml:space="preserve"> </w:t>
            </w:r>
          </w:p>
          <w:p w14:paraId="5DBD74AC" w14:textId="1C6FA67C" w:rsidR="00EE3D39" w:rsidRPr="00CA379E" w:rsidRDefault="00EE3D39" w:rsidP="00CA379E">
            <w:pPr>
              <w:pStyle w:val="Normal-Table"/>
              <w:jc w:val="center"/>
            </w:pPr>
            <w:r w:rsidRPr="00CA379E">
              <w:t>≥250,000 therms</w:t>
            </w:r>
          </w:p>
        </w:tc>
      </w:tr>
      <w:tr w:rsidR="00EE3D39" w14:paraId="5F3FDC9A" w14:textId="77777777" w:rsidTr="00CA379E">
        <w:tc>
          <w:tcPr>
            <w:tcW w:w="988" w:type="dxa"/>
          </w:tcPr>
          <w:p w14:paraId="6B02E3F9" w14:textId="395511E5" w:rsidR="00EE3D39" w:rsidRDefault="00EE3D39" w:rsidP="00EE3D39">
            <w:pPr>
              <w:pStyle w:val="Normal-Table"/>
            </w:pPr>
            <w:r w:rsidRPr="00F844A2">
              <w:t>SDG&amp;E</w:t>
            </w:r>
            <w:r w:rsidR="00CA379E">
              <w:rPr>
                <w:rStyle w:val="FootnoteReference"/>
              </w:rPr>
              <w:footnoteReference w:id="4"/>
            </w:r>
          </w:p>
        </w:tc>
        <w:tc>
          <w:tcPr>
            <w:tcW w:w="1887" w:type="dxa"/>
          </w:tcPr>
          <w:p w14:paraId="6639CA7D" w14:textId="70EE93F8" w:rsidR="00CA379E" w:rsidRPr="00CA379E" w:rsidRDefault="00EE3D39" w:rsidP="00CA379E">
            <w:pPr>
              <w:pStyle w:val="Normal-Table"/>
              <w:jc w:val="center"/>
            </w:pPr>
            <w:r w:rsidRPr="00CA379E">
              <w:t xml:space="preserve">&lt;20 </w:t>
            </w:r>
            <w:proofErr w:type="gramStart"/>
            <w:r w:rsidRPr="00CA379E">
              <w:t>kW;</w:t>
            </w:r>
            <w:proofErr w:type="gramEnd"/>
          </w:p>
          <w:p w14:paraId="68F0A770" w14:textId="630231B5" w:rsidR="00EE3D39" w:rsidRPr="00CA379E" w:rsidRDefault="00EE3D39" w:rsidP="00CA379E">
            <w:pPr>
              <w:pStyle w:val="Normal-Table"/>
              <w:jc w:val="center"/>
            </w:pPr>
            <w:r w:rsidRPr="00CA379E">
              <w:t>&lt;10,000 therms</w:t>
            </w:r>
          </w:p>
        </w:tc>
        <w:tc>
          <w:tcPr>
            <w:tcW w:w="3691" w:type="dxa"/>
          </w:tcPr>
          <w:p w14:paraId="735467C0" w14:textId="48277514" w:rsidR="00EE3D39" w:rsidRPr="00CA379E" w:rsidRDefault="00EE3D39" w:rsidP="00CA379E">
            <w:pPr>
              <w:pStyle w:val="Normal-Table"/>
              <w:jc w:val="center"/>
            </w:pPr>
            <w:r w:rsidRPr="00CA379E">
              <w:t>20-199 kW</w:t>
            </w:r>
          </w:p>
        </w:tc>
        <w:tc>
          <w:tcPr>
            <w:tcW w:w="2784" w:type="dxa"/>
          </w:tcPr>
          <w:p w14:paraId="4A853488" w14:textId="0BAF895B" w:rsidR="00CA379E" w:rsidRPr="00CA379E" w:rsidRDefault="00EE3D39" w:rsidP="00CA379E">
            <w:pPr>
              <w:pStyle w:val="Normal-Table"/>
              <w:jc w:val="center"/>
            </w:pPr>
            <w:r w:rsidRPr="00CA379E">
              <w:t xml:space="preserve">&gt;200 </w:t>
            </w:r>
            <w:proofErr w:type="gramStart"/>
            <w:r w:rsidRPr="00CA379E">
              <w:t>kW;</w:t>
            </w:r>
            <w:proofErr w:type="gramEnd"/>
          </w:p>
          <w:p w14:paraId="081D1874" w14:textId="521A002A" w:rsidR="00EE3D39" w:rsidRPr="00CA379E" w:rsidRDefault="00EE3D39" w:rsidP="00CA379E">
            <w:pPr>
              <w:pStyle w:val="Normal-Table"/>
              <w:jc w:val="center"/>
            </w:pPr>
            <w:r w:rsidRPr="00CA379E">
              <w:t>&gt;10,000 therms</w:t>
            </w:r>
          </w:p>
        </w:tc>
      </w:tr>
      <w:tr w:rsidR="00EE3D39" w14:paraId="362582FD" w14:textId="6EE1EC09" w:rsidTr="00CA379E">
        <w:tc>
          <w:tcPr>
            <w:tcW w:w="988" w:type="dxa"/>
          </w:tcPr>
          <w:p w14:paraId="58EDEC24" w14:textId="4C7B2873" w:rsidR="00EE3D39" w:rsidRDefault="00EE3D39" w:rsidP="00EE3D39">
            <w:pPr>
              <w:pStyle w:val="Normal-Table"/>
            </w:pPr>
            <w:r w:rsidRPr="00F844A2">
              <w:t>SCG</w:t>
            </w:r>
          </w:p>
        </w:tc>
        <w:tc>
          <w:tcPr>
            <w:tcW w:w="1887" w:type="dxa"/>
          </w:tcPr>
          <w:p w14:paraId="3A8908DB" w14:textId="3D05EC99" w:rsidR="00EE3D39" w:rsidRPr="00CA379E" w:rsidRDefault="00EE3D39" w:rsidP="00CA379E">
            <w:pPr>
              <w:pStyle w:val="Normal-Table"/>
              <w:jc w:val="center"/>
            </w:pPr>
            <w:r w:rsidRPr="00CA379E">
              <w:t>&lt;10,000 therms</w:t>
            </w:r>
          </w:p>
        </w:tc>
        <w:tc>
          <w:tcPr>
            <w:tcW w:w="3691" w:type="dxa"/>
          </w:tcPr>
          <w:p w14:paraId="6C290BE1" w14:textId="60F3E7B5" w:rsidR="00EE3D39" w:rsidRPr="00CA379E" w:rsidRDefault="00EE3D39" w:rsidP="00CA379E">
            <w:pPr>
              <w:pStyle w:val="Normal-Table"/>
              <w:jc w:val="center"/>
            </w:pPr>
            <w:r w:rsidRPr="00CA379E">
              <w:t>10,000</w:t>
            </w:r>
            <w:r w:rsidR="00CA379E" w:rsidRPr="00CA379E">
              <w:t xml:space="preserve"> - </w:t>
            </w:r>
            <w:r w:rsidRPr="00CA379E">
              <w:t>50,000 therms</w:t>
            </w:r>
          </w:p>
        </w:tc>
        <w:tc>
          <w:tcPr>
            <w:tcW w:w="2784" w:type="dxa"/>
          </w:tcPr>
          <w:p w14:paraId="7DB9A541" w14:textId="2215C897" w:rsidR="00EE3D39" w:rsidRPr="00CA379E" w:rsidRDefault="00EE3D39" w:rsidP="00CA379E">
            <w:pPr>
              <w:pStyle w:val="Normal-Table"/>
              <w:jc w:val="center"/>
            </w:pPr>
            <w:r w:rsidRPr="00CA379E">
              <w:t>&gt;50,000 therms</w:t>
            </w:r>
          </w:p>
        </w:tc>
      </w:tr>
    </w:tbl>
    <w:p w14:paraId="6B18A78E" w14:textId="51BD44EF" w:rsidR="00EE3D39" w:rsidRDefault="00EE3D39" w:rsidP="00A933C6">
      <w:pPr>
        <w:pStyle w:val="Normal-Table"/>
      </w:pPr>
    </w:p>
    <w:p w14:paraId="195A4406" w14:textId="5D344A22" w:rsidR="001C1AFC" w:rsidRDefault="00CA379E" w:rsidP="001C1AFC">
      <w:r>
        <w:t>California has additional</w:t>
      </w:r>
      <w:r w:rsidR="001C1AFC">
        <w:t xml:space="preserve"> definitions relevant to SMBs and energy efficiency. </w:t>
      </w:r>
      <w:r w:rsidRPr="00CA379E">
        <w:t>The official adopted definition</w:t>
      </w:r>
      <w:r w:rsidR="001C1AFC">
        <w:t xml:space="preserve"> of a “small business”</w:t>
      </w:r>
      <w:r w:rsidRPr="00CA379E">
        <w:t xml:space="preserve"> adopted in Resolution E-4939</w:t>
      </w:r>
      <w:r w:rsidR="001C1AFC">
        <w:t xml:space="preserve"> is as follows</w:t>
      </w:r>
      <w:r w:rsidRPr="00CA379E">
        <w:t xml:space="preserve">: </w:t>
      </w:r>
    </w:p>
    <w:p w14:paraId="5CB1FA90" w14:textId="07BB68EC" w:rsidR="001C1AFC" w:rsidRDefault="00CA379E" w:rsidP="001C1AFC">
      <w:pPr>
        <w:pStyle w:val="ListParagraph"/>
      </w:pPr>
      <w:r w:rsidRPr="00CA379E">
        <w:t xml:space="preserve">“A small business customer is defined as a non-residential customer with an annual electric </w:t>
      </w:r>
      <w:r w:rsidRPr="001C1AFC">
        <w:t>usage</w:t>
      </w:r>
      <w:r w:rsidRPr="00CA379E">
        <w:t xml:space="preserve"> of 40,000 kilowatt hours (kWh) or less, or an energy demand of 20 kilowatt (kW) or less, or annual consumption of 10,000 therms of gas or less. Alternatively, a small business customer is a customer who meets the definition of “micro-business” in California Government Code Section 14837</w:t>
      </w:r>
      <w:r w:rsidR="001C1AFC">
        <w:t>.”</w:t>
      </w:r>
    </w:p>
    <w:p w14:paraId="650A561F" w14:textId="772B06FE" w:rsidR="00CA379E" w:rsidRDefault="001C1AFC" w:rsidP="00CA379E">
      <w:r>
        <w:lastRenderedPageBreak/>
        <w:t xml:space="preserve">This definition brings up additional considerations beyond usage by referencing “micro-business”, which is defined by the California Government Code </w:t>
      </w:r>
      <w:r w:rsidR="00CA379E" w:rsidRPr="00CA379E">
        <w:t xml:space="preserve">Section 14837 </w:t>
      </w:r>
      <w:r>
        <w:t>“</w:t>
      </w:r>
      <w:r w:rsidR="00CA379E" w:rsidRPr="00CA379E">
        <w:t>as a business, together with affiliates, that</w:t>
      </w:r>
      <w:r w:rsidRPr="001C1AFC">
        <w:t xml:space="preserve"> has average annual gross receipts of $3,500,000 or less over the previous three years, or is a manufacturer, as defined in Section 14837 subdivision (c), with 25 or fewer employees.</w:t>
      </w:r>
      <w:r>
        <w:t xml:space="preserve">” </w:t>
      </w:r>
      <w:r w:rsidRPr="001C1AFC">
        <w:t xml:space="preserve">The California Department of General Services </w:t>
      </w:r>
      <w:r>
        <w:t xml:space="preserve">(DGS) </w:t>
      </w:r>
      <w:r w:rsidRPr="001C1AFC">
        <w:t>is authorized to amend the gross receipt amount</w:t>
      </w:r>
      <w:r>
        <w:t>, and i</w:t>
      </w:r>
      <w:r w:rsidRPr="001C1AFC">
        <w:t>n January 2010 DGS increased the gross receipt amount from $2,750,000 to the current amount of $3,500,000. (</w:t>
      </w:r>
      <w:proofErr w:type="gramStart"/>
      <w:r w:rsidRPr="001C1AFC">
        <w:t>see</w:t>
      </w:r>
      <w:proofErr w:type="gramEnd"/>
      <w:r w:rsidRPr="001C1AFC">
        <w:t>, California Office of Administrative Law, Regulatory Action Number 2000-1110-01S.)</w:t>
      </w:r>
      <w:r>
        <w:t xml:space="preserve"> It is important to mention that th</w:t>
      </w:r>
      <w:r w:rsidRPr="001C1AFC">
        <w:t>is definition does not include fixed usage or unmetered rate schedule customers</w:t>
      </w:r>
      <w:r>
        <w:t xml:space="preserve">. </w:t>
      </w:r>
    </w:p>
    <w:p w14:paraId="77D08151" w14:textId="4A889FFD" w:rsidR="005D5E8A" w:rsidRDefault="001C1AFC" w:rsidP="007C57C2">
      <w:r>
        <w:t xml:space="preserve">By looking at all these </w:t>
      </w:r>
      <w:r w:rsidR="005D5E8A">
        <w:t xml:space="preserve">definitions, </w:t>
      </w:r>
      <w:r>
        <w:t>we can come up with at least a general idea of what current policy considerations are used for exis</w:t>
      </w:r>
      <w:r w:rsidR="005D5E8A">
        <w:t>ting customer segmentation of utility customers as related to the “small” portion of SMBs. This includes:</w:t>
      </w:r>
    </w:p>
    <w:p w14:paraId="4525E713" w14:textId="450102DB" w:rsidR="005D5E8A" w:rsidRDefault="005D5E8A" w:rsidP="005D5E8A">
      <w:pPr>
        <w:pStyle w:val="ListParagraph"/>
        <w:numPr>
          <w:ilvl w:val="0"/>
          <w:numId w:val="15"/>
        </w:numPr>
      </w:pPr>
      <w:r>
        <w:t>An annual usage threshold,</w:t>
      </w:r>
    </w:p>
    <w:p w14:paraId="738B15D5" w14:textId="760DEF37" w:rsidR="005D5E8A" w:rsidRDefault="005D5E8A" w:rsidP="005D5E8A">
      <w:pPr>
        <w:pStyle w:val="ListParagraph"/>
        <w:numPr>
          <w:ilvl w:val="0"/>
          <w:numId w:val="15"/>
        </w:numPr>
      </w:pPr>
      <w:r>
        <w:t>Annual gross receipts, and</w:t>
      </w:r>
    </w:p>
    <w:p w14:paraId="03BD7D2C" w14:textId="6115F7A1" w:rsidR="005D5E8A" w:rsidRDefault="005D5E8A" w:rsidP="005D5E8A">
      <w:pPr>
        <w:pStyle w:val="ListParagraph"/>
        <w:numPr>
          <w:ilvl w:val="0"/>
          <w:numId w:val="15"/>
        </w:numPr>
      </w:pPr>
      <w:r>
        <w:t>Industry classification and employee count, to a lesser extent</w:t>
      </w:r>
    </w:p>
    <w:p w14:paraId="0439D19E" w14:textId="30EE2EA5" w:rsidR="00541198" w:rsidRPr="00F844A2" w:rsidRDefault="00D671B5" w:rsidP="00541198">
      <w:pPr>
        <w:rPr>
          <w:rFonts w:ascii="Times" w:hAnsi="Times"/>
        </w:rPr>
      </w:pPr>
      <w:r>
        <w:t xml:space="preserve">The main concern </w:t>
      </w:r>
      <w:r w:rsidR="005D5E8A">
        <w:t>expressed by</w:t>
      </w:r>
      <w:r w:rsidR="00CA379E">
        <w:t xml:space="preserve"> the CAEEC</w:t>
      </w:r>
      <w:r w:rsidR="00677DCE">
        <w:t>C</w:t>
      </w:r>
      <w:r w:rsidR="00CA379E">
        <w:t xml:space="preserve">, which led to the analysis in this report, </w:t>
      </w:r>
      <w:r>
        <w:t>is that th</w:t>
      </w:r>
      <w:r w:rsidR="00CA379E">
        <w:t xml:space="preserve">e </w:t>
      </w:r>
      <w:r w:rsidR="005D5E8A">
        <w:t xml:space="preserve">currently used </w:t>
      </w:r>
      <w:r>
        <w:t>definitions</w:t>
      </w:r>
      <w:r w:rsidR="005D5E8A">
        <w:t>, and especially the purely usage</w:t>
      </w:r>
      <w:r>
        <w:t>-</w:t>
      </w:r>
      <w:r w:rsidR="005D5E8A">
        <w:t xml:space="preserve">based </w:t>
      </w:r>
      <w:r>
        <w:t>definitions</w:t>
      </w:r>
      <w:r w:rsidR="005D5E8A">
        <w:t xml:space="preserve">, do </w:t>
      </w:r>
      <w:r>
        <w:t xml:space="preserve">not address the true nature of SMBs and could lead to gaps in energy efficiency service. </w:t>
      </w:r>
    </w:p>
    <w:p w14:paraId="2DDE24AA" w14:textId="28A28261" w:rsidR="00056DA2" w:rsidRPr="003E6031" w:rsidRDefault="00D671B5" w:rsidP="00197B1B">
      <w:r>
        <w:t xml:space="preserve">While these </w:t>
      </w:r>
      <w:r w:rsidR="003E0FCF">
        <w:t>definitions</w:t>
      </w:r>
      <w:r>
        <w:t xml:space="preserve"> all are useful context for the analysis, it was impossible to fully utilize any </w:t>
      </w:r>
      <w:r w:rsidR="003E0FCF">
        <w:t>of them as there was no rate class, usage, annual receipts, or employee counts available in the energy efficiency data set.</w:t>
      </w:r>
      <w:r w:rsidR="003E0FCF">
        <w:rPr>
          <w:rStyle w:val="FootnoteReference"/>
        </w:rPr>
        <w:footnoteReference w:id="5"/>
      </w:r>
      <w:r w:rsidR="003E6031">
        <w:t xml:space="preserve"> </w:t>
      </w:r>
      <w:r w:rsidR="003E0FCF">
        <w:t xml:space="preserve">Instead, </w:t>
      </w:r>
      <w:r w:rsidR="003E6031">
        <w:t>the approach taken was to utilize the data that the IOUs self-selected as targeting SMB customers</w:t>
      </w:r>
      <w:r w:rsidR="003E0FCF">
        <w:t>,</w:t>
      </w:r>
      <w:r w:rsidR="003E6031">
        <w:t xml:space="preserve"> and to </w:t>
      </w:r>
      <w:r w:rsidR="00E20BD0">
        <w:t>determine</w:t>
      </w:r>
      <w:r w:rsidR="003E6031">
        <w:t xml:space="preserve"> what gaps and trends were identified within this data. </w:t>
      </w:r>
      <w:r w:rsidR="00197B1B">
        <w:t>\</w:t>
      </w:r>
    </w:p>
    <w:p w14:paraId="7B0B14EB" w14:textId="4095FE1C" w:rsidR="00984939" w:rsidRDefault="00984939" w:rsidP="00984939">
      <w:pPr>
        <w:pStyle w:val="Heading2"/>
      </w:pPr>
      <w:bookmarkStart w:id="12" w:name="_Toc76121049"/>
      <w:r>
        <w:t>Data Sources</w:t>
      </w:r>
      <w:bookmarkEnd w:id="12"/>
    </w:p>
    <w:p w14:paraId="62167ECE" w14:textId="50568B5B" w:rsidR="000C64DA" w:rsidRDefault="007A678A" w:rsidP="007C57C2">
      <w:r>
        <w:t xml:space="preserve">The main source of data was the CPUC’s California Energy Data and Reporting System (CEDARS), which manages data associated with California’s demand-side management (DSM) programs. As shown </w:t>
      </w:r>
      <w:r w:rsidR="005D12A2">
        <w:t xml:space="preserve">in </w:t>
      </w:r>
      <w:r>
        <w:fldChar w:fldCharType="begin"/>
      </w:r>
      <w:r>
        <w:instrText xml:space="preserve"> REF _Ref73978284 \h </w:instrText>
      </w:r>
      <w:r>
        <w:fldChar w:fldCharType="separate"/>
      </w:r>
      <w:r w:rsidR="00A74C64">
        <w:t xml:space="preserve">Figure </w:t>
      </w:r>
      <w:r w:rsidR="00A74C64">
        <w:rPr>
          <w:noProof/>
        </w:rPr>
        <w:t>2</w:t>
      </w:r>
      <w:r>
        <w:fldChar w:fldCharType="end"/>
      </w:r>
      <w:r>
        <w:t>, this was combined with three other data sources at the ZIP Code</w:t>
      </w:r>
      <w:r w:rsidR="00A54EA8">
        <w:t>-</w:t>
      </w:r>
      <w:r>
        <w:t>level</w:t>
      </w:r>
      <w:r w:rsidR="00C91241">
        <w:t xml:space="preserve">: </w:t>
      </w:r>
      <w:r>
        <w:t>American Community Survey (ACS), County Business Patterns, and CalEnviroScreen 3.0 (CES3.0). ZIP Code</w:t>
      </w:r>
      <w:r w:rsidR="00A54EA8">
        <w:t>-</w:t>
      </w:r>
      <w:r>
        <w:t>level data was then aggregated to the county</w:t>
      </w:r>
      <w:r w:rsidR="00A54EA8">
        <w:t>-</w:t>
      </w:r>
      <w:r>
        <w:t xml:space="preserve">level and combined with an Index of Relative Rurality </w:t>
      </w:r>
      <w:r w:rsidR="00A54EA8">
        <w:t xml:space="preserve">(IRR) </w:t>
      </w:r>
      <w:r>
        <w:t>Score</w:t>
      </w:r>
      <w:r w:rsidR="00A54EA8">
        <w:t xml:space="preserve"> </w:t>
      </w:r>
      <w:r>
        <w:t xml:space="preserve">for additional analysis. </w:t>
      </w:r>
    </w:p>
    <w:p w14:paraId="16732D8C" w14:textId="77777777" w:rsidR="000C64DA" w:rsidRDefault="000C64DA">
      <w:pPr>
        <w:spacing w:after="0" w:line="240" w:lineRule="auto"/>
      </w:pPr>
      <w:r>
        <w:br w:type="page"/>
      </w:r>
    </w:p>
    <w:p w14:paraId="552E49FF" w14:textId="77777777" w:rsidR="00A4162E" w:rsidRDefault="00A4162E" w:rsidP="007C57C2"/>
    <w:p w14:paraId="18BF7C3F" w14:textId="6A59FC14" w:rsidR="00A4162E" w:rsidRDefault="00A4162E" w:rsidP="00A4162E">
      <w:pPr>
        <w:pStyle w:val="Caption"/>
      </w:pPr>
      <w:bookmarkStart w:id="13" w:name="_Ref73978284"/>
      <w:bookmarkStart w:id="14" w:name="_Toc76121113"/>
      <w:r>
        <w:t xml:space="preserve">Figure </w:t>
      </w:r>
      <w:r w:rsidR="00DB1658">
        <w:fldChar w:fldCharType="begin"/>
      </w:r>
      <w:r w:rsidR="00DB1658">
        <w:instrText xml:space="preserve"> SEQ Figure \* ARABIC </w:instrText>
      </w:r>
      <w:r w:rsidR="00DB1658">
        <w:fldChar w:fldCharType="separate"/>
      </w:r>
      <w:r w:rsidR="00A74C64">
        <w:rPr>
          <w:noProof/>
        </w:rPr>
        <w:t>2</w:t>
      </w:r>
      <w:r w:rsidR="00DB1658">
        <w:rPr>
          <w:noProof/>
        </w:rPr>
        <w:fldChar w:fldCharType="end"/>
      </w:r>
      <w:bookmarkEnd w:id="13"/>
      <w:r>
        <w:t>. Overview of Data Sources</w:t>
      </w:r>
      <w:bookmarkEnd w:id="14"/>
    </w:p>
    <w:p w14:paraId="43EB0824" w14:textId="15293B24" w:rsidR="00B36D86" w:rsidRPr="00B36D86" w:rsidRDefault="00B36D86" w:rsidP="00B36D86">
      <w:r>
        <w:rPr>
          <w:noProof/>
        </w:rPr>
        <w:drawing>
          <wp:inline distT="0" distB="0" distL="0" distR="0" wp14:anchorId="69CE81C8" wp14:editId="35D76153">
            <wp:extent cx="5743330" cy="2937934"/>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8"/>
                    <a:stretch>
                      <a:fillRect/>
                    </a:stretch>
                  </pic:blipFill>
                  <pic:spPr>
                    <a:xfrm>
                      <a:off x="0" y="0"/>
                      <a:ext cx="5787618" cy="2960589"/>
                    </a:xfrm>
                    <a:prstGeom prst="rect">
                      <a:avLst/>
                    </a:prstGeom>
                  </pic:spPr>
                </pic:pic>
              </a:graphicData>
            </a:graphic>
          </wp:inline>
        </w:drawing>
      </w:r>
    </w:p>
    <w:p w14:paraId="571EA170" w14:textId="5E3085CB" w:rsidR="00056DA2" w:rsidRDefault="00056DA2" w:rsidP="00056DA2">
      <w:r>
        <w:t>Due to privacy concerns, public CEDARS data do</w:t>
      </w:r>
      <w:r w:rsidR="00A54EA8">
        <w:t>es</w:t>
      </w:r>
      <w:r>
        <w:t xml:space="preserve"> not include site-specific details such as city, </w:t>
      </w:r>
      <w:r w:rsidR="007A678A">
        <w:t>ZIP C</w:t>
      </w:r>
      <w:r>
        <w:t>ode or</w:t>
      </w:r>
      <w:r w:rsidR="007A678A">
        <w:t xml:space="preserve"> </w:t>
      </w:r>
      <w:r>
        <w:t>North American Industry Classification System Code</w:t>
      </w:r>
      <w:r w:rsidR="007A678A">
        <w:t xml:space="preserve"> (NAICS Code</w:t>
      </w:r>
      <w:r>
        <w:t xml:space="preserve">). </w:t>
      </w:r>
      <w:r w:rsidR="007A678A">
        <w:t>Through a data request t</w:t>
      </w:r>
      <w:r>
        <w:t xml:space="preserve">o </w:t>
      </w:r>
      <w:r w:rsidR="007A678A">
        <w:t xml:space="preserve">the </w:t>
      </w:r>
      <w:r>
        <w:t xml:space="preserve">CPUC, </w:t>
      </w:r>
      <w:r w:rsidR="007A678A">
        <w:t xml:space="preserve">we were able obtain site-specific details for 2017 through 2019, including a unique site identifier which we were able to match up against DSM claim data and aggregate </w:t>
      </w:r>
      <w:r w:rsidR="00A54EA8">
        <w:t>claim information, such as participation, incentives and savings,</w:t>
      </w:r>
      <w:r w:rsidR="007A678A">
        <w:t xml:space="preserve"> to the </w:t>
      </w:r>
      <w:r w:rsidR="00A54EA8">
        <w:t>ZIP Code-</w:t>
      </w:r>
      <w:r w:rsidR="007A678A">
        <w:t>level.</w:t>
      </w:r>
    </w:p>
    <w:p w14:paraId="664F4556" w14:textId="67AAA6EE" w:rsidR="00984939" w:rsidRDefault="007A678A" w:rsidP="007C57C2">
      <w:r>
        <w:t xml:space="preserve">Once aggregate </w:t>
      </w:r>
      <w:r w:rsidR="00A54EA8">
        <w:t>ZIP Code-</w:t>
      </w:r>
      <w:r>
        <w:t xml:space="preserve">level data was available for DSM activity, additional data sources were added to the data set to help identify any gaps in service-based factors identified by the UWG. </w:t>
      </w:r>
      <w:r w:rsidR="00984939">
        <w:t>Firstly, demographic and establishments (business entities) data were collected from the U.S. Census Bureau data tables. Respectively, the datasets originate from the 2019 American Community Survey (ACS) 5-Year Estimates Data Profiles</w:t>
      </w:r>
      <w:r>
        <w:t xml:space="preserve"> and</w:t>
      </w:r>
      <w:r w:rsidR="00984939">
        <w:t xml:space="preserve"> the 2018 County Business Pattern</w:t>
      </w:r>
      <w:r>
        <w:t>’</w:t>
      </w:r>
      <w:r w:rsidR="00984939">
        <w:t>s (CBP) ZIP Codes Business Patterns (ZBP)</w:t>
      </w:r>
      <w:r>
        <w:t xml:space="preserve"> data</w:t>
      </w:r>
      <w:r w:rsidR="00984939">
        <w:t>.</w:t>
      </w:r>
    </w:p>
    <w:p w14:paraId="1E8580B0" w14:textId="25D13A48" w:rsidR="00984939" w:rsidRDefault="00984939" w:rsidP="00056DA2">
      <w:r>
        <w:t xml:space="preserve">The ACS data was filtered under Zip Code Tabulation Areas (ZCTAs), which are generalized geographical representations of USPS ZIP Code service areas and are created by the U.S. Census Bureau. In most cases, ZCTAs codes are the same as the ZIP Codes for an area. In the instances where ZIP Codes represent only a few addresses (sometimes only one), they will not appear in the ZCTA codes list, and therefore were excluded in the study when merging ACS and ZBP datasets, as the latter are based on USPS ZIP Codes. </w:t>
      </w:r>
    </w:p>
    <w:p w14:paraId="21A348BF" w14:textId="18CF7D5D" w:rsidR="00A54EA8" w:rsidRDefault="00A54EA8" w:rsidP="007C57C2">
      <w:r>
        <w:t>The third ZIP Code-level data source was the CES3.0 data set, which looks at</w:t>
      </w:r>
      <w:r w:rsidR="007A678A">
        <w:t xml:space="preserve"> social and environmental justice factors</w:t>
      </w:r>
      <w:r>
        <w:t xml:space="preserve">. Since the </w:t>
      </w:r>
      <w:r w:rsidR="007A678A">
        <w:t xml:space="preserve">CES3.0 dataset </w:t>
      </w:r>
      <w:r>
        <w:t xml:space="preserve">is at the census tract level, we used a </w:t>
      </w:r>
      <w:r>
        <w:lastRenderedPageBreak/>
        <w:t xml:space="preserve">population weighted averaging method to get both CES3.0 </w:t>
      </w:r>
      <w:proofErr w:type="gramStart"/>
      <w:r>
        <w:t>Scores</w:t>
      </w:r>
      <w:proofErr w:type="gramEnd"/>
      <w:r>
        <w:t xml:space="preserve"> and an indicator of whether a community is </w:t>
      </w:r>
      <w:r w:rsidR="007A678A">
        <w:t>disadvantaged under SB535</w:t>
      </w:r>
      <w:r w:rsidR="007A678A">
        <w:rPr>
          <w:rStyle w:val="FootnoteReference"/>
        </w:rPr>
        <w:footnoteReference w:id="6"/>
      </w:r>
      <w:r>
        <w:t xml:space="preserve"> at the ZIP Code-level.</w:t>
      </w:r>
    </w:p>
    <w:p w14:paraId="707F0EB3" w14:textId="1DD63752" w:rsidR="00A54EA8" w:rsidRDefault="00A54EA8" w:rsidP="007C57C2">
      <w:r>
        <w:t>T</w:t>
      </w:r>
      <w:r w:rsidR="00984939">
        <w:t xml:space="preserve">he </w:t>
      </w:r>
      <w:r>
        <w:t>DSM claims</w:t>
      </w:r>
      <w:r w:rsidR="00984939">
        <w:t>, demographic</w:t>
      </w:r>
      <w:r>
        <w:t xml:space="preserve">, </w:t>
      </w:r>
      <w:r w:rsidR="00984939">
        <w:t>business</w:t>
      </w:r>
      <w:r>
        <w:t xml:space="preserve">, and social/environmental justice </w:t>
      </w:r>
      <w:r w:rsidR="00984939">
        <w:t xml:space="preserve">databases were merged into one file and organized by ZIP Code. Although working strictly with ZIP Codes has some disadvantages, such as having diverse communities making up one ZIP area, it </w:t>
      </w:r>
      <w:r w:rsidR="007A678A">
        <w:t>was the most granular level at which data was available and does</w:t>
      </w:r>
      <w:r w:rsidR="00984939">
        <w:t xml:space="preserve"> provide a meaningful basis </w:t>
      </w:r>
      <w:r w:rsidR="007A678A">
        <w:t xml:space="preserve">to compare data from multiple different sources and </w:t>
      </w:r>
      <w:r w:rsidR="00984939">
        <w:t>perspectives.</w:t>
      </w:r>
    </w:p>
    <w:p w14:paraId="3E14F69E" w14:textId="15F6609E" w:rsidR="00A54EA8" w:rsidRDefault="00A54EA8" w:rsidP="007C57C2">
      <w:r>
        <w:t>Based on feedback with UWG members, we also performed some analysis on factors related to rurality. At the ZIP Code-level, we looked at both count of business entities and population per square footage of land area. We also aggregated DSM claims data to the county level and combined this data with the 2010 Index of Relative Rurality (IRR), a continuous and threshold-free measure of rurality (Waldorf and Kim, 2018).</w:t>
      </w:r>
    </w:p>
    <w:p w14:paraId="1FFC8E4D" w14:textId="77777777" w:rsidR="0008307C" w:rsidRDefault="0008307C" w:rsidP="0008307C">
      <w:pPr>
        <w:pStyle w:val="Heading2"/>
      </w:pPr>
      <w:bookmarkStart w:id="15" w:name="_Toc76121050"/>
      <w:r>
        <w:t>SMB Data Processing</w:t>
      </w:r>
      <w:bookmarkEnd w:id="15"/>
    </w:p>
    <w:p w14:paraId="36EBE043" w14:textId="06E05622" w:rsidR="0008307C" w:rsidRDefault="0008307C" w:rsidP="0008307C">
      <w:r>
        <w:t xml:space="preserve">The UWG SMB Team received DSM claim data for programs targeting SMBs from 2017 through 2019 from Pacific Gas and Electric (PGE), Southern California Edison (SCE), Southern California Gas (SCG), San Diego Gas and Electric (SDGE), totaling 505,500 unique claims. </w:t>
      </w:r>
      <w:r>
        <w:fldChar w:fldCharType="begin"/>
      </w:r>
      <w:r>
        <w:instrText xml:space="preserve"> REF _Ref73983433 \h </w:instrText>
      </w:r>
      <w:r>
        <w:fldChar w:fldCharType="separate"/>
      </w:r>
      <w:r w:rsidR="00A74C64">
        <w:t xml:space="preserve">Table </w:t>
      </w:r>
      <w:r w:rsidR="00A74C64">
        <w:rPr>
          <w:noProof/>
        </w:rPr>
        <w:t>4</w:t>
      </w:r>
      <w:r>
        <w:fldChar w:fldCharType="end"/>
      </w:r>
      <w:r>
        <w:t xml:space="preserve"> shows the additional fields that were then calculated to provide savings variables that looked combined electric and gas savings claims data and look at incentive amounts relative to measure costs.</w:t>
      </w:r>
    </w:p>
    <w:p w14:paraId="12073E56" w14:textId="4BB479DE" w:rsidR="0008307C" w:rsidRDefault="0008307C" w:rsidP="0008307C">
      <w:pPr>
        <w:pStyle w:val="Caption"/>
      </w:pPr>
      <w:bookmarkStart w:id="16" w:name="_Ref73983433"/>
      <w:bookmarkStart w:id="17" w:name="_Toc76121097"/>
      <w:r>
        <w:t xml:space="preserve">Table </w:t>
      </w:r>
      <w:r w:rsidR="00DB1658">
        <w:fldChar w:fldCharType="begin"/>
      </w:r>
      <w:r w:rsidR="00DB1658">
        <w:instrText xml:space="preserve"> SEQ Table \* ARABIC </w:instrText>
      </w:r>
      <w:r w:rsidR="00DB1658">
        <w:fldChar w:fldCharType="separate"/>
      </w:r>
      <w:r w:rsidR="00A74C64">
        <w:rPr>
          <w:noProof/>
        </w:rPr>
        <w:t>4</w:t>
      </w:r>
      <w:r w:rsidR="00DB1658">
        <w:rPr>
          <w:noProof/>
        </w:rPr>
        <w:fldChar w:fldCharType="end"/>
      </w:r>
      <w:bookmarkEnd w:id="16"/>
      <w:r>
        <w:t>. Additional Claims-Level Fields</w:t>
      </w:r>
      <w:bookmarkEnd w:id="17"/>
    </w:p>
    <w:tbl>
      <w:tblPr>
        <w:tblStyle w:val="TableGrid"/>
        <w:tblW w:w="0" w:type="auto"/>
        <w:tblLook w:val="04A0" w:firstRow="1" w:lastRow="0" w:firstColumn="1" w:lastColumn="0" w:noHBand="0" w:noVBand="1"/>
      </w:tblPr>
      <w:tblGrid>
        <w:gridCol w:w="3055"/>
        <w:gridCol w:w="6295"/>
      </w:tblGrid>
      <w:tr w:rsidR="0008307C" w:rsidRPr="004C3994" w14:paraId="363F10AF" w14:textId="77777777" w:rsidTr="00FE1CFE">
        <w:tc>
          <w:tcPr>
            <w:tcW w:w="3055" w:type="dxa"/>
            <w:shd w:val="clear" w:color="auto" w:fill="DBE5F1" w:themeFill="accent1" w:themeFillTint="33"/>
          </w:tcPr>
          <w:p w14:paraId="3AEF3479" w14:textId="77777777" w:rsidR="0008307C" w:rsidRPr="004C3994" w:rsidRDefault="0008307C" w:rsidP="00FE1CFE">
            <w:pPr>
              <w:pStyle w:val="Normal-Table"/>
              <w:rPr>
                <w:b/>
                <w:bCs w:val="0"/>
              </w:rPr>
            </w:pPr>
            <w:r>
              <w:rPr>
                <w:b/>
                <w:bCs w:val="0"/>
              </w:rPr>
              <w:t>Field</w:t>
            </w:r>
          </w:p>
        </w:tc>
        <w:tc>
          <w:tcPr>
            <w:tcW w:w="6295" w:type="dxa"/>
            <w:shd w:val="clear" w:color="auto" w:fill="DBE5F1" w:themeFill="accent1" w:themeFillTint="33"/>
          </w:tcPr>
          <w:p w14:paraId="05BCC786" w14:textId="77777777" w:rsidR="0008307C" w:rsidRPr="004C3994" w:rsidRDefault="0008307C" w:rsidP="00FE1CFE">
            <w:pPr>
              <w:pStyle w:val="Normal-Table"/>
              <w:rPr>
                <w:b/>
                <w:bCs w:val="0"/>
              </w:rPr>
            </w:pPr>
            <w:r>
              <w:rPr>
                <w:b/>
                <w:bCs w:val="0"/>
              </w:rPr>
              <w:t>Equation</w:t>
            </w:r>
          </w:p>
        </w:tc>
      </w:tr>
      <w:tr w:rsidR="0008307C" w14:paraId="698184B0" w14:textId="77777777" w:rsidTr="00FE1CFE">
        <w:tc>
          <w:tcPr>
            <w:tcW w:w="3055" w:type="dxa"/>
          </w:tcPr>
          <w:p w14:paraId="2C6FDB79" w14:textId="77777777" w:rsidR="0008307C" w:rsidRDefault="0008307C" w:rsidP="00FE1CFE">
            <w:pPr>
              <w:pStyle w:val="Normal-Table"/>
            </w:pPr>
            <w:r>
              <w:t>First Year Gross Energy Gross Energy Savings</w:t>
            </w:r>
          </w:p>
        </w:tc>
        <w:tc>
          <w:tcPr>
            <w:tcW w:w="6295" w:type="dxa"/>
          </w:tcPr>
          <w:p w14:paraId="5A4378E3" w14:textId="77777777" w:rsidR="0008307C" w:rsidRDefault="0008307C" w:rsidP="00FE1CFE">
            <w:pPr>
              <w:pStyle w:val="Normal-Table"/>
            </w:pPr>
            <w:r>
              <w:t>First Year Gross kWh + (First Year Gross Therms x 29.3)</w:t>
            </w:r>
          </w:p>
        </w:tc>
      </w:tr>
      <w:tr w:rsidR="0008307C" w14:paraId="2DA7A20E" w14:textId="77777777" w:rsidTr="00FE1CFE">
        <w:tc>
          <w:tcPr>
            <w:tcW w:w="3055" w:type="dxa"/>
          </w:tcPr>
          <w:p w14:paraId="28CC472E" w14:textId="77777777" w:rsidR="0008307C" w:rsidRDefault="0008307C" w:rsidP="00FE1CFE">
            <w:pPr>
              <w:pStyle w:val="Normal-Table"/>
            </w:pPr>
            <w:r>
              <w:t>Lifecycle Gross Energy Savings</w:t>
            </w:r>
          </w:p>
        </w:tc>
        <w:tc>
          <w:tcPr>
            <w:tcW w:w="6295" w:type="dxa"/>
          </w:tcPr>
          <w:p w14:paraId="3FD37120" w14:textId="77777777" w:rsidR="0008307C" w:rsidRDefault="0008307C" w:rsidP="00FE1CFE">
            <w:pPr>
              <w:pStyle w:val="Normal-Table"/>
            </w:pPr>
            <w:r>
              <w:t>Lifecycle Gross kWh + (Lifecycle Gross Therms x 29.3)</w:t>
            </w:r>
          </w:p>
        </w:tc>
      </w:tr>
      <w:tr w:rsidR="0008307C" w14:paraId="17AD1385" w14:textId="77777777" w:rsidTr="00FE1CFE">
        <w:trPr>
          <w:trHeight w:val="386"/>
        </w:trPr>
        <w:tc>
          <w:tcPr>
            <w:tcW w:w="3055" w:type="dxa"/>
          </w:tcPr>
          <w:p w14:paraId="1300CD3A" w14:textId="77777777" w:rsidR="0008307C" w:rsidRDefault="0008307C" w:rsidP="00FE1CFE">
            <w:pPr>
              <w:pStyle w:val="Normal-Table"/>
            </w:pPr>
            <w:r>
              <w:t>Incentive as a Percentage of Cost</w:t>
            </w:r>
          </w:p>
        </w:tc>
        <w:tc>
          <w:tcPr>
            <w:tcW w:w="6295" w:type="dxa"/>
          </w:tcPr>
          <w:p w14:paraId="20CDF141" w14:textId="77777777" w:rsidR="0008307C" w:rsidRDefault="0008307C" w:rsidP="00FE1CFE">
            <w:pPr>
              <w:pStyle w:val="Normal-Table"/>
            </w:pPr>
            <w:r>
              <w:t>Gross Measure Incentive / Gross Measure Cost</w:t>
            </w:r>
          </w:p>
        </w:tc>
      </w:tr>
    </w:tbl>
    <w:p w14:paraId="65D2A50A" w14:textId="77777777" w:rsidR="0008307C" w:rsidRDefault="0008307C" w:rsidP="00A933C6">
      <w:pPr>
        <w:pStyle w:val="Normal-Table"/>
      </w:pPr>
    </w:p>
    <w:p w14:paraId="5D1254A9" w14:textId="77777777" w:rsidR="0008307C" w:rsidRDefault="0008307C" w:rsidP="0008307C">
      <w:r>
        <w:t>The following steps were then taken</w:t>
      </w:r>
      <w:r w:rsidRPr="00A54EA8">
        <w:t xml:space="preserve"> </w:t>
      </w:r>
      <w:r>
        <w:t>in consultation with the full UWG to make sure that claims data was specifically tied to SMBs:</w:t>
      </w:r>
    </w:p>
    <w:p w14:paraId="2346C40B" w14:textId="77777777" w:rsidR="0008307C" w:rsidRDefault="0008307C" w:rsidP="0008307C">
      <w:pPr>
        <w:pStyle w:val="ListParagraph"/>
        <w:numPr>
          <w:ilvl w:val="0"/>
          <w:numId w:val="17"/>
        </w:numPr>
      </w:pPr>
      <w:r>
        <w:t xml:space="preserve">Claims that were flagged as “Upstream” or were missing a site ID were removed to make sure that site attribution was maintained. </w:t>
      </w:r>
    </w:p>
    <w:p w14:paraId="6CDB9C01" w14:textId="77777777" w:rsidR="0008307C" w:rsidRDefault="0008307C" w:rsidP="0008307C">
      <w:pPr>
        <w:pStyle w:val="ListParagraph"/>
        <w:numPr>
          <w:ilvl w:val="0"/>
          <w:numId w:val="17"/>
        </w:numPr>
      </w:pPr>
      <w:r>
        <w:t>Claims that were flagged as “Public K through 12” schools were removed, since these claims were to be examined by the Public Service Entity (PSE) team.</w:t>
      </w:r>
    </w:p>
    <w:p w14:paraId="3FFCD38A" w14:textId="77777777" w:rsidR="0008307C" w:rsidRDefault="0008307C" w:rsidP="0008307C">
      <w:pPr>
        <w:pStyle w:val="ListParagraph"/>
        <w:numPr>
          <w:ilvl w:val="0"/>
          <w:numId w:val="17"/>
        </w:numPr>
      </w:pPr>
      <w:r>
        <w:lastRenderedPageBreak/>
        <w:t>Claims that were still flagged as “Residential” were removed since they were not deemed an SMB.</w:t>
      </w:r>
    </w:p>
    <w:p w14:paraId="27E53A5B" w14:textId="14872E86" w:rsidR="0008307C" w:rsidRDefault="0008307C" w:rsidP="0008307C">
      <w:r>
        <w:t>After this process there were 272,301 unique claims remaining.</w:t>
      </w:r>
    </w:p>
    <w:p w14:paraId="14B2A8F1" w14:textId="77777777" w:rsidR="0008307C" w:rsidRDefault="0008307C" w:rsidP="0008307C">
      <w:pPr>
        <w:pStyle w:val="Heading2"/>
      </w:pPr>
      <w:bookmarkStart w:id="18" w:name="_Toc76121051"/>
      <w:r>
        <w:t>ZIP Code-Level Aggregation</w:t>
      </w:r>
      <w:bookmarkEnd w:id="18"/>
    </w:p>
    <w:p w14:paraId="2507E804" w14:textId="77777777" w:rsidR="0008307C" w:rsidRDefault="0008307C" w:rsidP="0008307C">
      <w:r>
        <w:t>All the filtered SMB claim data contained a unique site identifier along with a five-digit ZIP Code, so we were able to aggregate claims data at a ZIP Code level. This was done in few different ways. For the participation factor, the count of unique site IDs was calculated for each ZIP Code. For the savings factors and investment factors values were aggregated to the ZIP Code level using the following functions:</w:t>
      </w:r>
    </w:p>
    <w:p w14:paraId="3B5C995A" w14:textId="77777777" w:rsidR="0008307C" w:rsidRDefault="0008307C" w:rsidP="0008307C">
      <w:pPr>
        <w:pStyle w:val="ListParagraph"/>
        <w:numPr>
          <w:ilvl w:val="0"/>
          <w:numId w:val="18"/>
        </w:numPr>
      </w:pPr>
      <w:r>
        <w:t>Sum</w:t>
      </w:r>
    </w:p>
    <w:p w14:paraId="6A73D880" w14:textId="77777777" w:rsidR="0008307C" w:rsidRDefault="0008307C" w:rsidP="0008307C">
      <w:pPr>
        <w:pStyle w:val="ListParagraph"/>
        <w:numPr>
          <w:ilvl w:val="0"/>
          <w:numId w:val="18"/>
        </w:numPr>
      </w:pPr>
      <w:r>
        <w:t>Mean</w:t>
      </w:r>
    </w:p>
    <w:p w14:paraId="79459949" w14:textId="77777777" w:rsidR="0008307C" w:rsidRDefault="0008307C" w:rsidP="0008307C">
      <w:pPr>
        <w:pStyle w:val="ListParagraph"/>
        <w:numPr>
          <w:ilvl w:val="0"/>
          <w:numId w:val="18"/>
        </w:numPr>
      </w:pPr>
      <w:r>
        <w:t>First Quartile (25% of values below)</w:t>
      </w:r>
    </w:p>
    <w:p w14:paraId="7E169035" w14:textId="77777777" w:rsidR="0008307C" w:rsidRDefault="0008307C" w:rsidP="0008307C">
      <w:pPr>
        <w:pStyle w:val="ListParagraph"/>
        <w:numPr>
          <w:ilvl w:val="0"/>
          <w:numId w:val="18"/>
        </w:numPr>
      </w:pPr>
      <w:r>
        <w:t>Median (50% of values below, and 50% of values above)</w:t>
      </w:r>
    </w:p>
    <w:p w14:paraId="42A749D9" w14:textId="77777777" w:rsidR="0008307C" w:rsidRDefault="0008307C" w:rsidP="0008307C">
      <w:pPr>
        <w:pStyle w:val="ListParagraph"/>
        <w:numPr>
          <w:ilvl w:val="0"/>
          <w:numId w:val="18"/>
        </w:numPr>
      </w:pPr>
      <w:r>
        <w:t>Top Quartile (25% of values above)</w:t>
      </w:r>
    </w:p>
    <w:p w14:paraId="26C8E8C5" w14:textId="77777777" w:rsidR="0008307C" w:rsidRDefault="0008307C" w:rsidP="0008307C">
      <w:r>
        <w:t xml:space="preserve">These aggregate claims values were then combined with the three ZIP Code-level data sources. </w:t>
      </w:r>
    </w:p>
    <w:p w14:paraId="0496865E" w14:textId="4F5413FE" w:rsidR="0008307C" w:rsidRDefault="0008307C" w:rsidP="0008307C">
      <w:r>
        <w:t>From the CBP data, we extracted total establishment counts and then establishment counts by number of employees</w:t>
      </w:r>
      <w:r w:rsidR="00AE5275">
        <w:t>.  T</w:t>
      </w:r>
      <w:r>
        <w:t xml:space="preserve">hese were then grouped into smaller buckets, as shown in </w:t>
      </w:r>
      <w:r>
        <w:fldChar w:fldCharType="begin"/>
      </w:r>
      <w:r>
        <w:instrText xml:space="preserve"> REF _Ref73997603 \h </w:instrText>
      </w:r>
      <w:r>
        <w:fldChar w:fldCharType="separate"/>
      </w:r>
      <w:r w:rsidR="00A74C64">
        <w:t xml:space="preserve">Table </w:t>
      </w:r>
      <w:r w:rsidR="00A74C64">
        <w:rPr>
          <w:noProof/>
        </w:rPr>
        <w:t>5</w:t>
      </w:r>
      <w:r>
        <w:fldChar w:fldCharType="end"/>
      </w:r>
      <w:r>
        <w:t xml:space="preserve">, and normalized against the total establishment counts </w:t>
      </w:r>
      <w:proofErr w:type="gramStart"/>
      <w:r>
        <w:t>in a given</w:t>
      </w:r>
      <w:proofErr w:type="gramEnd"/>
      <w:r>
        <w:t xml:space="preserve"> ZIP Code.</w:t>
      </w:r>
    </w:p>
    <w:p w14:paraId="1DAD6B7D" w14:textId="09C16B2F" w:rsidR="0008307C" w:rsidRDefault="0008307C" w:rsidP="0008307C">
      <w:pPr>
        <w:pStyle w:val="Caption"/>
      </w:pPr>
      <w:bookmarkStart w:id="19" w:name="_Ref73997603"/>
      <w:bookmarkStart w:id="20" w:name="_Toc76121098"/>
      <w:r>
        <w:t xml:space="preserve">Table </w:t>
      </w:r>
      <w:r w:rsidR="00DB1658">
        <w:fldChar w:fldCharType="begin"/>
      </w:r>
      <w:r w:rsidR="00DB1658">
        <w:instrText xml:space="preserve"> SEQ Table \* ARABIC </w:instrText>
      </w:r>
      <w:r w:rsidR="00DB1658">
        <w:fldChar w:fldCharType="separate"/>
      </w:r>
      <w:r w:rsidR="00A74C64">
        <w:rPr>
          <w:noProof/>
        </w:rPr>
        <w:t>5</w:t>
      </w:r>
      <w:r w:rsidR="00DB1658">
        <w:rPr>
          <w:noProof/>
        </w:rPr>
        <w:fldChar w:fldCharType="end"/>
      </w:r>
      <w:bookmarkEnd w:id="19"/>
      <w:r>
        <w:t>. Firm Size Groupings</w:t>
      </w:r>
      <w:bookmarkEnd w:id="20"/>
    </w:p>
    <w:tbl>
      <w:tblPr>
        <w:tblStyle w:val="TableGrid"/>
        <w:tblW w:w="0" w:type="auto"/>
        <w:tblLook w:val="04A0" w:firstRow="1" w:lastRow="0" w:firstColumn="1" w:lastColumn="0" w:noHBand="0" w:noVBand="1"/>
      </w:tblPr>
      <w:tblGrid>
        <w:gridCol w:w="2785"/>
        <w:gridCol w:w="6565"/>
      </w:tblGrid>
      <w:tr w:rsidR="0008307C" w:rsidRPr="004C3994" w14:paraId="729AD0E0" w14:textId="77777777" w:rsidTr="00FE1CFE">
        <w:tc>
          <w:tcPr>
            <w:tcW w:w="2785" w:type="dxa"/>
            <w:shd w:val="clear" w:color="auto" w:fill="DBE5F1" w:themeFill="accent1" w:themeFillTint="33"/>
          </w:tcPr>
          <w:p w14:paraId="21015BC0" w14:textId="77777777" w:rsidR="0008307C" w:rsidRPr="004C3994" w:rsidRDefault="0008307C" w:rsidP="00FE1CFE">
            <w:pPr>
              <w:pStyle w:val="Normal-Table"/>
              <w:jc w:val="center"/>
              <w:rPr>
                <w:b/>
                <w:bCs w:val="0"/>
              </w:rPr>
            </w:pPr>
            <w:r>
              <w:rPr>
                <w:b/>
                <w:bCs w:val="0"/>
              </w:rPr>
              <w:t>Description</w:t>
            </w:r>
          </w:p>
        </w:tc>
        <w:tc>
          <w:tcPr>
            <w:tcW w:w="6565" w:type="dxa"/>
            <w:shd w:val="clear" w:color="auto" w:fill="DBE5F1" w:themeFill="accent1" w:themeFillTint="33"/>
          </w:tcPr>
          <w:p w14:paraId="4C299736" w14:textId="77777777" w:rsidR="0008307C" w:rsidRPr="004C3994" w:rsidRDefault="0008307C" w:rsidP="00FE1CFE">
            <w:pPr>
              <w:pStyle w:val="Normal-Table"/>
              <w:jc w:val="center"/>
              <w:rPr>
                <w:b/>
                <w:bCs w:val="0"/>
              </w:rPr>
            </w:pPr>
            <w:r>
              <w:rPr>
                <w:b/>
                <w:bCs w:val="0"/>
              </w:rPr>
              <w:t>Range</w:t>
            </w:r>
          </w:p>
        </w:tc>
      </w:tr>
      <w:tr w:rsidR="0008307C" w14:paraId="45F6FDB8" w14:textId="77777777" w:rsidTr="00E44991">
        <w:trPr>
          <w:trHeight w:val="338"/>
        </w:trPr>
        <w:tc>
          <w:tcPr>
            <w:tcW w:w="2785" w:type="dxa"/>
            <w:vAlign w:val="center"/>
          </w:tcPr>
          <w:p w14:paraId="384C0E8C" w14:textId="77777777" w:rsidR="0008307C" w:rsidRDefault="0008307C" w:rsidP="00E44991">
            <w:pPr>
              <w:pStyle w:val="Normal-Table"/>
              <w:jc w:val="center"/>
            </w:pPr>
            <w:r>
              <w:t>Micro</w:t>
            </w:r>
          </w:p>
        </w:tc>
        <w:tc>
          <w:tcPr>
            <w:tcW w:w="6565" w:type="dxa"/>
            <w:vAlign w:val="center"/>
          </w:tcPr>
          <w:p w14:paraId="58D6DD5C" w14:textId="77777777" w:rsidR="0008307C" w:rsidRDefault="0008307C" w:rsidP="00E44991">
            <w:pPr>
              <w:pStyle w:val="Normal-Table"/>
              <w:jc w:val="center"/>
            </w:pPr>
            <w:r>
              <w:t>Less than 10 Employees</w:t>
            </w:r>
          </w:p>
        </w:tc>
      </w:tr>
      <w:tr w:rsidR="0008307C" w14:paraId="7C423026" w14:textId="77777777" w:rsidTr="00E44991">
        <w:trPr>
          <w:trHeight w:val="338"/>
        </w:trPr>
        <w:tc>
          <w:tcPr>
            <w:tcW w:w="2785" w:type="dxa"/>
            <w:vAlign w:val="center"/>
          </w:tcPr>
          <w:p w14:paraId="2F7059E1" w14:textId="77777777" w:rsidR="0008307C" w:rsidRDefault="0008307C" w:rsidP="00E44991">
            <w:pPr>
              <w:pStyle w:val="Normal-Table"/>
              <w:jc w:val="center"/>
            </w:pPr>
            <w:r>
              <w:t>Small</w:t>
            </w:r>
          </w:p>
        </w:tc>
        <w:tc>
          <w:tcPr>
            <w:tcW w:w="6565" w:type="dxa"/>
            <w:vAlign w:val="center"/>
          </w:tcPr>
          <w:p w14:paraId="0434E502" w14:textId="77777777" w:rsidR="0008307C" w:rsidRDefault="0008307C" w:rsidP="00E44991">
            <w:pPr>
              <w:pStyle w:val="Normal-Table"/>
              <w:jc w:val="center"/>
            </w:pPr>
            <w:r>
              <w:t>10 to 49 Employees</w:t>
            </w:r>
          </w:p>
        </w:tc>
      </w:tr>
      <w:tr w:rsidR="0008307C" w14:paraId="49986EC7" w14:textId="77777777" w:rsidTr="00E44991">
        <w:trPr>
          <w:trHeight w:val="338"/>
        </w:trPr>
        <w:tc>
          <w:tcPr>
            <w:tcW w:w="2785" w:type="dxa"/>
            <w:vAlign w:val="center"/>
          </w:tcPr>
          <w:p w14:paraId="123E2B60" w14:textId="77777777" w:rsidR="0008307C" w:rsidRDefault="0008307C" w:rsidP="00E44991">
            <w:pPr>
              <w:pStyle w:val="Normal-Table"/>
              <w:jc w:val="center"/>
            </w:pPr>
            <w:r>
              <w:t>Medium</w:t>
            </w:r>
          </w:p>
        </w:tc>
        <w:tc>
          <w:tcPr>
            <w:tcW w:w="6565" w:type="dxa"/>
            <w:vAlign w:val="center"/>
          </w:tcPr>
          <w:p w14:paraId="7612C83B" w14:textId="77777777" w:rsidR="0008307C" w:rsidRDefault="0008307C" w:rsidP="00E44991">
            <w:pPr>
              <w:pStyle w:val="Normal-Table"/>
              <w:jc w:val="center"/>
            </w:pPr>
            <w:r>
              <w:t>50 to 249 Employees</w:t>
            </w:r>
          </w:p>
        </w:tc>
      </w:tr>
      <w:tr w:rsidR="0008307C" w14:paraId="37B26818" w14:textId="77777777" w:rsidTr="00E44991">
        <w:trPr>
          <w:trHeight w:val="338"/>
        </w:trPr>
        <w:tc>
          <w:tcPr>
            <w:tcW w:w="2785" w:type="dxa"/>
            <w:vAlign w:val="center"/>
          </w:tcPr>
          <w:p w14:paraId="77DE9F22" w14:textId="77777777" w:rsidR="0008307C" w:rsidRDefault="0008307C" w:rsidP="00E44991">
            <w:pPr>
              <w:pStyle w:val="Normal-Table"/>
              <w:jc w:val="center"/>
            </w:pPr>
            <w:r>
              <w:t>Large</w:t>
            </w:r>
          </w:p>
        </w:tc>
        <w:tc>
          <w:tcPr>
            <w:tcW w:w="6565" w:type="dxa"/>
            <w:vAlign w:val="center"/>
          </w:tcPr>
          <w:p w14:paraId="328BC933" w14:textId="77777777" w:rsidR="0008307C" w:rsidRDefault="0008307C" w:rsidP="00E44991">
            <w:pPr>
              <w:pStyle w:val="Normal-Table"/>
              <w:jc w:val="center"/>
            </w:pPr>
            <w:r>
              <w:t>250 or More Employees</w:t>
            </w:r>
          </w:p>
        </w:tc>
      </w:tr>
    </w:tbl>
    <w:p w14:paraId="52502DE5" w14:textId="77777777" w:rsidR="0008307C" w:rsidRDefault="0008307C" w:rsidP="00A933C6">
      <w:pPr>
        <w:pStyle w:val="Normal-Table"/>
      </w:pPr>
    </w:p>
    <w:p w14:paraId="68FD877A" w14:textId="2E525934" w:rsidR="0008307C" w:rsidRDefault="0008307C" w:rsidP="0008307C">
      <w:r>
        <w:t xml:space="preserve">From the ACS data we </w:t>
      </w:r>
      <w:r w:rsidR="00AE5275">
        <w:t>incorporated</w:t>
      </w:r>
      <w:r w:rsidR="00861AA5">
        <w:t xml:space="preserve"> </w:t>
      </w:r>
      <w:r>
        <w:t>variables that covered economic measures, ethnic composition, and general population statistics. Finally, we added in population weighted CES3.0 score and an indicator for whether a majority of a given ZIP Codes population was in a community deemed disadvantaged under SB 535. A full list of variables used in the analysis can be found in the appendix.</w:t>
      </w:r>
    </w:p>
    <w:p w14:paraId="614332A1" w14:textId="77777777" w:rsidR="0008307C" w:rsidRDefault="0008307C" w:rsidP="0008307C">
      <w:r>
        <w:t xml:space="preserve">Any ZIP Code that had less than 10 unique site IDs was dropped from the data set to reduce the impact of small ZIP Codes with noisy or missing data. This left 998 ZIP Codes. An additional 95 ZIP Codes were dropped since they had missing CES3.0 or ACS data. Four additional ZIP codes were dropped since they had more unique site IDs than establishment counts, leading to a final ZIP Code-level count of 899.  </w:t>
      </w:r>
    </w:p>
    <w:p w14:paraId="57B2A6F0" w14:textId="5714EF87" w:rsidR="00984939" w:rsidRDefault="00984939" w:rsidP="00984939">
      <w:pPr>
        <w:pStyle w:val="Heading1"/>
      </w:pPr>
      <w:bookmarkStart w:id="21" w:name="_Toc76121052"/>
      <w:r>
        <w:lastRenderedPageBreak/>
        <w:t>SMB Data Overview</w:t>
      </w:r>
      <w:bookmarkEnd w:id="21"/>
    </w:p>
    <w:p w14:paraId="55E891AE" w14:textId="66779E07" w:rsidR="00B36D86" w:rsidRDefault="00B36D86" w:rsidP="00C92A4A">
      <w:r>
        <w:t>The following table provides totals for the filtered SMB data set compared to the full set of 505,500 claims.</w:t>
      </w:r>
    </w:p>
    <w:p w14:paraId="16C90EDB" w14:textId="55742E31" w:rsidR="00B36D86" w:rsidRDefault="00B36D86" w:rsidP="00B36D86">
      <w:pPr>
        <w:pStyle w:val="Caption"/>
      </w:pPr>
      <w:bookmarkStart w:id="22" w:name="_Toc76121099"/>
      <w:r>
        <w:t xml:space="preserve">Table </w:t>
      </w:r>
      <w:r w:rsidR="00DB1658">
        <w:fldChar w:fldCharType="begin"/>
      </w:r>
      <w:r w:rsidR="00DB1658">
        <w:instrText xml:space="preserve"> SEQ Table \* ARABIC </w:instrText>
      </w:r>
      <w:r w:rsidR="00DB1658">
        <w:fldChar w:fldCharType="separate"/>
      </w:r>
      <w:r w:rsidR="00A74C64">
        <w:rPr>
          <w:noProof/>
        </w:rPr>
        <w:t>6</w:t>
      </w:r>
      <w:r w:rsidR="00DB1658">
        <w:rPr>
          <w:noProof/>
        </w:rPr>
        <w:fldChar w:fldCharType="end"/>
      </w:r>
      <w:r>
        <w:t xml:space="preserve">. Comparison of SMB </w:t>
      </w:r>
      <w:r w:rsidR="00CC1FD3">
        <w:t>Claim Data</w:t>
      </w:r>
      <w:r>
        <w:t xml:space="preserve"> Totals</w:t>
      </w:r>
      <w:bookmarkEnd w:id="22"/>
    </w:p>
    <w:tbl>
      <w:tblPr>
        <w:tblStyle w:val="TableGrid"/>
        <w:tblW w:w="0" w:type="auto"/>
        <w:tblLook w:val="04A0" w:firstRow="1" w:lastRow="0" w:firstColumn="1" w:lastColumn="0" w:noHBand="0" w:noVBand="1"/>
      </w:tblPr>
      <w:tblGrid>
        <w:gridCol w:w="4225"/>
        <w:gridCol w:w="1890"/>
        <w:gridCol w:w="1890"/>
        <w:gridCol w:w="1345"/>
      </w:tblGrid>
      <w:tr w:rsidR="00B36D86" w:rsidRPr="004C3994" w14:paraId="2EED6CA0" w14:textId="2DF3438A" w:rsidTr="00B36D86">
        <w:tc>
          <w:tcPr>
            <w:tcW w:w="4225" w:type="dxa"/>
            <w:shd w:val="clear" w:color="auto" w:fill="DBE5F1" w:themeFill="accent1" w:themeFillTint="33"/>
            <w:vAlign w:val="center"/>
          </w:tcPr>
          <w:p w14:paraId="0EA3FABF" w14:textId="667EA6DF" w:rsidR="00B36D86" w:rsidRPr="004C3994" w:rsidRDefault="00B36D86" w:rsidP="00B36D86">
            <w:pPr>
              <w:pStyle w:val="Normal-Table"/>
              <w:rPr>
                <w:b/>
                <w:bCs w:val="0"/>
              </w:rPr>
            </w:pPr>
            <w:r>
              <w:rPr>
                <w:rFonts w:cs="Arial"/>
                <w:b/>
                <w:bCs w:val="0"/>
                <w:color w:val="000000"/>
                <w:szCs w:val="22"/>
              </w:rPr>
              <w:t>Variable</w:t>
            </w:r>
            <w:r>
              <w:rPr>
                <w:rStyle w:val="FootnoteReference"/>
                <w:rFonts w:cs="Arial"/>
                <w:b/>
                <w:bCs w:val="0"/>
                <w:color w:val="000000"/>
                <w:szCs w:val="22"/>
              </w:rPr>
              <w:footnoteReference w:id="7"/>
            </w:r>
          </w:p>
        </w:tc>
        <w:tc>
          <w:tcPr>
            <w:tcW w:w="1890" w:type="dxa"/>
            <w:shd w:val="clear" w:color="auto" w:fill="DBE5F1" w:themeFill="accent1" w:themeFillTint="33"/>
            <w:vAlign w:val="center"/>
          </w:tcPr>
          <w:p w14:paraId="43D71FD8" w14:textId="4D5D2B22" w:rsidR="00B36D86" w:rsidRPr="004C3994" w:rsidRDefault="00B36D86" w:rsidP="00B36D86">
            <w:pPr>
              <w:pStyle w:val="Normal-Table"/>
              <w:jc w:val="right"/>
              <w:rPr>
                <w:b/>
                <w:bCs w:val="0"/>
              </w:rPr>
            </w:pPr>
            <w:r>
              <w:rPr>
                <w:rFonts w:cs="Arial"/>
                <w:b/>
                <w:bCs w:val="0"/>
                <w:szCs w:val="22"/>
              </w:rPr>
              <w:t>Total Data</w:t>
            </w:r>
          </w:p>
        </w:tc>
        <w:tc>
          <w:tcPr>
            <w:tcW w:w="1890" w:type="dxa"/>
            <w:shd w:val="clear" w:color="auto" w:fill="DBE5F1" w:themeFill="accent1" w:themeFillTint="33"/>
            <w:vAlign w:val="center"/>
          </w:tcPr>
          <w:p w14:paraId="17FCE6FA" w14:textId="0A4CA13B" w:rsidR="00B36D86" w:rsidRDefault="00B36D86" w:rsidP="00B36D86">
            <w:pPr>
              <w:pStyle w:val="Normal-Table"/>
              <w:jc w:val="right"/>
              <w:rPr>
                <w:b/>
                <w:bCs w:val="0"/>
              </w:rPr>
            </w:pPr>
            <w:r>
              <w:rPr>
                <w:rFonts w:cs="Arial"/>
                <w:b/>
                <w:bCs w:val="0"/>
                <w:szCs w:val="22"/>
              </w:rPr>
              <w:t>Filtered Data</w:t>
            </w:r>
          </w:p>
        </w:tc>
        <w:tc>
          <w:tcPr>
            <w:tcW w:w="1345" w:type="dxa"/>
            <w:shd w:val="clear" w:color="auto" w:fill="DBE5F1" w:themeFill="accent1" w:themeFillTint="33"/>
            <w:vAlign w:val="center"/>
          </w:tcPr>
          <w:p w14:paraId="6872DE4C" w14:textId="38D1FACC" w:rsidR="00B36D86" w:rsidRDefault="00B36D86" w:rsidP="00B36D86">
            <w:pPr>
              <w:pStyle w:val="Normal-Table"/>
              <w:jc w:val="center"/>
              <w:rPr>
                <w:b/>
                <w:bCs w:val="0"/>
              </w:rPr>
            </w:pPr>
            <w:r>
              <w:rPr>
                <w:rFonts w:cs="Arial"/>
                <w:b/>
                <w:bCs w:val="0"/>
                <w:szCs w:val="22"/>
              </w:rPr>
              <w:t xml:space="preserve">% </w:t>
            </w:r>
            <w:proofErr w:type="gramStart"/>
            <w:r>
              <w:rPr>
                <w:rFonts w:cs="Arial"/>
                <w:b/>
                <w:bCs w:val="0"/>
                <w:szCs w:val="22"/>
              </w:rPr>
              <w:t>of</w:t>
            </w:r>
            <w:proofErr w:type="gramEnd"/>
            <w:r>
              <w:rPr>
                <w:rFonts w:cs="Arial"/>
                <w:b/>
                <w:bCs w:val="0"/>
                <w:szCs w:val="22"/>
              </w:rPr>
              <w:t xml:space="preserve"> Total</w:t>
            </w:r>
          </w:p>
        </w:tc>
      </w:tr>
      <w:tr w:rsidR="00B36D86" w14:paraId="18D5F467" w14:textId="19C6E94C" w:rsidTr="00E44991">
        <w:trPr>
          <w:trHeight w:val="364"/>
        </w:trPr>
        <w:tc>
          <w:tcPr>
            <w:tcW w:w="4225" w:type="dxa"/>
            <w:vAlign w:val="center"/>
          </w:tcPr>
          <w:p w14:paraId="656CF0B8" w14:textId="144864F4" w:rsidR="00B36D86" w:rsidRDefault="00B36D86" w:rsidP="00E44991">
            <w:pPr>
              <w:pStyle w:val="Normal-Table"/>
            </w:pPr>
            <w:r>
              <w:rPr>
                <w:rFonts w:cs="Arial"/>
                <w:color w:val="000000"/>
                <w:szCs w:val="22"/>
              </w:rPr>
              <w:t>Unique Claims</w:t>
            </w:r>
          </w:p>
        </w:tc>
        <w:tc>
          <w:tcPr>
            <w:tcW w:w="1890" w:type="dxa"/>
            <w:vAlign w:val="center"/>
          </w:tcPr>
          <w:p w14:paraId="1F5B9E55" w14:textId="46A84959" w:rsidR="00B36D86" w:rsidRDefault="00B36D86" w:rsidP="00E44991">
            <w:pPr>
              <w:pStyle w:val="Normal-Table"/>
              <w:jc w:val="right"/>
            </w:pPr>
            <w:r>
              <w:rPr>
                <w:rFonts w:cs="Arial"/>
                <w:color w:val="000000"/>
                <w:szCs w:val="22"/>
              </w:rPr>
              <w:t xml:space="preserve">             505,500 </w:t>
            </w:r>
          </w:p>
        </w:tc>
        <w:tc>
          <w:tcPr>
            <w:tcW w:w="1890" w:type="dxa"/>
            <w:vAlign w:val="center"/>
          </w:tcPr>
          <w:p w14:paraId="163672E7" w14:textId="4112A716" w:rsidR="00B36D86" w:rsidRDefault="00B36D86" w:rsidP="00E44991">
            <w:pPr>
              <w:pStyle w:val="Normal-Table"/>
              <w:jc w:val="right"/>
            </w:pPr>
            <w:r>
              <w:rPr>
                <w:rFonts w:cs="Arial"/>
                <w:color w:val="000000"/>
                <w:szCs w:val="22"/>
              </w:rPr>
              <w:t xml:space="preserve">             272,301 </w:t>
            </w:r>
          </w:p>
        </w:tc>
        <w:tc>
          <w:tcPr>
            <w:tcW w:w="1345" w:type="dxa"/>
            <w:vAlign w:val="center"/>
          </w:tcPr>
          <w:p w14:paraId="7EF0BA5C" w14:textId="03A0C2F9" w:rsidR="00B36D86" w:rsidRDefault="00B36D86" w:rsidP="00E44991">
            <w:pPr>
              <w:pStyle w:val="Normal-Table"/>
              <w:jc w:val="center"/>
            </w:pPr>
            <w:r>
              <w:rPr>
                <w:rFonts w:cs="Arial"/>
                <w:color w:val="000000"/>
                <w:szCs w:val="22"/>
              </w:rPr>
              <w:t>54%</w:t>
            </w:r>
          </w:p>
        </w:tc>
      </w:tr>
      <w:tr w:rsidR="00B36D86" w14:paraId="7D5C24AF" w14:textId="742A4CA3" w:rsidTr="00E44991">
        <w:trPr>
          <w:trHeight w:val="364"/>
        </w:trPr>
        <w:tc>
          <w:tcPr>
            <w:tcW w:w="4225" w:type="dxa"/>
            <w:vAlign w:val="center"/>
          </w:tcPr>
          <w:p w14:paraId="630DDEDE" w14:textId="070A2A6F" w:rsidR="00B36D86" w:rsidRDefault="00B36D86" w:rsidP="00E44991">
            <w:pPr>
              <w:pStyle w:val="Normal-Table"/>
            </w:pPr>
            <w:r>
              <w:rPr>
                <w:rFonts w:cs="Arial"/>
                <w:color w:val="000000"/>
                <w:szCs w:val="22"/>
              </w:rPr>
              <w:t>Measure Cost</w:t>
            </w:r>
          </w:p>
        </w:tc>
        <w:tc>
          <w:tcPr>
            <w:tcW w:w="1890" w:type="dxa"/>
            <w:vAlign w:val="center"/>
          </w:tcPr>
          <w:p w14:paraId="262BE77B" w14:textId="1C1FA831" w:rsidR="00B36D86" w:rsidRDefault="00B36D86" w:rsidP="00E44991">
            <w:pPr>
              <w:pStyle w:val="Normal-Table"/>
              <w:jc w:val="right"/>
            </w:pPr>
            <w:r>
              <w:rPr>
                <w:rFonts w:cs="Arial"/>
                <w:color w:val="000000"/>
                <w:szCs w:val="22"/>
              </w:rPr>
              <w:t xml:space="preserve">  </w:t>
            </w:r>
            <w:r w:rsidR="009E0DDA">
              <w:rPr>
                <w:rFonts w:cs="Arial"/>
                <w:color w:val="000000"/>
                <w:szCs w:val="22"/>
              </w:rPr>
              <w:t>$</w:t>
            </w:r>
            <w:r>
              <w:rPr>
                <w:rFonts w:cs="Arial"/>
                <w:color w:val="000000"/>
                <w:szCs w:val="22"/>
              </w:rPr>
              <w:t xml:space="preserve">3,674,806,000 </w:t>
            </w:r>
          </w:p>
        </w:tc>
        <w:tc>
          <w:tcPr>
            <w:tcW w:w="1890" w:type="dxa"/>
            <w:vAlign w:val="center"/>
          </w:tcPr>
          <w:p w14:paraId="32A91E73" w14:textId="03D84D71" w:rsidR="00B36D86" w:rsidRDefault="00B36D86" w:rsidP="00E44991">
            <w:pPr>
              <w:pStyle w:val="Normal-Table"/>
              <w:jc w:val="right"/>
            </w:pPr>
            <w:r>
              <w:rPr>
                <w:rFonts w:cs="Arial"/>
                <w:color w:val="000000"/>
                <w:szCs w:val="22"/>
              </w:rPr>
              <w:t xml:space="preserve">     </w:t>
            </w:r>
            <w:r w:rsidR="009E0DDA">
              <w:rPr>
                <w:rFonts w:cs="Arial"/>
                <w:color w:val="000000"/>
                <w:szCs w:val="22"/>
              </w:rPr>
              <w:t>$</w:t>
            </w:r>
            <w:r>
              <w:rPr>
                <w:rFonts w:cs="Arial"/>
                <w:color w:val="000000"/>
                <w:szCs w:val="22"/>
              </w:rPr>
              <w:t xml:space="preserve">743,412,000 </w:t>
            </w:r>
          </w:p>
        </w:tc>
        <w:tc>
          <w:tcPr>
            <w:tcW w:w="1345" w:type="dxa"/>
            <w:vAlign w:val="center"/>
          </w:tcPr>
          <w:p w14:paraId="15CAF4BD" w14:textId="78DEA08B" w:rsidR="00B36D86" w:rsidRDefault="00B36D86" w:rsidP="00E44991">
            <w:pPr>
              <w:pStyle w:val="Normal-Table"/>
              <w:jc w:val="center"/>
            </w:pPr>
            <w:r>
              <w:rPr>
                <w:rFonts w:cs="Arial"/>
                <w:color w:val="000000"/>
                <w:szCs w:val="22"/>
              </w:rPr>
              <w:t>20%</w:t>
            </w:r>
          </w:p>
        </w:tc>
      </w:tr>
      <w:tr w:rsidR="00B36D86" w14:paraId="03A6E513" w14:textId="261BC350" w:rsidTr="00E44991">
        <w:trPr>
          <w:trHeight w:val="364"/>
        </w:trPr>
        <w:tc>
          <w:tcPr>
            <w:tcW w:w="4225" w:type="dxa"/>
            <w:vAlign w:val="center"/>
          </w:tcPr>
          <w:p w14:paraId="52F846F5" w14:textId="7EA47ADB" w:rsidR="00B36D86" w:rsidRDefault="00B36D86" w:rsidP="00E44991">
            <w:pPr>
              <w:pStyle w:val="Normal-Table"/>
            </w:pPr>
            <w:r>
              <w:rPr>
                <w:rFonts w:cs="Arial"/>
                <w:color w:val="000000"/>
                <w:szCs w:val="22"/>
              </w:rPr>
              <w:t>Incentive</w:t>
            </w:r>
          </w:p>
        </w:tc>
        <w:tc>
          <w:tcPr>
            <w:tcW w:w="1890" w:type="dxa"/>
            <w:vAlign w:val="center"/>
          </w:tcPr>
          <w:p w14:paraId="19C708BC" w14:textId="11E9CDB5" w:rsidR="00B36D86" w:rsidRDefault="00B36D86" w:rsidP="00E44991">
            <w:pPr>
              <w:pStyle w:val="Normal-Table"/>
              <w:jc w:val="right"/>
            </w:pPr>
            <w:r>
              <w:rPr>
                <w:rFonts w:cs="Arial"/>
                <w:color w:val="000000"/>
                <w:szCs w:val="22"/>
              </w:rPr>
              <w:t xml:space="preserve">     </w:t>
            </w:r>
            <w:r w:rsidR="009E0DDA">
              <w:rPr>
                <w:rFonts w:cs="Arial"/>
                <w:color w:val="000000"/>
                <w:szCs w:val="22"/>
              </w:rPr>
              <w:t>$</w:t>
            </w:r>
            <w:r>
              <w:rPr>
                <w:rFonts w:cs="Arial"/>
                <w:color w:val="000000"/>
                <w:szCs w:val="22"/>
              </w:rPr>
              <w:t xml:space="preserve">409,866,200 </w:t>
            </w:r>
          </w:p>
        </w:tc>
        <w:tc>
          <w:tcPr>
            <w:tcW w:w="1890" w:type="dxa"/>
            <w:vAlign w:val="center"/>
          </w:tcPr>
          <w:p w14:paraId="6F94B446" w14:textId="518559F1" w:rsidR="00B36D86" w:rsidRDefault="00B36D86" w:rsidP="00E44991">
            <w:pPr>
              <w:pStyle w:val="Normal-Table"/>
              <w:jc w:val="right"/>
            </w:pPr>
            <w:r>
              <w:rPr>
                <w:rFonts w:cs="Arial"/>
                <w:color w:val="000000"/>
                <w:szCs w:val="22"/>
              </w:rPr>
              <w:t xml:space="preserve">     </w:t>
            </w:r>
            <w:r w:rsidR="009E0DDA">
              <w:rPr>
                <w:rFonts w:cs="Arial"/>
                <w:color w:val="000000"/>
                <w:szCs w:val="22"/>
              </w:rPr>
              <w:t>$</w:t>
            </w:r>
            <w:r>
              <w:rPr>
                <w:rFonts w:cs="Arial"/>
                <w:color w:val="000000"/>
                <w:szCs w:val="22"/>
              </w:rPr>
              <w:t xml:space="preserve">259,129,800 </w:t>
            </w:r>
          </w:p>
        </w:tc>
        <w:tc>
          <w:tcPr>
            <w:tcW w:w="1345" w:type="dxa"/>
            <w:vAlign w:val="center"/>
          </w:tcPr>
          <w:p w14:paraId="1220A6F0" w14:textId="2718EFE0" w:rsidR="00B36D86" w:rsidRDefault="00B36D86" w:rsidP="00E44991">
            <w:pPr>
              <w:pStyle w:val="Normal-Table"/>
              <w:jc w:val="center"/>
            </w:pPr>
            <w:r>
              <w:rPr>
                <w:rFonts w:cs="Arial"/>
                <w:color w:val="000000"/>
                <w:szCs w:val="22"/>
              </w:rPr>
              <w:t>63%</w:t>
            </w:r>
          </w:p>
        </w:tc>
      </w:tr>
      <w:tr w:rsidR="00B36D86" w14:paraId="7C191AB0" w14:textId="77777777" w:rsidTr="00E44991">
        <w:trPr>
          <w:trHeight w:val="364"/>
        </w:trPr>
        <w:tc>
          <w:tcPr>
            <w:tcW w:w="4225" w:type="dxa"/>
            <w:vAlign w:val="center"/>
          </w:tcPr>
          <w:p w14:paraId="322E4990" w14:textId="0CF3C3A0" w:rsidR="00B36D86" w:rsidRDefault="00B36D86" w:rsidP="00E44991">
            <w:pPr>
              <w:pStyle w:val="Normal-Table"/>
            </w:pPr>
            <w:r>
              <w:rPr>
                <w:rFonts w:cs="Arial"/>
                <w:color w:val="000000"/>
                <w:szCs w:val="22"/>
              </w:rPr>
              <w:t>First Year kWh</w:t>
            </w:r>
          </w:p>
        </w:tc>
        <w:tc>
          <w:tcPr>
            <w:tcW w:w="1890" w:type="dxa"/>
            <w:vAlign w:val="center"/>
          </w:tcPr>
          <w:p w14:paraId="34C8E571" w14:textId="4573F3DC" w:rsidR="00B36D86" w:rsidRDefault="00B36D86" w:rsidP="00E44991">
            <w:pPr>
              <w:pStyle w:val="Normal-Table"/>
              <w:jc w:val="right"/>
            </w:pPr>
            <w:r>
              <w:rPr>
                <w:rFonts w:cs="Arial"/>
                <w:color w:val="000000"/>
                <w:szCs w:val="22"/>
              </w:rPr>
              <w:t xml:space="preserve">   3,596,812,000 </w:t>
            </w:r>
          </w:p>
        </w:tc>
        <w:tc>
          <w:tcPr>
            <w:tcW w:w="1890" w:type="dxa"/>
            <w:vAlign w:val="center"/>
          </w:tcPr>
          <w:p w14:paraId="1A16FF83" w14:textId="0C5F0BA7" w:rsidR="00B36D86" w:rsidRDefault="00B36D86" w:rsidP="00E44991">
            <w:pPr>
              <w:pStyle w:val="Normal-Table"/>
              <w:jc w:val="right"/>
            </w:pPr>
            <w:r>
              <w:rPr>
                <w:rFonts w:cs="Arial"/>
                <w:color w:val="000000"/>
                <w:szCs w:val="22"/>
              </w:rPr>
              <w:t xml:space="preserve">   1,005,519,000 </w:t>
            </w:r>
          </w:p>
        </w:tc>
        <w:tc>
          <w:tcPr>
            <w:tcW w:w="1345" w:type="dxa"/>
            <w:vAlign w:val="center"/>
          </w:tcPr>
          <w:p w14:paraId="7F5507CC" w14:textId="354ED026" w:rsidR="00B36D86" w:rsidRDefault="00B36D86" w:rsidP="00E44991">
            <w:pPr>
              <w:pStyle w:val="Normal-Table"/>
              <w:jc w:val="center"/>
            </w:pPr>
            <w:r>
              <w:rPr>
                <w:rFonts w:cs="Arial"/>
                <w:color w:val="000000"/>
                <w:szCs w:val="22"/>
              </w:rPr>
              <w:t>28%</w:t>
            </w:r>
          </w:p>
        </w:tc>
      </w:tr>
      <w:tr w:rsidR="00B36D86" w14:paraId="223BDD06" w14:textId="77777777" w:rsidTr="00E44991">
        <w:trPr>
          <w:trHeight w:val="364"/>
        </w:trPr>
        <w:tc>
          <w:tcPr>
            <w:tcW w:w="4225" w:type="dxa"/>
            <w:vAlign w:val="center"/>
          </w:tcPr>
          <w:p w14:paraId="0BD4028C" w14:textId="2C0A9601" w:rsidR="00B36D86" w:rsidRDefault="00B36D86" w:rsidP="00E44991">
            <w:pPr>
              <w:pStyle w:val="Normal-Table"/>
            </w:pPr>
            <w:r>
              <w:rPr>
                <w:rFonts w:cs="Arial"/>
                <w:color w:val="000000"/>
                <w:szCs w:val="22"/>
              </w:rPr>
              <w:t>First Year Therm</w:t>
            </w:r>
          </w:p>
        </w:tc>
        <w:tc>
          <w:tcPr>
            <w:tcW w:w="1890" w:type="dxa"/>
            <w:vAlign w:val="center"/>
          </w:tcPr>
          <w:p w14:paraId="5F727705" w14:textId="6960385B" w:rsidR="00B36D86" w:rsidRDefault="00B36D86" w:rsidP="00E44991">
            <w:pPr>
              <w:pStyle w:val="Normal-Table"/>
              <w:jc w:val="right"/>
            </w:pPr>
            <w:r>
              <w:rPr>
                <w:rFonts w:cs="Arial"/>
                <w:color w:val="000000"/>
                <w:szCs w:val="22"/>
              </w:rPr>
              <w:t xml:space="preserve">        74,453,320 </w:t>
            </w:r>
          </w:p>
        </w:tc>
        <w:tc>
          <w:tcPr>
            <w:tcW w:w="1890" w:type="dxa"/>
            <w:vAlign w:val="center"/>
          </w:tcPr>
          <w:p w14:paraId="454CE391" w14:textId="2B5EEF93" w:rsidR="00B36D86" w:rsidRDefault="00B36D86" w:rsidP="00E44991">
            <w:pPr>
              <w:pStyle w:val="Normal-Table"/>
              <w:jc w:val="right"/>
            </w:pPr>
            <w:r>
              <w:rPr>
                <w:rFonts w:cs="Arial"/>
                <w:color w:val="000000"/>
                <w:szCs w:val="22"/>
              </w:rPr>
              <w:t xml:space="preserve">        39,356,640 </w:t>
            </w:r>
          </w:p>
        </w:tc>
        <w:tc>
          <w:tcPr>
            <w:tcW w:w="1345" w:type="dxa"/>
            <w:vAlign w:val="center"/>
          </w:tcPr>
          <w:p w14:paraId="31C308F8" w14:textId="74199F2F" w:rsidR="00B36D86" w:rsidRDefault="00B36D86" w:rsidP="00E44991">
            <w:pPr>
              <w:pStyle w:val="Normal-Table"/>
              <w:jc w:val="center"/>
            </w:pPr>
            <w:r>
              <w:rPr>
                <w:rFonts w:cs="Arial"/>
                <w:color w:val="000000"/>
                <w:szCs w:val="22"/>
              </w:rPr>
              <w:t>53%</w:t>
            </w:r>
          </w:p>
        </w:tc>
      </w:tr>
      <w:tr w:rsidR="00B36D86" w14:paraId="2C502F59" w14:textId="77777777" w:rsidTr="00E44991">
        <w:trPr>
          <w:trHeight w:val="364"/>
        </w:trPr>
        <w:tc>
          <w:tcPr>
            <w:tcW w:w="4225" w:type="dxa"/>
            <w:vAlign w:val="center"/>
          </w:tcPr>
          <w:p w14:paraId="309C969D" w14:textId="15FCC48A" w:rsidR="00B36D86" w:rsidRDefault="00B36D86" w:rsidP="00E44991">
            <w:pPr>
              <w:pStyle w:val="Normal-Table"/>
            </w:pPr>
            <w:r>
              <w:rPr>
                <w:rFonts w:cs="Arial"/>
                <w:color w:val="000000"/>
                <w:szCs w:val="22"/>
              </w:rPr>
              <w:t>First Year Energy (kWh - Electric &amp; Gas)</w:t>
            </w:r>
          </w:p>
        </w:tc>
        <w:tc>
          <w:tcPr>
            <w:tcW w:w="1890" w:type="dxa"/>
            <w:vAlign w:val="center"/>
          </w:tcPr>
          <w:p w14:paraId="024ACE05" w14:textId="1D0C9C5B" w:rsidR="00B36D86" w:rsidRDefault="00B36D86" w:rsidP="00E44991">
            <w:pPr>
              <w:pStyle w:val="Normal-Table"/>
              <w:jc w:val="right"/>
            </w:pPr>
            <w:r>
              <w:rPr>
                <w:rFonts w:cs="Arial"/>
                <w:color w:val="000000"/>
                <w:szCs w:val="22"/>
              </w:rPr>
              <w:t xml:space="preserve">   5,778,294,000 </w:t>
            </w:r>
          </w:p>
        </w:tc>
        <w:tc>
          <w:tcPr>
            <w:tcW w:w="1890" w:type="dxa"/>
            <w:vAlign w:val="center"/>
          </w:tcPr>
          <w:p w14:paraId="0ACE4626" w14:textId="07D707B5" w:rsidR="00B36D86" w:rsidRDefault="00B36D86" w:rsidP="00E44991">
            <w:pPr>
              <w:pStyle w:val="Normal-Table"/>
              <w:jc w:val="right"/>
            </w:pPr>
            <w:r>
              <w:rPr>
                <w:rFonts w:cs="Arial"/>
                <w:color w:val="000000"/>
                <w:szCs w:val="22"/>
              </w:rPr>
              <w:t xml:space="preserve">   2,158,669,000 </w:t>
            </w:r>
          </w:p>
        </w:tc>
        <w:tc>
          <w:tcPr>
            <w:tcW w:w="1345" w:type="dxa"/>
            <w:vAlign w:val="center"/>
          </w:tcPr>
          <w:p w14:paraId="2665D95B" w14:textId="5F4F6A84" w:rsidR="00B36D86" w:rsidRDefault="00B36D86" w:rsidP="00E44991">
            <w:pPr>
              <w:pStyle w:val="Normal-Table"/>
              <w:jc w:val="center"/>
            </w:pPr>
            <w:r>
              <w:rPr>
                <w:rFonts w:cs="Arial"/>
                <w:color w:val="000000"/>
                <w:szCs w:val="22"/>
              </w:rPr>
              <w:t>37%</w:t>
            </w:r>
          </w:p>
        </w:tc>
      </w:tr>
      <w:tr w:rsidR="00B36D86" w14:paraId="20E6AC88" w14:textId="77777777" w:rsidTr="00E44991">
        <w:trPr>
          <w:trHeight w:val="364"/>
        </w:trPr>
        <w:tc>
          <w:tcPr>
            <w:tcW w:w="4225" w:type="dxa"/>
            <w:vAlign w:val="center"/>
          </w:tcPr>
          <w:p w14:paraId="47D015B0" w14:textId="04B639E6" w:rsidR="00B36D86" w:rsidRDefault="00B36D86" w:rsidP="00E44991">
            <w:pPr>
              <w:pStyle w:val="Normal-Table"/>
            </w:pPr>
            <w:r>
              <w:rPr>
                <w:rFonts w:cs="Arial"/>
                <w:color w:val="000000"/>
                <w:szCs w:val="22"/>
              </w:rPr>
              <w:t>Lifecycle kWh</w:t>
            </w:r>
          </w:p>
        </w:tc>
        <w:tc>
          <w:tcPr>
            <w:tcW w:w="1890" w:type="dxa"/>
            <w:vAlign w:val="center"/>
          </w:tcPr>
          <w:p w14:paraId="14DCDBE7" w14:textId="5DD7EE44" w:rsidR="00B36D86" w:rsidRDefault="00B36D86" w:rsidP="00E44991">
            <w:pPr>
              <w:pStyle w:val="Normal-Table"/>
              <w:jc w:val="right"/>
            </w:pPr>
            <w:r>
              <w:rPr>
                <w:rFonts w:cs="Arial"/>
                <w:color w:val="000000"/>
                <w:szCs w:val="22"/>
              </w:rPr>
              <w:t xml:space="preserve"> 43,843,810,000 </w:t>
            </w:r>
          </w:p>
        </w:tc>
        <w:tc>
          <w:tcPr>
            <w:tcW w:w="1890" w:type="dxa"/>
            <w:vAlign w:val="center"/>
          </w:tcPr>
          <w:p w14:paraId="77ECF406" w14:textId="3FDC8C02" w:rsidR="00B36D86" w:rsidRDefault="00B36D86" w:rsidP="00E44991">
            <w:pPr>
              <w:pStyle w:val="Normal-Table"/>
              <w:jc w:val="right"/>
            </w:pPr>
            <w:r>
              <w:rPr>
                <w:rFonts w:cs="Arial"/>
                <w:color w:val="000000"/>
                <w:szCs w:val="22"/>
              </w:rPr>
              <w:t xml:space="preserve">   9,210,218,000 </w:t>
            </w:r>
          </w:p>
        </w:tc>
        <w:tc>
          <w:tcPr>
            <w:tcW w:w="1345" w:type="dxa"/>
            <w:vAlign w:val="center"/>
          </w:tcPr>
          <w:p w14:paraId="585A727B" w14:textId="0AF3F262" w:rsidR="00B36D86" w:rsidRDefault="00B36D86" w:rsidP="00E44991">
            <w:pPr>
              <w:pStyle w:val="Normal-Table"/>
              <w:jc w:val="center"/>
            </w:pPr>
            <w:r>
              <w:rPr>
                <w:rFonts w:cs="Arial"/>
                <w:color w:val="000000"/>
                <w:szCs w:val="22"/>
              </w:rPr>
              <w:t>21%</w:t>
            </w:r>
          </w:p>
        </w:tc>
      </w:tr>
      <w:tr w:rsidR="00B36D86" w14:paraId="589B93F7" w14:textId="77777777" w:rsidTr="00E44991">
        <w:trPr>
          <w:trHeight w:val="364"/>
        </w:trPr>
        <w:tc>
          <w:tcPr>
            <w:tcW w:w="4225" w:type="dxa"/>
            <w:vAlign w:val="center"/>
          </w:tcPr>
          <w:p w14:paraId="7B28BA8A" w14:textId="4BA66248" w:rsidR="00B36D86" w:rsidRDefault="00B36D86" w:rsidP="00E44991">
            <w:pPr>
              <w:pStyle w:val="Normal-Table"/>
            </w:pPr>
            <w:r>
              <w:rPr>
                <w:rFonts w:cs="Arial"/>
                <w:color w:val="000000"/>
                <w:szCs w:val="22"/>
              </w:rPr>
              <w:t>Lifecycle Therm</w:t>
            </w:r>
          </w:p>
        </w:tc>
        <w:tc>
          <w:tcPr>
            <w:tcW w:w="1890" w:type="dxa"/>
            <w:vAlign w:val="center"/>
          </w:tcPr>
          <w:p w14:paraId="64894AF9" w14:textId="49154557" w:rsidR="00B36D86" w:rsidRDefault="00B36D86" w:rsidP="00E44991">
            <w:pPr>
              <w:pStyle w:val="Normal-Table"/>
              <w:jc w:val="right"/>
            </w:pPr>
            <w:r>
              <w:rPr>
                <w:rFonts w:cs="Arial"/>
                <w:color w:val="000000"/>
                <w:szCs w:val="22"/>
              </w:rPr>
              <w:t xml:space="preserve">      957,500,100 </w:t>
            </w:r>
          </w:p>
        </w:tc>
        <w:tc>
          <w:tcPr>
            <w:tcW w:w="1890" w:type="dxa"/>
            <w:vAlign w:val="center"/>
          </w:tcPr>
          <w:p w14:paraId="020E22A1" w14:textId="5011E4A2" w:rsidR="00B36D86" w:rsidRDefault="00B36D86" w:rsidP="00E44991">
            <w:pPr>
              <w:pStyle w:val="Normal-Table"/>
              <w:jc w:val="right"/>
            </w:pPr>
            <w:r>
              <w:rPr>
                <w:rFonts w:cs="Arial"/>
                <w:color w:val="000000"/>
                <w:szCs w:val="22"/>
              </w:rPr>
              <w:t xml:space="preserve">      424,367,200 </w:t>
            </w:r>
          </w:p>
        </w:tc>
        <w:tc>
          <w:tcPr>
            <w:tcW w:w="1345" w:type="dxa"/>
            <w:vAlign w:val="center"/>
          </w:tcPr>
          <w:p w14:paraId="73532ABD" w14:textId="597D065F" w:rsidR="00B36D86" w:rsidRDefault="00B36D86" w:rsidP="00E44991">
            <w:pPr>
              <w:pStyle w:val="Normal-Table"/>
              <w:jc w:val="center"/>
            </w:pPr>
            <w:r>
              <w:rPr>
                <w:rFonts w:cs="Arial"/>
                <w:color w:val="000000"/>
                <w:szCs w:val="22"/>
              </w:rPr>
              <w:t>44%</w:t>
            </w:r>
          </w:p>
        </w:tc>
      </w:tr>
      <w:tr w:rsidR="00B36D86" w14:paraId="6CDC4696" w14:textId="77777777" w:rsidTr="00E44991">
        <w:trPr>
          <w:trHeight w:val="364"/>
        </w:trPr>
        <w:tc>
          <w:tcPr>
            <w:tcW w:w="4225" w:type="dxa"/>
            <w:vAlign w:val="center"/>
          </w:tcPr>
          <w:p w14:paraId="000714E2" w14:textId="2C6A5D74" w:rsidR="00B36D86" w:rsidRDefault="00B36D86" w:rsidP="00E44991">
            <w:pPr>
              <w:pStyle w:val="Normal-Table"/>
            </w:pPr>
            <w:r>
              <w:rPr>
                <w:rFonts w:cs="Arial"/>
                <w:color w:val="000000"/>
                <w:szCs w:val="22"/>
              </w:rPr>
              <w:t>Lifecycle Energy (kWh - Electric &amp; Gas)</w:t>
            </w:r>
          </w:p>
        </w:tc>
        <w:tc>
          <w:tcPr>
            <w:tcW w:w="1890" w:type="dxa"/>
            <w:vAlign w:val="center"/>
          </w:tcPr>
          <w:p w14:paraId="2AB8C64B" w14:textId="078FF70C" w:rsidR="00B36D86" w:rsidRDefault="00B36D86" w:rsidP="00E44991">
            <w:pPr>
              <w:pStyle w:val="Normal-Table"/>
              <w:jc w:val="right"/>
            </w:pPr>
            <w:r>
              <w:rPr>
                <w:rFonts w:cs="Arial"/>
                <w:color w:val="000000"/>
                <w:szCs w:val="22"/>
              </w:rPr>
              <w:t xml:space="preserve"> 71,898,560,000 </w:t>
            </w:r>
          </w:p>
        </w:tc>
        <w:tc>
          <w:tcPr>
            <w:tcW w:w="1890" w:type="dxa"/>
            <w:vAlign w:val="center"/>
          </w:tcPr>
          <w:p w14:paraId="0D9BFAD3" w14:textId="39053AE9" w:rsidR="00B36D86" w:rsidRDefault="00B36D86" w:rsidP="00E44991">
            <w:pPr>
              <w:pStyle w:val="Normal-Table"/>
              <w:jc w:val="right"/>
            </w:pPr>
            <w:r>
              <w:rPr>
                <w:rFonts w:cs="Arial"/>
                <w:color w:val="000000"/>
                <w:szCs w:val="22"/>
              </w:rPr>
              <w:t xml:space="preserve"> 21,644,180,000 </w:t>
            </w:r>
          </w:p>
        </w:tc>
        <w:tc>
          <w:tcPr>
            <w:tcW w:w="1345" w:type="dxa"/>
            <w:vAlign w:val="center"/>
          </w:tcPr>
          <w:p w14:paraId="33F22E05" w14:textId="18B1D54A" w:rsidR="00B36D86" w:rsidRDefault="00B36D86" w:rsidP="00E44991">
            <w:pPr>
              <w:pStyle w:val="Normal-Table"/>
              <w:jc w:val="center"/>
            </w:pPr>
            <w:r>
              <w:rPr>
                <w:rFonts w:cs="Arial"/>
                <w:color w:val="000000"/>
                <w:szCs w:val="22"/>
              </w:rPr>
              <w:t>30%</w:t>
            </w:r>
          </w:p>
        </w:tc>
      </w:tr>
    </w:tbl>
    <w:p w14:paraId="02C69764" w14:textId="77777777" w:rsidR="00CC1FD3" w:rsidRDefault="00CC1FD3" w:rsidP="00A933C6">
      <w:pPr>
        <w:pStyle w:val="Normal-Table"/>
      </w:pPr>
    </w:p>
    <w:p w14:paraId="0810E8B7" w14:textId="77777777" w:rsidR="00CC1FD3" w:rsidRDefault="00CC1FD3" w:rsidP="00B36D86">
      <w:r>
        <w:t xml:space="preserve">The filtering removed a large portion of the SMB claim data. While a little more than half of the claims are left, only around 37% of first year energy savings and 30% of lifecycle savings remain. However, this still represents a substantial data set that is worth exploring. </w:t>
      </w:r>
    </w:p>
    <w:p w14:paraId="04F29857" w14:textId="2834E281" w:rsidR="007F2282" w:rsidRDefault="00CC1FD3" w:rsidP="00C92A4A">
      <w:r>
        <w:t>Interestingly, measure costs are down the most, at 20% of the total value before filtering, but 63% of the incentive value total remain in the data set. This indicates that the remaining measures had a larger portion of their costs covered by incentives. This makes sense, given that upstream programs were remove</w:t>
      </w:r>
      <w:r w:rsidR="00966B62">
        <w:t>d</w:t>
      </w:r>
      <w:r>
        <w:t xml:space="preserve">, since these programs tend to only cover a portion of the </w:t>
      </w:r>
      <w:r w:rsidR="00966B62">
        <w:t>incremental</w:t>
      </w:r>
      <w:r>
        <w:t xml:space="preserve"> cost </w:t>
      </w:r>
      <w:r w:rsidR="00966B62">
        <w:t>to</w:t>
      </w:r>
      <w:r>
        <w:t xml:space="preserve"> make </w:t>
      </w:r>
      <w:r w:rsidR="00966B62">
        <w:t>efficient equipment prices more competitive</w:t>
      </w:r>
      <w:r>
        <w:t xml:space="preserve"> </w:t>
      </w:r>
      <w:r w:rsidR="00966B62">
        <w:t>with</w:t>
      </w:r>
      <w:r>
        <w:t xml:space="preserve"> baseline equipment. </w:t>
      </w:r>
      <w:r w:rsidR="00966B62">
        <w:t>This</w:t>
      </w:r>
      <w:r>
        <w:t xml:space="preserve"> would </w:t>
      </w:r>
      <w:r w:rsidR="00966B62">
        <w:t xml:space="preserve">also </w:t>
      </w:r>
      <w:r>
        <w:t xml:space="preserve">indicate that there </w:t>
      </w:r>
      <w:r w:rsidR="00AE5275">
        <w:t>are</w:t>
      </w:r>
      <w:r>
        <w:t xml:space="preserve"> probably more direct install </w:t>
      </w:r>
      <w:r w:rsidR="00966B62">
        <w:t>program claims</w:t>
      </w:r>
      <w:r>
        <w:t xml:space="preserve"> in the filtered data set, </w:t>
      </w:r>
      <w:r w:rsidR="00966B62">
        <w:t xml:space="preserve">since direct install programs </w:t>
      </w:r>
      <w:r>
        <w:t xml:space="preserve">tend to cover the full portion of the </w:t>
      </w:r>
      <w:r w:rsidR="004F12E7">
        <w:t>cost and</w:t>
      </w:r>
      <w:r>
        <w:t xml:space="preserve"> have been </w:t>
      </w:r>
      <w:r w:rsidR="00966B62">
        <w:t>traditionally</w:t>
      </w:r>
      <w:r>
        <w:t xml:space="preserve"> targeted at SMBs.</w:t>
      </w:r>
    </w:p>
    <w:p w14:paraId="2248BB02" w14:textId="30D2BFAE" w:rsidR="0039277E" w:rsidRDefault="00F82624" w:rsidP="007C57C2">
      <w:r>
        <w:t>The 275,320 SMB claims were associated with 87,116 unique sites in 1,415 zip codes,</w:t>
      </w:r>
      <w:r w:rsidR="00B36D86">
        <w:t xml:space="preserve"> 56</w:t>
      </w:r>
      <w:r>
        <w:t xml:space="preserve">% of the </w:t>
      </w:r>
      <w:r w:rsidR="00B36D86">
        <w:t>2,586</w:t>
      </w:r>
      <w:r>
        <w:t xml:space="preserve"> ZIP Codes in California. The following table provides some summary statistics for the savings and investment factors identified as a priority by the UWG.</w:t>
      </w:r>
    </w:p>
    <w:p w14:paraId="201051C7" w14:textId="77777777" w:rsidR="0039277E" w:rsidRDefault="0039277E">
      <w:pPr>
        <w:spacing w:after="0" w:line="240" w:lineRule="auto"/>
      </w:pPr>
      <w:r>
        <w:br w:type="page"/>
      </w:r>
    </w:p>
    <w:p w14:paraId="3D5F085E" w14:textId="42F2DABB" w:rsidR="00F82624" w:rsidRDefault="00F82624" w:rsidP="00F82624">
      <w:pPr>
        <w:pStyle w:val="Caption"/>
      </w:pPr>
      <w:bookmarkStart w:id="23" w:name="_Toc76121100"/>
      <w:r>
        <w:lastRenderedPageBreak/>
        <w:t xml:space="preserve">Table </w:t>
      </w:r>
      <w:r w:rsidR="00DB1658">
        <w:fldChar w:fldCharType="begin"/>
      </w:r>
      <w:r w:rsidR="00DB1658">
        <w:instrText xml:space="preserve"> SEQ Table \* ARABIC </w:instrText>
      </w:r>
      <w:r w:rsidR="00DB1658">
        <w:fldChar w:fldCharType="separate"/>
      </w:r>
      <w:r w:rsidR="00A74C64">
        <w:rPr>
          <w:noProof/>
        </w:rPr>
        <w:t>7</w:t>
      </w:r>
      <w:r w:rsidR="00DB1658">
        <w:rPr>
          <w:noProof/>
        </w:rPr>
        <w:fldChar w:fldCharType="end"/>
      </w:r>
      <w:r>
        <w:t>. Summary SMB Claim Savings and Investment Factors</w:t>
      </w:r>
      <w:bookmarkEnd w:id="23"/>
    </w:p>
    <w:tbl>
      <w:tblPr>
        <w:tblStyle w:val="TableGrid"/>
        <w:tblW w:w="0" w:type="auto"/>
        <w:tblLook w:val="04A0" w:firstRow="1" w:lastRow="0" w:firstColumn="1" w:lastColumn="0" w:noHBand="0" w:noVBand="1"/>
      </w:tblPr>
      <w:tblGrid>
        <w:gridCol w:w="1661"/>
        <w:gridCol w:w="1440"/>
        <w:gridCol w:w="1377"/>
        <w:gridCol w:w="1337"/>
        <w:gridCol w:w="1849"/>
        <w:gridCol w:w="1686"/>
      </w:tblGrid>
      <w:tr w:rsidR="007F2282" w:rsidRPr="004C3994" w14:paraId="3AB6AFAB" w14:textId="32AAE31F" w:rsidTr="00E44991">
        <w:trPr>
          <w:trHeight w:val="314"/>
        </w:trPr>
        <w:tc>
          <w:tcPr>
            <w:tcW w:w="1705" w:type="dxa"/>
            <w:shd w:val="clear" w:color="auto" w:fill="DBE5F1" w:themeFill="accent1" w:themeFillTint="33"/>
            <w:vAlign w:val="bottom"/>
          </w:tcPr>
          <w:p w14:paraId="1C9F575F" w14:textId="279C6BFE" w:rsidR="007F2282" w:rsidRPr="004C3994" w:rsidRDefault="007F2282" w:rsidP="007F2282">
            <w:pPr>
              <w:pStyle w:val="Normal-Table"/>
              <w:rPr>
                <w:b/>
                <w:bCs w:val="0"/>
              </w:rPr>
            </w:pPr>
            <w:r>
              <w:rPr>
                <w:rFonts w:cs="Arial"/>
                <w:b/>
                <w:bCs w:val="0"/>
                <w:color w:val="000000"/>
                <w:szCs w:val="22"/>
              </w:rPr>
              <w:t>Statistic</w:t>
            </w:r>
          </w:p>
        </w:tc>
        <w:tc>
          <w:tcPr>
            <w:tcW w:w="1318" w:type="dxa"/>
            <w:shd w:val="clear" w:color="auto" w:fill="DBE5F1" w:themeFill="accent1" w:themeFillTint="33"/>
            <w:vAlign w:val="bottom"/>
          </w:tcPr>
          <w:p w14:paraId="2B226CA8" w14:textId="36E7A67F" w:rsidR="007F2282" w:rsidRDefault="007F2282" w:rsidP="007F2282">
            <w:pPr>
              <w:pStyle w:val="Normal-Table"/>
              <w:jc w:val="right"/>
              <w:rPr>
                <w:rFonts w:cs="Arial"/>
                <w:b/>
                <w:bCs w:val="0"/>
                <w:szCs w:val="22"/>
              </w:rPr>
            </w:pPr>
            <w:r>
              <w:rPr>
                <w:rFonts w:cs="Arial"/>
                <w:b/>
                <w:bCs w:val="0"/>
                <w:color w:val="000000"/>
                <w:szCs w:val="22"/>
              </w:rPr>
              <w:t>Measure Cost</w:t>
            </w:r>
          </w:p>
        </w:tc>
        <w:tc>
          <w:tcPr>
            <w:tcW w:w="1382" w:type="dxa"/>
            <w:shd w:val="clear" w:color="auto" w:fill="DBE5F1" w:themeFill="accent1" w:themeFillTint="33"/>
            <w:vAlign w:val="bottom"/>
          </w:tcPr>
          <w:p w14:paraId="27E786F1" w14:textId="2BDBC429" w:rsidR="007F2282" w:rsidRPr="004C3994" w:rsidRDefault="007F2282" w:rsidP="007F2282">
            <w:pPr>
              <w:pStyle w:val="Normal-Table"/>
              <w:jc w:val="right"/>
              <w:rPr>
                <w:b/>
                <w:bCs w:val="0"/>
              </w:rPr>
            </w:pPr>
            <w:r>
              <w:rPr>
                <w:rFonts w:cs="Arial"/>
                <w:b/>
                <w:bCs w:val="0"/>
                <w:color w:val="000000"/>
                <w:szCs w:val="22"/>
              </w:rPr>
              <w:t>Incentive</w:t>
            </w:r>
          </w:p>
        </w:tc>
        <w:tc>
          <w:tcPr>
            <w:tcW w:w="1350" w:type="dxa"/>
            <w:shd w:val="clear" w:color="auto" w:fill="DBE5F1" w:themeFill="accent1" w:themeFillTint="33"/>
            <w:vAlign w:val="bottom"/>
          </w:tcPr>
          <w:p w14:paraId="7830A490" w14:textId="0F298715" w:rsidR="007F2282" w:rsidRDefault="007F2282" w:rsidP="007F2282">
            <w:pPr>
              <w:pStyle w:val="Normal-Table"/>
              <w:jc w:val="right"/>
              <w:rPr>
                <w:b/>
                <w:bCs w:val="0"/>
              </w:rPr>
            </w:pPr>
            <w:r>
              <w:rPr>
                <w:rFonts w:cs="Arial"/>
                <w:b/>
                <w:bCs w:val="0"/>
                <w:color w:val="000000"/>
                <w:szCs w:val="22"/>
              </w:rPr>
              <w:t xml:space="preserve">Incentive </w:t>
            </w:r>
            <w:proofErr w:type="gramStart"/>
            <w:r>
              <w:rPr>
                <w:rFonts w:cs="Arial"/>
                <w:b/>
                <w:bCs w:val="0"/>
                <w:color w:val="000000"/>
                <w:szCs w:val="22"/>
              </w:rPr>
              <w:t>%</w:t>
            </w:r>
            <w:r w:rsidR="00A933C6">
              <w:rPr>
                <w:rFonts w:cs="Arial"/>
                <w:b/>
                <w:bCs w:val="0"/>
                <w:color w:val="000000"/>
                <w:szCs w:val="22"/>
              </w:rPr>
              <w:t xml:space="preserve"> </w:t>
            </w:r>
            <w:r>
              <w:rPr>
                <w:rFonts w:cs="Arial"/>
                <w:b/>
                <w:bCs w:val="0"/>
                <w:color w:val="000000"/>
                <w:szCs w:val="22"/>
              </w:rPr>
              <w:t xml:space="preserve"> Meas</w:t>
            </w:r>
            <w:proofErr w:type="gramEnd"/>
            <w:r w:rsidR="00A933C6">
              <w:rPr>
                <w:rFonts w:cs="Arial"/>
                <w:b/>
                <w:bCs w:val="0"/>
                <w:color w:val="000000"/>
                <w:szCs w:val="22"/>
              </w:rPr>
              <w:t xml:space="preserve"> </w:t>
            </w:r>
            <w:r>
              <w:rPr>
                <w:rFonts w:cs="Arial"/>
                <w:b/>
                <w:bCs w:val="0"/>
                <w:color w:val="000000"/>
                <w:szCs w:val="22"/>
              </w:rPr>
              <w:t>Cost</w:t>
            </w:r>
          </w:p>
        </w:tc>
        <w:tc>
          <w:tcPr>
            <w:tcW w:w="1890" w:type="dxa"/>
            <w:shd w:val="clear" w:color="auto" w:fill="DBE5F1" w:themeFill="accent1" w:themeFillTint="33"/>
            <w:vAlign w:val="bottom"/>
          </w:tcPr>
          <w:p w14:paraId="7D26206B" w14:textId="57C7C4EC" w:rsidR="007F2282" w:rsidRDefault="007F2282" w:rsidP="007F2282">
            <w:pPr>
              <w:pStyle w:val="Normal-Table"/>
              <w:jc w:val="right"/>
              <w:rPr>
                <w:b/>
                <w:bCs w:val="0"/>
              </w:rPr>
            </w:pPr>
            <w:r>
              <w:rPr>
                <w:rFonts w:cs="Arial"/>
                <w:b/>
                <w:bCs w:val="0"/>
                <w:color w:val="000000"/>
                <w:szCs w:val="22"/>
              </w:rPr>
              <w:t>First Year Energy (kWh - Elec &amp; Gas)</w:t>
            </w:r>
          </w:p>
        </w:tc>
        <w:tc>
          <w:tcPr>
            <w:tcW w:w="1705" w:type="dxa"/>
            <w:shd w:val="clear" w:color="auto" w:fill="DBE5F1" w:themeFill="accent1" w:themeFillTint="33"/>
            <w:vAlign w:val="bottom"/>
          </w:tcPr>
          <w:p w14:paraId="60D7EC0F" w14:textId="4E858BF5" w:rsidR="007F2282" w:rsidRDefault="007F2282" w:rsidP="007F2282">
            <w:pPr>
              <w:pStyle w:val="Normal-Table"/>
              <w:jc w:val="right"/>
              <w:rPr>
                <w:rFonts w:cs="Arial"/>
                <w:b/>
                <w:bCs w:val="0"/>
                <w:color w:val="000000"/>
                <w:szCs w:val="22"/>
              </w:rPr>
            </w:pPr>
            <w:r>
              <w:rPr>
                <w:rFonts w:cs="Arial"/>
                <w:b/>
                <w:bCs w:val="0"/>
                <w:color w:val="000000"/>
                <w:szCs w:val="22"/>
              </w:rPr>
              <w:t>Lifetime Energy (kWh - Elec &amp; Gas)</w:t>
            </w:r>
          </w:p>
        </w:tc>
      </w:tr>
      <w:tr w:rsidR="007F2282" w14:paraId="045246BC" w14:textId="5687E672" w:rsidTr="00E44991">
        <w:trPr>
          <w:trHeight w:val="358"/>
        </w:trPr>
        <w:tc>
          <w:tcPr>
            <w:tcW w:w="1705" w:type="dxa"/>
            <w:vAlign w:val="center"/>
          </w:tcPr>
          <w:p w14:paraId="0D7E0446" w14:textId="465543F9" w:rsidR="007F2282" w:rsidRPr="007F2282" w:rsidRDefault="007F2282" w:rsidP="007F2282">
            <w:pPr>
              <w:pStyle w:val="Normal-Table"/>
              <w:rPr>
                <w:b/>
                <w:bCs w:val="0"/>
              </w:rPr>
            </w:pPr>
            <w:r w:rsidRPr="007F2282">
              <w:rPr>
                <w:rFonts w:cs="Arial"/>
                <w:b/>
                <w:bCs w:val="0"/>
                <w:color w:val="000000"/>
                <w:szCs w:val="22"/>
              </w:rPr>
              <w:t>Mean</w:t>
            </w:r>
          </w:p>
        </w:tc>
        <w:tc>
          <w:tcPr>
            <w:tcW w:w="1318" w:type="dxa"/>
            <w:vAlign w:val="center"/>
          </w:tcPr>
          <w:p w14:paraId="75C837A9" w14:textId="0941609C" w:rsidR="007F2282" w:rsidRDefault="007F2282" w:rsidP="007F2282">
            <w:pPr>
              <w:pStyle w:val="Normal-Table"/>
              <w:jc w:val="right"/>
              <w:rPr>
                <w:rFonts w:cs="Arial"/>
                <w:color w:val="000000"/>
                <w:szCs w:val="22"/>
              </w:rPr>
            </w:pPr>
            <w:r>
              <w:rPr>
                <w:rFonts w:cs="Arial"/>
                <w:color w:val="000000"/>
                <w:szCs w:val="22"/>
              </w:rPr>
              <w:t>$2,730</w:t>
            </w:r>
          </w:p>
        </w:tc>
        <w:tc>
          <w:tcPr>
            <w:tcW w:w="1382" w:type="dxa"/>
            <w:vAlign w:val="center"/>
          </w:tcPr>
          <w:p w14:paraId="36769A0B" w14:textId="7B4B9C9C" w:rsidR="007F2282" w:rsidRDefault="007F2282" w:rsidP="007F2282">
            <w:pPr>
              <w:pStyle w:val="Normal-Table"/>
              <w:jc w:val="right"/>
            </w:pPr>
            <w:r>
              <w:rPr>
                <w:rFonts w:cs="Arial"/>
                <w:color w:val="000000"/>
                <w:szCs w:val="22"/>
              </w:rPr>
              <w:t>$952</w:t>
            </w:r>
          </w:p>
        </w:tc>
        <w:tc>
          <w:tcPr>
            <w:tcW w:w="1350" w:type="dxa"/>
            <w:vAlign w:val="center"/>
          </w:tcPr>
          <w:p w14:paraId="7F005CB4" w14:textId="2178EB65" w:rsidR="007F2282" w:rsidRDefault="007F2282" w:rsidP="007F2282">
            <w:pPr>
              <w:pStyle w:val="Normal-Table"/>
              <w:jc w:val="right"/>
            </w:pPr>
            <w:proofErr w:type="spellStart"/>
            <w:r>
              <w:rPr>
                <w:rFonts w:cs="Arial"/>
                <w:color w:val="000000"/>
                <w:szCs w:val="22"/>
              </w:rPr>
              <w:t>NaN</w:t>
            </w:r>
            <w:proofErr w:type="spellEnd"/>
          </w:p>
        </w:tc>
        <w:tc>
          <w:tcPr>
            <w:tcW w:w="1890" w:type="dxa"/>
            <w:vAlign w:val="center"/>
          </w:tcPr>
          <w:p w14:paraId="4BF154E2" w14:textId="78E4DE78" w:rsidR="007F2282" w:rsidRDefault="007F2282" w:rsidP="007F2282">
            <w:pPr>
              <w:pStyle w:val="Normal-Table"/>
              <w:jc w:val="center"/>
            </w:pPr>
            <w:r>
              <w:rPr>
                <w:rFonts w:cs="Arial"/>
                <w:color w:val="000000"/>
                <w:szCs w:val="22"/>
              </w:rPr>
              <w:t xml:space="preserve">           7,928 </w:t>
            </w:r>
          </w:p>
        </w:tc>
        <w:tc>
          <w:tcPr>
            <w:tcW w:w="1705" w:type="dxa"/>
            <w:vAlign w:val="center"/>
          </w:tcPr>
          <w:p w14:paraId="36A08BF1" w14:textId="745724AC" w:rsidR="007F2282" w:rsidRDefault="007F2282" w:rsidP="007F2282">
            <w:pPr>
              <w:pStyle w:val="Normal-Table"/>
              <w:jc w:val="center"/>
              <w:rPr>
                <w:rFonts w:cs="Arial"/>
                <w:color w:val="000000"/>
                <w:szCs w:val="22"/>
              </w:rPr>
            </w:pPr>
            <w:r>
              <w:rPr>
                <w:rFonts w:cs="Arial"/>
                <w:color w:val="000000"/>
                <w:szCs w:val="22"/>
              </w:rPr>
              <w:t xml:space="preserve">          79,486 </w:t>
            </w:r>
          </w:p>
        </w:tc>
      </w:tr>
      <w:tr w:rsidR="007F2282" w14:paraId="69D611A5" w14:textId="48255EF0" w:rsidTr="00E44991">
        <w:trPr>
          <w:trHeight w:val="358"/>
        </w:trPr>
        <w:tc>
          <w:tcPr>
            <w:tcW w:w="1705" w:type="dxa"/>
            <w:vAlign w:val="center"/>
          </w:tcPr>
          <w:p w14:paraId="63704B99" w14:textId="1529F6B8" w:rsidR="007F2282" w:rsidRPr="007F2282" w:rsidRDefault="007F2282" w:rsidP="007F2282">
            <w:pPr>
              <w:pStyle w:val="Normal-Table"/>
              <w:rPr>
                <w:b/>
                <w:bCs w:val="0"/>
              </w:rPr>
            </w:pPr>
            <w:r w:rsidRPr="007F2282">
              <w:rPr>
                <w:rFonts w:cs="Arial"/>
                <w:b/>
                <w:bCs w:val="0"/>
                <w:color w:val="000000"/>
                <w:szCs w:val="22"/>
              </w:rPr>
              <w:t>Std Dev</w:t>
            </w:r>
          </w:p>
        </w:tc>
        <w:tc>
          <w:tcPr>
            <w:tcW w:w="1318" w:type="dxa"/>
            <w:vAlign w:val="center"/>
          </w:tcPr>
          <w:p w14:paraId="78A0DE66" w14:textId="61FB0173" w:rsidR="007F2282" w:rsidRDefault="007F2282" w:rsidP="007F2282">
            <w:pPr>
              <w:pStyle w:val="Normal-Table"/>
              <w:jc w:val="right"/>
              <w:rPr>
                <w:rFonts w:cs="Arial"/>
                <w:color w:val="000000"/>
                <w:szCs w:val="22"/>
              </w:rPr>
            </w:pPr>
            <w:r>
              <w:rPr>
                <w:rFonts w:cs="Arial"/>
                <w:color w:val="000000"/>
                <w:szCs w:val="22"/>
              </w:rPr>
              <w:t>$50,901</w:t>
            </w:r>
          </w:p>
        </w:tc>
        <w:tc>
          <w:tcPr>
            <w:tcW w:w="1382" w:type="dxa"/>
            <w:vAlign w:val="center"/>
          </w:tcPr>
          <w:p w14:paraId="66111A5A" w14:textId="69994237" w:rsidR="007F2282" w:rsidRDefault="007F2282" w:rsidP="007F2282">
            <w:pPr>
              <w:pStyle w:val="Normal-Table"/>
              <w:jc w:val="right"/>
            </w:pPr>
            <w:r>
              <w:rPr>
                <w:rFonts w:cs="Arial"/>
                <w:color w:val="000000"/>
                <w:szCs w:val="22"/>
              </w:rPr>
              <w:t>$8,047</w:t>
            </w:r>
          </w:p>
        </w:tc>
        <w:tc>
          <w:tcPr>
            <w:tcW w:w="1350" w:type="dxa"/>
            <w:vAlign w:val="center"/>
          </w:tcPr>
          <w:p w14:paraId="392CCC82" w14:textId="7D883E8C" w:rsidR="007F2282" w:rsidRDefault="007F2282" w:rsidP="007F2282">
            <w:pPr>
              <w:pStyle w:val="Normal-Table"/>
              <w:jc w:val="right"/>
            </w:pPr>
            <w:proofErr w:type="spellStart"/>
            <w:r>
              <w:rPr>
                <w:rFonts w:cs="Arial"/>
                <w:color w:val="000000"/>
                <w:szCs w:val="22"/>
              </w:rPr>
              <w:t>NaN</w:t>
            </w:r>
            <w:proofErr w:type="spellEnd"/>
          </w:p>
        </w:tc>
        <w:tc>
          <w:tcPr>
            <w:tcW w:w="1890" w:type="dxa"/>
            <w:vAlign w:val="center"/>
          </w:tcPr>
          <w:p w14:paraId="06AE5A97" w14:textId="6A56A9E6" w:rsidR="007F2282" w:rsidRDefault="007F2282" w:rsidP="007F2282">
            <w:pPr>
              <w:pStyle w:val="Normal-Table"/>
              <w:jc w:val="center"/>
            </w:pPr>
            <w:r>
              <w:rPr>
                <w:rFonts w:cs="Arial"/>
                <w:color w:val="000000"/>
                <w:szCs w:val="22"/>
              </w:rPr>
              <w:t xml:space="preserve">       143,442 </w:t>
            </w:r>
          </w:p>
        </w:tc>
        <w:tc>
          <w:tcPr>
            <w:tcW w:w="1705" w:type="dxa"/>
            <w:vAlign w:val="center"/>
          </w:tcPr>
          <w:p w14:paraId="5CB7F47A" w14:textId="4E26BF30" w:rsidR="007F2282" w:rsidRDefault="007F2282" w:rsidP="007F2282">
            <w:pPr>
              <w:pStyle w:val="Normal-Table"/>
              <w:jc w:val="center"/>
              <w:rPr>
                <w:rFonts w:cs="Arial"/>
                <w:color w:val="000000"/>
                <w:szCs w:val="22"/>
              </w:rPr>
            </w:pPr>
            <w:r>
              <w:rPr>
                <w:rFonts w:cs="Arial"/>
                <w:color w:val="000000"/>
                <w:szCs w:val="22"/>
              </w:rPr>
              <w:t xml:space="preserve">     1,790,491 </w:t>
            </w:r>
          </w:p>
        </w:tc>
      </w:tr>
      <w:tr w:rsidR="007F2282" w14:paraId="1C3DB492" w14:textId="182ADD9D" w:rsidTr="00E44991">
        <w:trPr>
          <w:trHeight w:val="358"/>
        </w:trPr>
        <w:tc>
          <w:tcPr>
            <w:tcW w:w="1705" w:type="dxa"/>
            <w:vAlign w:val="center"/>
          </w:tcPr>
          <w:p w14:paraId="546FC906" w14:textId="13A5F566" w:rsidR="007F2282" w:rsidRPr="007F2282" w:rsidRDefault="007F2282" w:rsidP="007F2282">
            <w:pPr>
              <w:pStyle w:val="Normal-Table"/>
              <w:rPr>
                <w:b/>
                <w:bCs w:val="0"/>
              </w:rPr>
            </w:pPr>
            <w:r w:rsidRPr="007F2282">
              <w:rPr>
                <w:rFonts w:cs="Arial"/>
                <w:b/>
                <w:bCs w:val="0"/>
                <w:color w:val="000000"/>
                <w:szCs w:val="22"/>
              </w:rPr>
              <w:t>Min</w:t>
            </w:r>
          </w:p>
        </w:tc>
        <w:tc>
          <w:tcPr>
            <w:tcW w:w="1318" w:type="dxa"/>
            <w:vAlign w:val="center"/>
          </w:tcPr>
          <w:p w14:paraId="3FFAD03E" w14:textId="6203634D" w:rsidR="007F2282" w:rsidRDefault="007F2282" w:rsidP="007F2282">
            <w:pPr>
              <w:pStyle w:val="Normal-Table"/>
              <w:jc w:val="right"/>
              <w:rPr>
                <w:rFonts w:cs="Arial"/>
                <w:color w:val="000000"/>
                <w:szCs w:val="22"/>
              </w:rPr>
            </w:pPr>
            <w:r>
              <w:rPr>
                <w:rFonts w:cs="Arial"/>
                <w:color w:val="000000"/>
                <w:szCs w:val="22"/>
              </w:rPr>
              <w:t>-$2,586</w:t>
            </w:r>
          </w:p>
        </w:tc>
        <w:tc>
          <w:tcPr>
            <w:tcW w:w="1382" w:type="dxa"/>
            <w:vAlign w:val="center"/>
          </w:tcPr>
          <w:p w14:paraId="5F7FBC1A" w14:textId="67454385" w:rsidR="007F2282" w:rsidRDefault="007F2282" w:rsidP="007F2282">
            <w:pPr>
              <w:pStyle w:val="Normal-Table"/>
              <w:jc w:val="right"/>
            </w:pPr>
            <w:r>
              <w:rPr>
                <w:rFonts w:cs="Arial"/>
                <w:color w:val="000000"/>
                <w:szCs w:val="22"/>
              </w:rPr>
              <w:t>-$32,676</w:t>
            </w:r>
          </w:p>
        </w:tc>
        <w:tc>
          <w:tcPr>
            <w:tcW w:w="1350" w:type="dxa"/>
            <w:vAlign w:val="center"/>
          </w:tcPr>
          <w:p w14:paraId="426011E1" w14:textId="34780ADC" w:rsidR="007F2282" w:rsidRDefault="007F2282" w:rsidP="007F2282">
            <w:pPr>
              <w:pStyle w:val="Normal-Table"/>
              <w:jc w:val="right"/>
            </w:pPr>
            <w:r>
              <w:rPr>
                <w:rFonts w:cs="Arial"/>
                <w:color w:val="000000"/>
                <w:szCs w:val="22"/>
              </w:rPr>
              <w:t>-inf</w:t>
            </w:r>
          </w:p>
        </w:tc>
        <w:tc>
          <w:tcPr>
            <w:tcW w:w="1890" w:type="dxa"/>
            <w:vAlign w:val="center"/>
          </w:tcPr>
          <w:p w14:paraId="7A9AB5CF" w14:textId="0C159871" w:rsidR="007F2282" w:rsidRDefault="007F2282" w:rsidP="007F2282">
            <w:pPr>
              <w:pStyle w:val="Normal-Table"/>
              <w:jc w:val="center"/>
            </w:pPr>
            <w:r>
              <w:rPr>
                <w:rFonts w:cs="Arial"/>
                <w:color w:val="000000"/>
                <w:szCs w:val="22"/>
              </w:rPr>
              <w:t xml:space="preserve">     (137,387)</w:t>
            </w:r>
          </w:p>
        </w:tc>
        <w:tc>
          <w:tcPr>
            <w:tcW w:w="1705" w:type="dxa"/>
            <w:vAlign w:val="center"/>
          </w:tcPr>
          <w:p w14:paraId="3F849C16" w14:textId="3F817313" w:rsidR="007F2282" w:rsidRDefault="007F2282" w:rsidP="007F2282">
            <w:pPr>
              <w:pStyle w:val="Normal-Table"/>
              <w:jc w:val="center"/>
              <w:rPr>
                <w:rFonts w:cs="Arial"/>
                <w:color w:val="000000"/>
                <w:szCs w:val="22"/>
              </w:rPr>
            </w:pPr>
            <w:r>
              <w:rPr>
                <w:rFonts w:cs="Arial"/>
                <w:color w:val="000000"/>
                <w:szCs w:val="22"/>
              </w:rPr>
              <w:t xml:space="preserve">       (686,934)</w:t>
            </w:r>
          </w:p>
        </w:tc>
      </w:tr>
      <w:tr w:rsidR="007F2282" w14:paraId="18D0EA00" w14:textId="5D64DFD7" w:rsidTr="00E44991">
        <w:trPr>
          <w:trHeight w:val="358"/>
        </w:trPr>
        <w:tc>
          <w:tcPr>
            <w:tcW w:w="1705" w:type="dxa"/>
            <w:vAlign w:val="center"/>
          </w:tcPr>
          <w:p w14:paraId="06450DF3" w14:textId="32FA693F" w:rsidR="007F2282" w:rsidRPr="007F2282" w:rsidRDefault="007F2282" w:rsidP="007F2282">
            <w:pPr>
              <w:pStyle w:val="Normal-Table"/>
              <w:rPr>
                <w:b/>
                <w:bCs w:val="0"/>
              </w:rPr>
            </w:pPr>
            <w:r w:rsidRPr="007F2282">
              <w:rPr>
                <w:rFonts w:cs="Arial"/>
                <w:b/>
                <w:bCs w:val="0"/>
                <w:color w:val="000000"/>
                <w:szCs w:val="22"/>
              </w:rPr>
              <w:t>1st Quartile</w:t>
            </w:r>
          </w:p>
        </w:tc>
        <w:tc>
          <w:tcPr>
            <w:tcW w:w="1318" w:type="dxa"/>
            <w:vAlign w:val="center"/>
          </w:tcPr>
          <w:p w14:paraId="53A4BDD3" w14:textId="0C6C6633" w:rsidR="007F2282" w:rsidRDefault="007F2282" w:rsidP="007F2282">
            <w:pPr>
              <w:pStyle w:val="Normal-Table"/>
              <w:jc w:val="right"/>
              <w:rPr>
                <w:rFonts w:cs="Arial"/>
                <w:color w:val="000000"/>
                <w:szCs w:val="22"/>
              </w:rPr>
            </w:pPr>
            <w:r>
              <w:rPr>
                <w:rFonts w:cs="Arial"/>
                <w:color w:val="000000"/>
                <w:szCs w:val="22"/>
              </w:rPr>
              <w:t>$35</w:t>
            </w:r>
          </w:p>
        </w:tc>
        <w:tc>
          <w:tcPr>
            <w:tcW w:w="1382" w:type="dxa"/>
            <w:vAlign w:val="center"/>
          </w:tcPr>
          <w:p w14:paraId="2234CCA4" w14:textId="5C661DF1" w:rsidR="007F2282" w:rsidRDefault="007F2282" w:rsidP="007F2282">
            <w:pPr>
              <w:pStyle w:val="Normal-Table"/>
              <w:jc w:val="right"/>
            </w:pPr>
            <w:r>
              <w:rPr>
                <w:rFonts w:cs="Arial"/>
                <w:color w:val="000000"/>
                <w:szCs w:val="22"/>
              </w:rPr>
              <w:t>$55</w:t>
            </w:r>
          </w:p>
        </w:tc>
        <w:tc>
          <w:tcPr>
            <w:tcW w:w="1350" w:type="dxa"/>
            <w:vAlign w:val="center"/>
          </w:tcPr>
          <w:p w14:paraId="5E9B6D3E" w14:textId="610D88F0" w:rsidR="007F2282" w:rsidRDefault="007F2282" w:rsidP="007F2282">
            <w:pPr>
              <w:pStyle w:val="Normal-Table"/>
              <w:jc w:val="right"/>
            </w:pPr>
            <w:r>
              <w:rPr>
                <w:rFonts w:cs="Arial"/>
                <w:color w:val="000000"/>
                <w:szCs w:val="22"/>
              </w:rPr>
              <w:t>57%</w:t>
            </w:r>
          </w:p>
        </w:tc>
        <w:tc>
          <w:tcPr>
            <w:tcW w:w="1890" w:type="dxa"/>
            <w:vAlign w:val="center"/>
          </w:tcPr>
          <w:p w14:paraId="0BBAD02C" w14:textId="67136DF8" w:rsidR="007F2282" w:rsidRDefault="007F2282" w:rsidP="007F2282">
            <w:pPr>
              <w:pStyle w:val="Normal-Table"/>
              <w:jc w:val="center"/>
            </w:pPr>
            <w:r>
              <w:rPr>
                <w:rFonts w:cs="Arial"/>
                <w:color w:val="000000"/>
                <w:szCs w:val="22"/>
              </w:rPr>
              <w:t xml:space="preserve">                35 </w:t>
            </w:r>
          </w:p>
        </w:tc>
        <w:tc>
          <w:tcPr>
            <w:tcW w:w="1705" w:type="dxa"/>
            <w:vAlign w:val="center"/>
          </w:tcPr>
          <w:p w14:paraId="01EC31DF" w14:textId="64286330" w:rsidR="007F2282" w:rsidRDefault="007F2282" w:rsidP="007F2282">
            <w:pPr>
              <w:pStyle w:val="Normal-Table"/>
              <w:jc w:val="center"/>
              <w:rPr>
                <w:rFonts w:cs="Arial"/>
                <w:color w:val="000000"/>
                <w:szCs w:val="22"/>
              </w:rPr>
            </w:pPr>
            <w:r>
              <w:rPr>
                <w:rFonts w:cs="Arial"/>
                <w:color w:val="000000"/>
                <w:szCs w:val="22"/>
              </w:rPr>
              <w:t xml:space="preserve">               117 </w:t>
            </w:r>
          </w:p>
        </w:tc>
      </w:tr>
      <w:tr w:rsidR="007F2282" w14:paraId="35947D19" w14:textId="5D41E7AA" w:rsidTr="00E44991">
        <w:trPr>
          <w:trHeight w:val="358"/>
        </w:trPr>
        <w:tc>
          <w:tcPr>
            <w:tcW w:w="1705" w:type="dxa"/>
            <w:vAlign w:val="center"/>
          </w:tcPr>
          <w:p w14:paraId="21ADB674" w14:textId="01D20B23" w:rsidR="007F2282" w:rsidRPr="007F2282" w:rsidRDefault="007F2282" w:rsidP="007F2282">
            <w:pPr>
              <w:pStyle w:val="Normal-Table"/>
              <w:rPr>
                <w:b/>
                <w:bCs w:val="0"/>
              </w:rPr>
            </w:pPr>
            <w:r w:rsidRPr="007F2282">
              <w:rPr>
                <w:rFonts w:cs="Arial"/>
                <w:b/>
                <w:bCs w:val="0"/>
                <w:color w:val="000000"/>
                <w:szCs w:val="22"/>
              </w:rPr>
              <w:t>Median</w:t>
            </w:r>
          </w:p>
        </w:tc>
        <w:tc>
          <w:tcPr>
            <w:tcW w:w="1318" w:type="dxa"/>
            <w:vAlign w:val="center"/>
          </w:tcPr>
          <w:p w14:paraId="66B5E561" w14:textId="5719207A" w:rsidR="007F2282" w:rsidRDefault="007F2282" w:rsidP="007F2282">
            <w:pPr>
              <w:pStyle w:val="Normal-Table"/>
              <w:jc w:val="right"/>
              <w:rPr>
                <w:rFonts w:cs="Arial"/>
                <w:color w:val="000000"/>
                <w:szCs w:val="22"/>
              </w:rPr>
            </w:pPr>
            <w:r>
              <w:rPr>
                <w:rFonts w:cs="Arial"/>
                <w:color w:val="000000"/>
                <w:szCs w:val="22"/>
              </w:rPr>
              <w:t>$208</w:t>
            </w:r>
          </w:p>
        </w:tc>
        <w:tc>
          <w:tcPr>
            <w:tcW w:w="1382" w:type="dxa"/>
            <w:vAlign w:val="center"/>
          </w:tcPr>
          <w:p w14:paraId="203D3950" w14:textId="64CB24ED" w:rsidR="007F2282" w:rsidRDefault="007F2282" w:rsidP="007F2282">
            <w:pPr>
              <w:pStyle w:val="Normal-Table"/>
              <w:jc w:val="right"/>
            </w:pPr>
            <w:r>
              <w:rPr>
                <w:rFonts w:cs="Arial"/>
                <w:color w:val="000000"/>
                <w:szCs w:val="22"/>
              </w:rPr>
              <w:t>$180</w:t>
            </w:r>
          </w:p>
        </w:tc>
        <w:tc>
          <w:tcPr>
            <w:tcW w:w="1350" w:type="dxa"/>
            <w:vAlign w:val="center"/>
          </w:tcPr>
          <w:p w14:paraId="67CC7C3D" w14:textId="162075EE" w:rsidR="007F2282" w:rsidRDefault="007F2282" w:rsidP="007F2282">
            <w:pPr>
              <w:pStyle w:val="Normal-Table"/>
              <w:jc w:val="right"/>
            </w:pPr>
            <w:r>
              <w:rPr>
                <w:rFonts w:cs="Arial"/>
                <w:color w:val="000000"/>
                <w:szCs w:val="22"/>
              </w:rPr>
              <w:t>100%</w:t>
            </w:r>
          </w:p>
        </w:tc>
        <w:tc>
          <w:tcPr>
            <w:tcW w:w="1890" w:type="dxa"/>
            <w:vAlign w:val="center"/>
          </w:tcPr>
          <w:p w14:paraId="2AC7299F" w14:textId="4A1172FF" w:rsidR="007F2282" w:rsidRDefault="007F2282" w:rsidP="007F2282">
            <w:pPr>
              <w:pStyle w:val="Normal-Table"/>
              <w:jc w:val="center"/>
            </w:pPr>
            <w:r>
              <w:rPr>
                <w:rFonts w:cs="Arial"/>
                <w:color w:val="000000"/>
                <w:szCs w:val="22"/>
              </w:rPr>
              <w:t xml:space="preserve">              457 </w:t>
            </w:r>
          </w:p>
        </w:tc>
        <w:tc>
          <w:tcPr>
            <w:tcW w:w="1705" w:type="dxa"/>
            <w:vAlign w:val="center"/>
          </w:tcPr>
          <w:p w14:paraId="446152AE" w14:textId="7C72069E" w:rsidR="007F2282" w:rsidRDefault="007F2282" w:rsidP="007F2282">
            <w:pPr>
              <w:pStyle w:val="Normal-Table"/>
              <w:jc w:val="center"/>
              <w:rPr>
                <w:rFonts w:cs="Arial"/>
                <w:color w:val="000000"/>
                <w:szCs w:val="22"/>
              </w:rPr>
            </w:pPr>
            <w:r>
              <w:rPr>
                <w:rFonts w:cs="Arial"/>
                <w:color w:val="000000"/>
                <w:szCs w:val="22"/>
              </w:rPr>
              <w:t xml:space="preserve">            2,652 </w:t>
            </w:r>
          </w:p>
        </w:tc>
      </w:tr>
      <w:tr w:rsidR="007F2282" w14:paraId="2797C36E" w14:textId="64ADB998" w:rsidTr="00E44991">
        <w:trPr>
          <w:trHeight w:val="358"/>
        </w:trPr>
        <w:tc>
          <w:tcPr>
            <w:tcW w:w="1705" w:type="dxa"/>
            <w:vAlign w:val="center"/>
          </w:tcPr>
          <w:p w14:paraId="1C8FF4BC" w14:textId="2A60CF8B" w:rsidR="007F2282" w:rsidRPr="007F2282" w:rsidRDefault="007F2282" w:rsidP="007F2282">
            <w:pPr>
              <w:pStyle w:val="Normal-Table"/>
              <w:rPr>
                <w:b/>
                <w:bCs w:val="0"/>
              </w:rPr>
            </w:pPr>
            <w:r w:rsidRPr="007F2282">
              <w:rPr>
                <w:rFonts w:cs="Arial"/>
                <w:b/>
                <w:bCs w:val="0"/>
                <w:color w:val="000000"/>
                <w:szCs w:val="22"/>
              </w:rPr>
              <w:t xml:space="preserve">2nd Quartile </w:t>
            </w:r>
          </w:p>
        </w:tc>
        <w:tc>
          <w:tcPr>
            <w:tcW w:w="1318" w:type="dxa"/>
            <w:vAlign w:val="center"/>
          </w:tcPr>
          <w:p w14:paraId="4FD88674" w14:textId="247B40A7" w:rsidR="007F2282" w:rsidRDefault="007F2282" w:rsidP="007F2282">
            <w:pPr>
              <w:pStyle w:val="Normal-Table"/>
              <w:jc w:val="right"/>
              <w:rPr>
                <w:rFonts w:cs="Arial"/>
                <w:color w:val="000000"/>
                <w:szCs w:val="22"/>
              </w:rPr>
            </w:pPr>
            <w:r>
              <w:rPr>
                <w:rFonts w:cs="Arial"/>
                <w:color w:val="000000"/>
                <w:szCs w:val="22"/>
              </w:rPr>
              <w:t>$1,017</w:t>
            </w:r>
          </w:p>
        </w:tc>
        <w:tc>
          <w:tcPr>
            <w:tcW w:w="1382" w:type="dxa"/>
            <w:vAlign w:val="center"/>
          </w:tcPr>
          <w:p w14:paraId="59ACA32B" w14:textId="768A568A" w:rsidR="007F2282" w:rsidRDefault="007F2282" w:rsidP="007F2282">
            <w:pPr>
              <w:pStyle w:val="Normal-Table"/>
              <w:jc w:val="right"/>
            </w:pPr>
            <w:r>
              <w:rPr>
                <w:rFonts w:cs="Arial"/>
                <w:color w:val="000000"/>
                <w:szCs w:val="22"/>
              </w:rPr>
              <w:t>$750</w:t>
            </w:r>
          </w:p>
        </w:tc>
        <w:tc>
          <w:tcPr>
            <w:tcW w:w="1350" w:type="dxa"/>
            <w:vAlign w:val="center"/>
          </w:tcPr>
          <w:p w14:paraId="4EFC7E6A" w14:textId="54064024" w:rsidR="007F2282" w:rsidRDefault="007F2282" w:rsidP="007F2282">
            <w:pPr>
              <w:pStyle w:val="Normal-Table"/>
              <w:jc w:val="right"/>
            </w:pPr>
            <w:r>
              <w:rPr>
                <w:rFonts w:cs="Arial"/>
                <w:color w:val="000000"/>
                <w:szCs w:val="22"/>
              </w:rPr>
              <w:t>100%</w:t>
            </w:r>
          </w:p>
        </w:tc>
        <w:tc>
          <w:tcPr>
            <w:tcW w:w="1890" w:type="dxa"/>
            <w:vAlign w:val="center"/>
          </w:tcPr>
          <w:p w14:paraId="478A8186" w14:textId="7B8336AB" w:rsidR="007F2282" w:rsidRDefault="007F2282" w:rsidP="007F2282">
            <w:pPr>
              <w:pStyle w:val="Normal-Table"/>
              <w:jc w:val="center"/>
            </w:pPr>
            <w:r>
              <w:rPr>
                <w:rFonts w:cs="Arial"/>
                <w:color w:val="000000"/>
                <w:szCs w:val="22"/>
              </w:rPr>
              <w:t xml:space="preserve">           1,978 </w:t>
            </w:r>
          </w:p>
        </w:tc>
        <w:tc>
          <w:tcPr>
            <w:tcW w:w="1705" w:type="dxa"/>
            <w:vAlign w:val="center"/>
          </w:tcPr>
          <w:p w14:paraId="77B5FAFF" w14:textId="3D74E7F7" w:rsidR="007F2282" w:rsidRDefault="007F2282" w:rsidP="007F2282">
            <w:pPr>
              <w:pStyle w:val="Normal-Table"/>
              <w:jc w:val="center"/>
              <w:rPr>
                <w:rFonts w:cs="Arial"/>
                <w:color w:val="000000"/>
                <w:szCs w:val="22"/>
              </w:rPr>
            </w:pPr>
            <w:r>
              <w:rPr>
                <w:rFonts w:cs="Arial"/>
                <w:color w:val="000000"/>
                <w:szCs w:val="22"/>
              </w:rPr>
              <w:t xml:space="preserve">          15,925 </w:t>
            </w:r>
          </w:p>
        </w:tc>
      </w:tr>
      <w:tr w:rsidR="007F2282" w14:paraId="0C9AD13E" w14:textId="1B6AEF5E" w:rsidTr="00E44991">
        <w:trPr>
          <w:trHeight w:val="358"/>
        </w:trPr>
        <w:tc>
          <w:tcPr>
            <w:tcW w:w="1705" w:type="dxa"/>
            <w:vAlign w:val="center"/>
          </w:tcPr>
          <w:p w14:paraId="04310CF6" w14:textId="58A4D260" w:rsidR="007F2282" w:rsidRPr="007F2282" w:rsidRDefault="007F2282" w:rsidP="007F2282">
            <w:pPr>
              <w:pStyle w:val="Normal-Table"/>
              <w:rPr>
                <w:b/>
                <w:bCs w:val="0"/>
              </w:rPr>
            </w:pPr>
            <w:r w:rsidRPr="007F2282">
              <w:rPr>
                <w:rFonts w:cs="Arial"/>
                <w:b/>
                <w:bCs w:val="0"/>
                <w:color w:val="000000"/>
                <w:szCs w:val="22"/>
              </w:rPr>
              <w:t>Max</w:t>
            </w:r>
          </w:p>
        </w:tc>
        <w:tc>
          <w:tcPr>
            <w:tcW w:w="1318" w:type="dxa"/>
            <w:vAlign w:val="center"/>
          </w:tcPr>
          <w:p w14:paraId="77A59670" w14:textId="51D88CEC" w:rsidR="007F2282" w:rsidRDefault="007F2282" w:rsidP="007F2282">
            <w:pPr>
              <w:pStyle w:val="Normal-Table"/>
              <w:jc w:val="right"/>
              <w:rPr>
                <w:rFonts w:cs="Arial"/>
                <w:color w:val="000000"/>
                <w:szCs w:val="22"/>
              </w:rPr>
            </w:pPr>
            <w:r>
              <w:rPr>
                <w:rFonts w:cs="Arial"/>
                <w:color w:val="000000"/>
                <w:szCs w:val="22"/>
              </w:rPr>
              <w:t>$18,583,750</w:t>
            </w:r>
          </w:p>
        </w:tc>
        <w:tc>
          <w:tcPr>
            <w:tcW w:w="1382" w:type="dxa"/>
            <w:vAlign w:val="center"/>
          </w:tcPr>
          <w:p w14:paraId="68CADD1B" w14:textId="3C57C760" w:rsidR="007F2282" w:rsidRDefault="007F2282" w:rsidP="007F2282">
            <w:pPr>
              <w:pStyle w:val="Normal-Table"/>
              <w:jc w:val="right"/>
            </w:pPr>
            <w:r>
              <w:rPr>
                <w:rFonts w:cs="Arial"/>
                <w:color w:val="000000"/>
                <w:szCs w:val="22"/>
              </w:rPr>
              <w:t>$1,654,976</w:t>
            </w:r>
          </w:p>
        </w:tc>
        <w:tc>
          <w:tcPr>
            <w:tcW w:w="1350" w:type="dxa"/>
            <w:vAlign w:val="center"/>
          </w:tcPr>
          <w:p w14:paraId="4991474C" w14:textId="25622533" w:rsidR="007F2282" w:rsidRDefault="007F2282" w:rsidP="007F2282">
            <w:pPr>
              <w:pStyle w:val="Normal-Table"/>
              <w:jc w:val="right"/>
            </w:pPr>
            <w:r>
              <w:rPr>
                <w:rFonts w:cs="Arial"/>
                <w:color w:val="000000"/>
                <w:szCs w:val="22"/>
              </w:rPr>
              <w:t>inf</w:t>
            </w:r>
          </w:p>
        </w:tc>
        <w:tc>
          <w:tcPr>
            <w:tcW w:w="1890" w:type="dxa"/>
            <w:vAlign w:val="center"/>
          </w:tcPr>
          <w:p w14:paraId="65691D6D" w14:textId="666CFD25" w:rsidR="007F2282" w:rsidRDefault="007F2282" w:rsidP="007F2282">
            <w:pPr>
              <w:pStyle w:val="Normal-Table"/>
              <w:jc w:val="center"/>
            </w:pPr>
            <w:r>
              <w:rPr>
                <w:rFonts w:cs="Arial"/>
                <w:color w:val="000000"/>
                <w:szCs w:val="22"/>
              </w:rPr>
              <w:t xml:space="preserve">  39,930,930 </w:t>
            </w:r>
          </w:p>
        </w:tc>
        <w:tc>
          <w:tcPr>
            <w:tcW w:w="1705" w:type="dxa"/>
            <w:vAlign w:val="center"/>
          </w:tcPr>
          <w:p w14:paraId="706D9DD2" w14:textId="48F3BF47" w:rsidR="007F2282" w:rsidRDefault="007F2282" w:rsidP="007F2282">
            <w:pPr>
              <w:pStyle w:val="Normal-Table"/>
              <w:jc w:val="center"/>
              <w:rPr>
                <w:rFonts w:cs="Arial"/>
                <w:color w:val="000000"/>
                <w:szCs w:val="22"/>
              </w:rPr>
            </w:pPr>
            <w:r>
              <w:rPr>
                <w:rFonts w:cs="Arial"/>
                <w:color w:val="000000"/>
                <w:szCs w:val="22"/>
              </w:rPr>
              <w:t xml:space="preserve"> 559,033,000 </w:t>
            </w:r>
          </w:p>
        </w:tc>
      </w:tr>
    </w:tbl>
    <w:p w14:paraId="3F7680A9" w14:textId="6DFF5DB5" w:rsidR="00F82624" w:rsidRDefault="00F82624" w:rsidP="00A933C6">
      <w:pPr>
        <w:pStyle w:val="Normal-Table"/>
      </w:pPr>
    </w:p>
    <w:p w14:paraId="0DC590CA" w14:textId="696E04F4" w:rsidR="009E0DDA" w:rsidRDefault="009E0DDA" w:rsidP="00F82624">
      <w:r>
        <w:t xml:space="preserve">The summary statistics confirm that there are mostly program claims covering the full cost of measures, as indicated by the median incentive as a percent of measure costs being 100%, and some claims that were missing measure cost data, which made it impossible to calculate the mean and standard deviation. </w:t>
      </w:r>
    </w:p>
    <w:p w14:paraId="5703279B" w14:textId="58442147" w:rsidR="009E0DDA" w:rsidRDefault="009E0DDA" w:rsidP="00F82624">
      <w:r>
        <w:t>Incentive amounts were generally small and under $1,000, as were measure costs, but the max</w:t>
      </w:r>
      <w:r w:rsidR="004F12E7">
        <w:t>imum claim is an outlier</w:t>
      </w:r>
      <w:r>
        <w:t xml:space="preserve"> for</w:t>
      </w:r>
      <w:r w:rsidR="004F12E7">
        <w:t xml:space="preserve"> </w:t>
      </w:r>
      <w:r>
        <w:t>$1.7 million</w:t>
      </w:r>
      <w:r w:rsidR="004F12E7">
        <w:t xml:space="preserve">, a significant amount. </w:t>
      </w:r>
      <w:r>
        <w:t xml:space="preserve">An examination of the top ten largest incentives shows that almost all of them are for boiler installations, generally in laundry facilities or small industrial facilities. In fact, larger projects make up a very small portion of the </w:t>
      </w:r>
      <w:r w:rsidR="004F12E7">
        <w:t xml:space="preserve">claims data but skew the standard deviation significantly. If we remove </w:t>
      </w:r>
      <w:r w:rsidR="00AE5275">
        <w:t>the 39</w:t>
      </w:r>
      <w:r w:rsidR="00861AA5">
        <w:t xml:space="preserve"> </w:t>
      </w:r>
      <w:r w:rsidR="004F12E7">
        <w:t xml:space="preserve">claims for incentives larger than $250,000, the standard deviations are all cut in half, while the quartiles stay the same and mean values drop slightly, as seen in </w:t>
      </w:r>
      <w:r w:rsidR="004F12E7">
        <w:fldChar w:fldCharType="begin"/>
      </w:r>
      <w:r w:rsidR="004F12E7">
        <w:instrText xml:space="preserve"> REF _Ref73995640 \h </w:instrText>
      </w:r>
      <w:r w:rsidR="004F12E7">
        <w:fldChar w:fldCharType="separate"/>
      </w:r>
      <w:r w:rsidR="00A74C64">
        <w:t xml:space="preserve">Table </w:t>
      </w:r>
      <w:r w:rsidR="00A74C64">
        <w:rPr>
          <w:noProof/>
        </w:rPr>
        <w:t>8</w:t>
      </w:r>
      <w:r w:rsidR="004F12E7">
        <w:fldChar w:fldCharType="end"/>
      </w:r>
      <w:r w:rsidR="004F12E7">
        <w:t>. This indicates that most claims in the data set have a much tighter range in costs and savings factors, which may provide less explanatory power for future data exploration.</w:t>
      </w:r>
    </w:p>
    <w:p w14:paraId="2841541C" w14:textId="1C53B93F" w:rsidR="004F12E7" w:rsidRDefault="004F12E7" w:rsidP="004F12E7">
      <w:pPr>
        <w:pStyle w:val="Caption"/>
      </w:pPr>
      <w:bookmarkStart w:id="24" w:name="_Ref73995640"/>
      <w:bookmarkStart w:id="25" w:name="_Toc76121101"/>
      <w:r>
        <w:t xml:space="preserve">Table </w:t>
      </w:r>
      <w:r w:rsidR="00DB1658">
        <w:fldChar w:fldCharType="begin"/>
      </w:r>
      <w:r w:rsidR="00DB1658">
        <w:instrText xml:space="preserve"> SEQ Table \* ARABIC </w:instrText>
      </w:r>
      <w:r w:rsidR="00DB1658">
        <w:fldChar w:fldCharType="separate"/>
      </w:r>
      <w:r w:rsidR="00A74C64">
        <w:rPr>
          <w:noProof/>
        </w:rPr>
        <w:t>8</w:t>
      </w:r>
      <w:r w:rsidR="00DB1658">
        <w:rPr>
          <w:noProof/>
        </w:rPr>
        <w:fldChar w:fldCharType="end"/>
      </w:r>
      <w:bookmarkEnd w:id="24"/>
      <w:r>
        <w:t>. Summary SMB Claim Savings and Investment Factors – Incentive &lt; $250k</w:t>
      </w:r>
      <w:bookmarkEnd w:id="25"/>
    </w:p>
    <w:tbl>
      <w:tblPr>
        <w:tblStyle w:val="TableGrid"/>
        <w:tblW w:w="0" w:type="auto"/>
        <w:tblLook w:val="04A0" w:firstRow="1" w:lastRow="0" w:firstColumn="1" w:lastColumn="0" w:noHBand="0" w:noVBand="1"/>
      </w:tblPr>
      <w:tblGrid>
        <w:gridCol w:w="1525"/>
        <w:gridCol w:w="1498"/>
        <w:gridCol w:w="1382"/>
        <w:gridCol w:w="1620"/>
        <w:gridCol w:w="1620"/>
        <w:gridCol w:w="1705"/>
      </w:tblGrid>
      <w:tr w:rsidR="004F12E7" w:rsidRPr="004C3994" w14:paraId="15B0E9C8" w14:textId="77777777" w:rsidTr="00A933C6">
        <w:trPr>
          <w:trHeight w:val="314"/>
        </w:trPr>
        <w:tc>
          <w:tcPr>
            <w:tcW w:w="1525" w:type="dxa"/>
            <w:shd w:val="clear" w:color="auto" w:fill="DBE5F1" w:themeFill="accent1" w:themeFillTint="33"/>
            <w:vAlign w:val="bottom"/>
          </w:tcPr>
          <w:p w14:paraId="6D448CF0" w14:textId="77777777" w:rsidR="004F12E7" w:rsidRPr="004C3994" w:rsidRDefault="004F12E7" w:rsidP="00FE1CFE">
            <w:pPr>
              <w:pStyle w:val="Normal-Table"/>
              <w:rPr>
                <w:b/>
                <w:bCs w:val="0"/>
              </w:rPr>
            </w:pPr>
            <w:r>
              <w:rPr>
                <w:rFonts w:cs="Arial"/>
                <w:b/>
                <w:bCs w:val="0"/>
                <w:color w:val="000000"/>
                <w:szCs w:val="22"/>
              </w:rPr>
              <w:t>Statistic</w:t>
            </w:r>
          </w:p>
        </w:tc>
        <w:tc>
          <w:tcPr>
            <w:tcW w:w="1498" w:type="dxa"/>
            <w:shd w:val="clear" w:color="auto" w:fill="DBE5F1" w:themeFill="accent1" w:themeFillTint="33"/>
            <w:vAlign w:val="bottom"/>
          </w:tcPr>
          <w:p w14:paraId="79DFBA10" w14:textId="77777777" w:rsidR="004F12E7" w:rsidRDefault="004F12E7" w:rsidP="00FE1CFE">
            <w:pPr>
              <w:pStyle w:val="Normal-Table"/>
              <w:jc w:val="right"/>
              <w:rPr>
                <w:rFonts w:cs="Arial"/>
                <w:b/>
                <w:bCs w:val="0"/>
                <w:szCs w:val="22"/>
              </w:rPr>
            </w:pPr>
            <w:r>
              <w:rPr>
                <w:rFonts w:cs="Arial"/>
                <w:b/>
                <w:bCs w:val="0"/>
                <w:color w:val="000000"/>
                <w:szCs w:val="22"/>
              </w:rPr>
              <w:t>Measure Cost</w:t>
            </w:r>
          </w:p>
        </w:tc>
        <w:tc>
          <w:tcPr>
            <w:tcW w:w="1382" w:type="dxa"/>
            <w:shd w:val="clear" w:color="auto" w:fill="DBE5F1" w:themeFill="accent1" w:themeFillTint="33"/>
            <w:vAlign w:val="bottom"/>
          </w:tcPr>
          <w:p w14:paraId="16F1E0CA" w14:textId="77777777" w:rsidR="004F12E7" w:rsidRPr="004C3994" w:rsidRDefault="004F12E7" w:rsidP="00FE1CFE">
            <w:pPr>
              <w:pStyle w:val="Normal-Table"/>
              <w:jc w:val="right"/>
              <w:rPr>
                <w:b/>
                <w:bCs w:val="0"/>
              </w:rPr>
            </w:pPr>
            <w:r>
              <w:rPr>
                <w:rFonts w:cs="Arial"/>
                <w:b/>
                <w:bCs w:val="0"/>
                <w:color w:val="000000"/>
                <w:szCs w:val="22"/>
              </w:rPr>
              <w:t>Incentive</w:t>
            </w:r>
          </w:p>
        </w:tc>
        <w:tc>
          <w:tcPr>
            <w:tcW w:w="1620" w:type="dxa"/>
            <w:shd w:val="clear" w:color="auto" w:fill="DBE5F1" w:themeFill="accent1" w:themeFillTint="33"/>
            <w:vAlign w:val="bottom"/>
          </w:tcPr>
          <w:p w14:paraId="58496B4A" w14:textId="13CA4BEC" w:rsidR="004F12E7" w:rsidRDefault="004F12E7" w:rsidP="00FE1CFE">
            <w:pPr>
              <w:pStyle w:val="Normal-Table"/>
              <w:jc w:val="right"/>
              <w:rPr>
                <w:b/>
                <w:bCs w:val="0"/>
              </w:rPr>
            </w:pPr>
            <w:r>
              <w:rPr>
                <w:rFonts w:cs="Arial"/>
                <w:b/>
                <w:bCs w:val="0"/>
                <w:color w:val="000000"/>
                <w:szCs w:val="22"/>
              </w:rPr>
              <w:t>Incentive % of Meas Cost</w:t>
            </w:r>
          </w:p>
        </w:tc>
        <w:tc>
          <w:tcPr>
            <w:tcW w:w="1620" w:type="dxa"/>
            <w:shd w:val="clear" w:color="auto" w:fill="DBE5F1" w:themeFill="accent1" w:themeFillTint="33"/>
            <w:vAlign w:val="bottom"/>
          </w:tcPr>
          <w:p w14:paraId="13A5E1C8" w14:textId="77777777" w:rsidR="004F12E7" w:rsidRDefault="004F12E7" w:rsidP="00FE1CFE">
            <w:pPr>
              <w:pStyle w:val="Normal-Table"/>
              <w:jc w:val="right"/>
              <w:rPr>
                <w:b/>
                <w:bCs w:val="0"/>
              </w:rPr>
            </w:pPr>
            <w:r>
              <w:rPr>
                <w:rFonts w:cs="Arial"/>
                <w:b/>
                <w:bCs w:val="0"/>
                <w:color w:val="000000"/>
                <w:szCs w:val="22"/>
              </w:rPr>
              <w:t>First Year Energy (kWh - Elec &amp; Gas)</w:t>
            </w:r>
          </w:p>
        </w:tc>
        <w:tc>
          <w:tcPr>
            <w:tcW w:w="1705" w:type="dxa"/>
            <w:shd w:val="clear" w:color="auto" w:fill="DBE5F1" w:themeFill="accent1" w:themeFillTint="33"/>
            <w:vAlign w:val="bottom"/>
          </w:tcPr>
          <w:p w14:paraId="5DD37EB6" w14:textId="77777777" w:rsidR="004F12E7" w:rsidRDefault="004F12E7" w:rsidP="00FE1CFE">
            <w:pPr>
              <w:pStyle w:val="Normal-Table"/>
              <w:jc w:val="right"/>
              <w:rPr>
                <w:rFonts w:cs="Arial"/>
                <w:b/>
                <w:bCs w:val="0"/>
                <w:color w:val="000000"/>
                <w:szCs w:val="22"/>
              </w:rPr>
            </w:pPr>
            <w:r>
              <w:rPr>
                <w:rFonts w:cs="Arial"/>
                <w:b/>
                <w:bCs w:val="0"/>
                <w:color w:val="000000"/>
                <w:szCs w:val="22"/>
              </w:rPr>
              <w:t>Lifetime Energy (kWh - Elec &amp; Gas)</w:t>
            </w:r>
          </w:p>
        </w:tc>
      </w:tr>
      <w:tr w:rsidR="004F12E7" w14:paraId="64091894" w14:textId="77777777" w:rsidTr="00A933C6">
        <w:trPr>
          <w:trHeight w:val="358"/>
        </w:trPr>
        <w:tc>
          <w:tcPr>
            <w:tcW w:w="1525" w:type="dxa"/>
            <w:vAlign w:val="center"/>
          </w:tcPr>
          <w:p w14:paraId="3F055315" w14:textId="77777777" w:rsidR="004F12E7" w:rsidRPr="007F2282" w:rsidRDefault="004F12E7" w:rsidP="004F12E7">
            <w:pPr>
              <w:pStyle w:val="Normal-Table"/>
              <w:rPr>
                <w:b/>
                <w:bCs w:val="0"/>
              </w:rPr>
            </w:pPr>
            <w:r w:rsidRPr="007F2282">
              <w:rPr>
                <w:rFonts w:cs="Arial"/>
                <w:b/>
                <w:bCs w:val="0"/>
                <w:color w:val="000000"/>
                <w:szCs w:val="22"/>
              </w:rPr>
              <w:t>Mean</w:t>
            </w:r>
          </w:p>
        </w:tc>
        <w:tc>
          <w:tcPr>
            <w:tcW w:w="1498" w:type="dxa"/>
            <w:vAlign w:val="center"/>
          </w:tcPr>
          <w:p w14:paraId="4A5113A9" w14:textId="796B80C4" w:rsidR="004F12E7" w:rsidRDefault="004F12E7" w:rsidP="004F12E7">
            <w:pPr>
              <w:pStyle w:val="Normal-Table"/>
              <w:jc w:val="right"/>
              <w:rPr>
                <w:rFonts w:cs="Arial"/>
                <w:color w:val="000000"/>
                <w:szCs w:val="22"/>
              </w:rPr>
            </w:pPr>
            <w:r>
              <w:rPr>
                <w:rFonts w:cs="Arial"/>
                <w:color w:val="000000"/>
                <w:szCs w:val="22"/>
              </w:rPr>
              <w:t>$2,493</w:t>
            </w:r>
          </w:p>
        </w:tc>
        <w:tc>
          <w:tcPr>
            <w:tcW w:w="1382" w:type="dxa"/>
            <w:vAlign w:val="center"/>
          </w:tcPr>
          <w:p w14:paraId="236C1BBA" w14:textId="73662E6C" w:rsidR="004F12E7" w:rsidRDefault="004F12E7" w:rsidP="004F12E7">
            <w:pPr>
              <w:pStyle w:val="Normal-Table"/>
              <w:jc w:val="right"/>
            </w:pPr>
            <w:r>
              <w:rPr>
                <w:rFonts w:cs="Arial"/>
                <w:color w:val="000000"/>
                <w:szCs w:val="22"/>
              </w:rPr>
              <w:t>$884</w:t>
            </w:r>
          </w:p>
        </w:tc>
        <w:tc>
          <w:tcPr>
            <w:tcW w:w="1620" w:type="dxa"/>
            <w:vAlign w:val="center"/>
          </w:tcPr>
          <w:p w14:paraId="0570868A" w14:textId="277FE466" w:rsidR="004F12E7" w:rsidRDefault="004F12E7" w:rsidP="004F12E7">
            <w:pPr>
              <w:pStyle w:val="Normal-Table"/>
              <w:jc w:val="right"/>
            </w:pPr>
            <w:proofErr w:type="spellStart"/>
            <w:r>
              <w:rPr>
                <w:rFonts w:cs="Arial"/>
                <w:color w:val="000000"/>
                <w:szCs w:val="22"/>
              </w:rPr>
              <w:t>NaN</w:t>
            </w:r>
            <w:proofErr w:type="spellEnd"/>
          </w:p>
        </w:tc>
        <w:tc>
          <w:tcPr>
            <w:tcW w:w="1620" w:type="dxa"/>
            <w:vAlign w:val="center"/>
          </w:tcPr>
          <w:p w14:paraId="48E6190D" w14:textId="28FE45B9" w:rsidR="004F12E7" w:rsidRDefault="004F12E7" w:rsidP="004F12E7">
            <w:pPr>
              <w:pStyle w:val="Normal-Table"/>
              <w:jc w:val="center"/>
            </w:pPr>
            <w:r>
              <w:rPr>
                <w:rFonts w:cs="Arial"/>
                <w:color w:val="000000"/>
                <w:szCs w:val="22"/>
              </w:rPr>
              <w:t xml:space="preserve">          6,894 </w:t>
            </w:r>
          </w:p>
        </w:tc>
        <w:tc>
          <w:tcPr>
            <w:tcW w:w="1705" w:type="dxa"/>
            <w:vAlign w:val="center"/>
          </w:tcPr>
          <w:p w14:paraId="3E5BD50D" w14:textId="5FEE8C27" w:rsidR="004F12E7" w:rsidRDefault="004F12E7" w:rsidP="004F12E7">
            <w:pPr>
              <w:pStyle w:val="Normal-Table"/>
              <w:jc w:val="center"/>
              <w:rPr>
                <w:rFonts w:cs="Arial"/>
                <w:color w:val="000000"/>
                <w:szCs w:val="22"/>
              </w:rPr>
            </w:pPr>
            <w:r>
              <w:rPr>
                <w:rFonts w:cs="Arial"/>
                <w:color w:val="000000"/>
                <w:szCs w:val="22"/>
              </w:rPr>
              <w:t xml:space="preserve">            67,404 </w:t>
            </w:r>
          </w:p>
        </w:tc>
      </w:tr>
      <w:tr w:rsidR="004F12E7" w14:paraId="229B37C0" w14:textId="77777777" w:rsidTr="00A933C6">
        <w:trPr>
          <w:trHeight w:val="358"/>
        </w:trPr>
        <w:tc>
          <w:tcPr>
            <w:tcW w:w="1525" w:type="dxa"/>
            <w:vAlign w:val="center"/>
          </w:tcPr>
          <w:p w14:paraId="4C00E332" w14:textId="77777777" w:rsidR="004F12E7" w:rsidRPr="007F2282" w:rsidRDefault="004F12E7" w:rsidP="004F12E7">
            <w:pPr>
              <w:pStyle w:val="Normal-Table"/>
              <w:rPr>
                <w:b/>
                <w:bCs w:val="0"/>
              </w:rPr>
            </w:pPr>
            <w:r w:rsidRPr="007F2282">
              <w:rPr>
                <w:rFonts w:cs="Arial"/>
                <w:b/>
                <w:bCs w:val="0"/>
                <w:color w:val="000000"/>
                <w:szCs w:val="22"/>
              </w:rPr>
              <w:t>Std Dev</w:t>
            </w:r>
          </w:p>
        </w:tc>
        <w:tc>
          <w:tcPr>
            <w:tcW w:w="1498" w:type="dxa"/>
            <w:vAlign w:val="center"/>
          </w:tcPr>
          <w:p w14:paraId="5918D18D" w14:textId="1EDF86E1" w:rsidR="004F12E7" w:rsidRDefault="004F12E7" w:rsidP="004F12E7">
            <w:pPr>
              <w:pStyle w:val="Normal-Table"/>
              <w:jc w:val="right"/>
              <w:rPr>
                <w:rFonts w:cs="Arial"/>
                <w:color w:val="000000"/>
                <w:szCs w:val="22"/>
              </w:rPr>
            </w:pPr>
            <w:r>
              <w:rPr>
                <w:rFonts w:cs="Arial"/>
                <w:color w:val="000000"/>
                <w:szCs w:val="22"/>
              </w:rPr>
              <w:t>$31,923</w:t>
            </w:r>
          </w:p>
        </w:tc>
        <w:tc>
          <w:tcPr>
            <w:tcW w:w="1382" w:type="dxa"/>
            <w:vAlign w:val="center"/>
          </w:tcPr>
          <w:p w14:paraId="282BE6A4" w14:textId="1D44D904" w:rsidR="004F12E7" w:rsidRDefault="004F12E7" w:rsidP="004F12E7">
            <w:pPr>
              <w:pStyle w:val="Normal-Table"/>
              <w:jc w:val="right"/>
            </w:pPr>
            <w:r>
              <w:rPr>
                <w:rFonts w:cs="Arial"/>
                <w:color w:val="000000"/>
                <w:szCs w:val="22"/>
              </w:rPr>
              <w:t>$4,132</w:t>
            </w:r>
          </w:p>
        </w:tc>
        <w:tc>
          <w:tcPr>
            <w:tcW w:w="1620" w:type="dxa"/>
            <w:vAlign w:val="center"/>
          </w:tcPr>
          <w:p w14:paraId="373BE1F1" w14:textId="2067F250" w:rsidR="004F12E7" w:rsidRDefault="004F12E7" w:rsidP="004F12E7">
            <w:pPr>
              <w:pStyle w:val="Normal-Table"/>
              <w:jc w:val="right"/>
            </w:pPr>
            <w:proofErr w:type="spellStart"/>
            <w:r>
              <w:rPr>
                <w:rFonts w:cs="Arial"/>
                <w:color w:val="000000"/>
                <w:szCs w:val="22"/>
              </w:rPr>
              <w:t>NaN</w:t>
            </w:r>
            <w:proofErr w:type="spellEnd"/>
          </w:p>
        </w:tc>
        <w:tc>
          <w:tcPr>
            <w:tcW w:w="1620" w:type="dxa"/>
            <w:vAlign w:val="center"/>
          </w:tcPr>
          <w:p w14:paraId="0F57B584" w14:textId="5BF06140" w:rsidR="004F12E7" w:rsidRDefault="004F12E7" w:rsidP="004F12E7">
            <w:pPr>
              <w:pStyle w:val="Normal-Table"/>
              <w:jc w:val="center"/>
            </w:pPr>
            <w:r>
              <w:rPr>
                <w:rFonts w:cs="Arial"/>
                <w:color w:val="000000"/>
                <w:szCs w:val="22"/>
              </w:rPr>
              <w:t xml:space="preserve">        77,969 </w:t>
            </w:r>
          </w:p>
        </w:tc>
        <w:tc>
          <w:tcPr>
            <w:tcW w:w="1705" w:type="dxa"/>
            <w:vAlign w:val="center"/>
          </w:tcPr>
          <w:p w14:paraId="32DB5010" w14:textId="4EB52A40" w:rsidR="004F12E7" w:rsidRDefault="004F12E7" w:rsidP="004F12E7">
            <w:pPr>
              <w:pStyle w:val="Normal-Table"/>
              <w:jc w:val="center"/>
              <w:rPr>
                <w:rFonts w:cs="Arial"/>
                <w:color w:val="000000"/>
                <w:szCs w:val="22"/>
              </w:rPr>
            </w:pPr>
            <w:r>
              <w:rPr>
                <w:rFonts w:cs="Arial"/>
                <w:color w:val="000000"/>
                <w:szCs w:val="22"/>
              </w:rPr>
              <w:t xml:space="preserve">          924,214 </w:t>
            </w:r>
          </w:p>
        </w:tc>
      </w:tr>
      <w:tr w:rsidR="004F12E7" w14:paraId="2B8614D7" w14:textId="77777777" w:rsidTr="00A933C6">
        <w:trPr>
          <w:trHeight w:val="358"/>
        </w:trPr>
        <w:tc>
          <w:tcPr>
            <w:tcW w:w="1525" w:type="dxa"/>
            <w:vAlign w:val="center"/>
          </w:tcPr>
          <w:p w14:paraId="37B69498" w14:textId="77777777" w:rsidR="004F12E7" w:rsidRPr="007F2282" w:rsidRDefault="004F12E7" w:rsidP="004F12E7">
            <w:pPr>
              <w:pStyle w:val="Normal-Table"/>
              <w:rPr>
                <w:b/>
                <w:bCs w:val="0"/>
              </w:rPr>
            </w:pPr>
            <w:r w:rsidRPr="007F2282">
              <w:rPr>
                <w:rFonts w:cs="Arial"/>
                <w:b/>
                <w:bCs w:val="0"/>
                <w:color w:val="000000"/>
                <w:szCs w:val="22"/>
              </w:rPr>
              <w:t>Min</w:t>
            </w:r>
          </w:p>
        </w:tc>
        <w:tc>
          <w:tcPr>
            <w:tcW w:w="1498" w:type="dxa"/>
            <w:vAlign w:val="center"/>
          </w:tcPr>
          <w:p w14:paraId="726F6EDF" w14:textId="2890D2CA" w:rsidR="004F12E7" w:rsidRDefault="004F12E7" w:rsidP="004F12E7">
            <w:pPr>
              <w:pStyle w:val="Normal-Table"/>
              <w:jc w:val="right"/>
              <w:rPr>
                <w:rFonts w:cs="Arial"/>
                <w:color w:val="000000"/>
                <w:szCs w:val="22"/>
              </w:rPr>
            </w:pPr>
            <w:r>
              <w:rPr>
                <w:rFonts w:cs="Arial"/>
                <w:color w:val="000000"/>
                <w:szCs w:val="22"/>
              </w:rPr>
              <w:t>-$2,586</w:t>
            </w:r>
          </w:p>
        </w:tc>
        <w:tc>
          <w:tcPr>
            <w:tcW w:w="1382" w:type="dxa"/>
            <w:vAlign w:val="center"/>
          </w:tcPr>
          <w:p w14:paraId="37FD512E" w14:textId="4FD6E6E2" w:rsidR="004F12E7" w:rsidRDefault="004F12E7" w:rsidP="004F12E7">
            <w:pPr>
              <w:pStyle w:val="Normal-Table"/>
              <w:jc w:val="right"/>
            </w:pPr>
            <w:r>
              <w:rPr>
                <w:rFonts w:cs="Arial"/>
                <w:color w:val="000000"/>
                <w:szCs w:val="22"/>
              </w:rPr>
              <w:t>-$32,676</w:t>
            </w:r>
          </w:p>
        </w:tc>
        <w:tc>
          <w:tcPr>
            <w:tcW w:w="1620" w:type="dxa"/>
            <w:vAlign w:val="center"/>
          </w:tcPr>
          <w:p w14:paraId="0C202868" w14:textId="5CAAF6E9" w:rsidR="004F12E7" w:rsidRDefault="004F12E7" w:rsidP="004F12E7">
            <w:pPr>
              <w:pStyle w:val="Normal-Table"/>
              <w:jc w:val="right"/>
            </w:pPr>
            <w:r>
              <w:rPr>
                <w:rFonts w:cs="Arial"/>
                <w:color w:val="000000"/>
                <w:szCs w:val="22"/>
              </w:rPr>
              <w:t>-inf</w:t>
            </w:r>
          </w:p>
        </w:tc>
        <w:tc>
          <w:tcPr>
            <w:tcW w:w="1620" w:type="dxa"/>
            <w:vAlign w:val="center"/>
          </w:tcPr>
          <w:p w14:paraId="48BAD753" w14:textId="17E086E9" w:rsidR="004F12E7" w:rsidRDefault="004F12E7" w:rsidP="004F12E7">
            <w:pPr>
              <w:pStyle w:val="Normal-Table"/>
              <w:jc w:val="center"/>
            </w:pPr>
            <w:r>
              <w:rPr>
                <w:rFonts w:cs="Arial"/>
                <w:color w:val="000000"/>
                <w:szCs w:val="22"/>
              </w:rPr>
              <w:t xml:space="preserve">    (137,387)</w:t>
            </w:r>
          </w:p>
        </w:tc>
        <w:tc>
          <w:tcPr>
            <w:tcW w:w="1705" w:type="dxa"/>
            <w:vAlign w:val="center"/>
          </w:tcPr>
          <w:p w14:paraId="42E3782C" w14:textId="0D8F7ED2" w:rsidR="004F12E7" w:rsidRDefault="004F12E7" w:rsidP="004F12E7">
            <w:pPr>
              <w:pStyle w:val="Normal-Table"/>
              <w:jc w:val="center"/>
              <w:rPr>
                <w:rFonts w:cs="Arial"/>
                <w:color w:val="000000"/>
                <w:szCs w:val="22"/>
              </w:rPr>
            </w:pPr>
            <w:r>
              <w:rPr>
                <w:rFonts w:cs="Arial"/>
                <w:color w:val="000000"/>
                <w:szCs w:val="22"/>
              </w:rPr>
              <w:t xml:space="preserve">        (686,934)</w:t>
            </w:r>
          </w:p>
        </w:tc>
      </w:tr>
      <w:tr w:rsidR="004F12E7" w14:paraId="1777646A" w14:textId="77777777" w:rsidTr="00A933C6">
        <w:trPr>
          <w:trHeight w:val="358"/>
        </w:trPr>
        <w:tc>
          <w:tcPr>
            <w:tcW w:w="1525" w:type="dxa"/>
            <w:vAlign w:val="center"/>
          </w:tcPr>
          <w:p w14:paraId="51DA4250" w14:textId="77777777" w:rsidR="004F12E7" w:rsidRPr="007F2282" w:rsidRDefault="004F12E7" w:rsidP="004F12E7">
            <w:pPr>
              <w:pStyle w:val="Normal-Table"/>
              <w:rPr>
                <w:b/>
                <w:bCs w:val="0"/>
              </w:rPr>
            </w:pPr>
            <w:r w:rsidRPr="007F2282">
              <w:rPr>
                <w:rFonts w:cs="Arial"/>
                <w:b/>
                <w:bCs w:val="0"/>
                <w:color w:val="000000"/>
                <w:szCs w:val="22"/>
              </w:rPr>
              <w:t>1st Quartile</w:t>
            </w:r>
          </w:p>
        </w:tc>
        <w:tc>
          <w:tcPr>
            <w:tcW w:w="1498" w:type="dxa"/>
            <w:vAlign w:val="center"/>
          </w:tcPr>
          <w:p w14:paraId="3D2ED878" w14:textId="1E8A31EC" w:rsidR="004F12E7" w:rsidRDefault="004F12E7" w:rsidP="004F12E7">
            <w:pPr>
              <w:pStyle w:val="Normal-Table"/>
              <w:jc w:val="right"/>
              <w:rPr>
                <w:rFonts w:cs="Arial"/>
                <w:color w:val="000000"/>
                <w:szCs w:val="22"/>
              </w:rPr>
            </w:pPr>
            <w:r>
              <w:rPr>
                <w:rFonts w:cs="Arial"/>
                <w:color w:val="000000"/>
                <w:szCs w:val="22"/>
              </w:rPr>
              <w:t>$35</w:t>
            </w:r>
          </w:p>
        </w:tc>
        <w:tc>
          <w:tcPr>
            <w:tcW w:w="1382" w:type="dxa"/>
            <w:vAlign w:val="center"/>
          </w:tcPr>
          <w:p w14:paraId="49335287" w14:textId="316A8500" w:rsidR="004F12E7" w:rsidRDefault="004F12E7" w:rsidP="004F12E7">
            <w:pPr>
              <w:pStyle w:val="Normal-Table"/>
              <w:jc w:val="right"/>
            </w:pPr>
            <w:r>
              <w:rPr>
                <w:rFonts w:cs="Arial"/>
                <w:color w:val="000000"/>
                <w:szCs w:val="22"/>
              </w:rPr>
              <w:t>$55</w:t>
            </w:r>
          </w:p>
        </w:tc>
        <w:tc>
          <w:tcPr>
            <w:tcW w:w="1620" w:type="dxa"/>
            <w:vAlign w:val="center"/>
          </w:tcPr>
          <w:p w14:paraId="50F1E434" w14:textId="021534F7" w:rsidR="004F12E7" w:rsidRDefault="004F12E7" w:rsidP="004F12E7">
            <w:pPr>
              <w:pStyle w:val="Normal-Table"/>
              <w:jc w:val="right"/>
            </w:pPr>
            <w:r>
              <w:rPr>
                <w:rFonts w:cs="Arial"/>
                <w:color w:val="000000"/>
                <w:szCs w:val="22"/>
              </w:rPr>
              <w:t>57%</w:t>
            </w:r>
          </w:p>
        </w:tc>
        <w:tc>
          <w:tcPr>
            <w:tcW w:w="1620" w:type="dxa"/>
            <w:vAlign w:val="center"/>
          </w:tcPr>
          <w:p w14:paraId="6ACC6C97" w14:textId="7121CB67" w:rsidR="004F12E7" w:rsidRDefault="004F12E7" w:rsidP="004F12E7">
            <w:pPr>
              <w:pStyle w:val="Normal-Table"/>
              <w:jc w:val="center"/>
            </w:pPr>
            <w:r>
              <w:rPr>
                <w:rFonts w:cs="Arial"/>
                <w:color w:val="000000"/>
                <w:szCs w:val="22"/>
              </w:rPr>
              <w:t xml:space="preserve">               35 </w:t>
            </w:r>
          </w:p>
        </w:tc>
        <w:tc>
          <w:tcPr>
            <w:tcW w:w="1705" w:type="dxa"/>
            <w:vAlign w:val="center"/>
          </w:tcPr>
          <w:p w14:paraId="3F6EC48E" w14:textId="66EA3E0E" w:rsidR="004F12E7" w:rsidRDefault="004F12E7" w:rsidP="004F12E7">
            <w:pPr>
              <w:pStyle w:val="Normal-Table"/>
              <w:jc w:val="center"/>
              <w:rPr>
                <w:rFonts w:cs="Arial"/>
                <w:color w:val="000000"/>
                <w:szCs w:val="22"/>
              </w:rPr>
            </w:pPr>
            <w:r>
              <w:rPr>
                <w:rFonts w:cs="Arial"/>
                <w:color w:val="000000"/>
                <w:szCs w:val="22"/>
              </w:rPr>
              <w:t xml:space="preserve">                 117 </w:t>
            </w:r>
          </w:p>
        </w:tc>
      </w:tr>
      <w:tr w:rsidR="004F12E7" w14:paraId="69D5EAF7" w14:textId="77777777" w:rsidTr="00A933C6">
        <w:trPr>
          <w:trHeight w:val="358"/>
        </w:trPr>
        <w:tc>
          <w:tcPr>
            <w:tcW w:w="1525" w:type="dxa"/>
            <w:vAlign w:val="center"/>
          </w:tcPr>
          <w:p w14:paraId="5A53EE67" w14:textId="77777777" w:rsidR="004F12E7" w:rsidRPr="007F2282" w:rsidRDefault="004F12E7" w:rsidP="004F12E7">
            <w:pPr>
              <w:pStyle w:val="Normal-Table"/>
              <w:rPr>
                <w:b/>
                <w:bCs w:val="0"/>
              </w:rPr>
            </w:pPr>
            <w:r w:rsidRPr="007F2282">
              <w:rPr>
                <w:rFonts w:cs="Arial"/>
                <w:b/>
                <w:bCs w:val="0"/>
                <w:color w:val="000000"/>
                <w:szCs w:val="22"/>
              </w:rPr>
              <w:t>Median</w:t>
            </w:r>
          </w:p>
        </w:tc>
        <w:tc>
          <w:tcPr>
            <w:tcW w:w="1498" w:type="dxa"/>
            <w:vAlign w:val="center"/>
          </w:tcPr>
          <w:p w14:paraId="60EDD296" w14:textId="297CB3C7" w:rsidR="004F12E7" w:rsidRDefault="004F12E7" w:rsidP="004F12E7">
            <w:pPr>
              <w:pStyle w:val="Normal-Table"/>
              <w:jc w:val="right"/>
              <w:rPr>
                <w:rFonts w:cs="Arial"/>
                <w:color w:val="000000"/>
                <w:szCs w:val="22"/>
              </w:rPr>
            </w:pPr>
            <w:r>
              <w:rPr>
                <w:rFonts w:cs="Arial"/>
                <w:color w:val="000000"/>
                <w:szCs w:val="22"/>
              </w:rPr>
              <w:t>$208</w:t>
            </w:r>
          </w:p>
        </w:tc>
        <w:tc>
          <w:tcPr>
            <w:tcW w:w="1382" w:type="dxa"/>
            <w:vAlign w:val="center"/>
          </w:tcPr>
          <w:p w14:paraId="1EB4B749" w14:textId="7BB1B8FB" w:rsidR="004F12E7" w:rsidRDefault="004F12E7" w:rsidP="004F12E7">
            <w:pPr>
              <w:pStyle w:val="Normal-Table"/>
              <w:jc w:val="right"/>
            </w:pPr>
            <w:r>
              <w:rPr>
                <w:rFonts w:cs="Arial"/>
                <w:color w:val="000000"/>
                <w:szCs w:val="22"/>
              </w:rPr>
              <w:t>$180</w:t>
            </w:r>
          </w:p>
        </w:tc>
        <w:tc>
          <w:tcPr>
            <w:tcW w:w="1620" w:type="dxa"/>
            <w:vAlign w:val="center"/>
          </w:tcPr>
          <w:p w14:paraId="15E8297D" w14:textId="1C397C9D" w:rsidR="004F12E7" w:rsidRDefault="004F12E7" w:rsidP="004F12E7">
            <w:pPr>
              <w:pStyle w:val="Normal-Table"/>
              <w:jc w:val="right"/>
            </w:pPr>
            <w:r>
              <w:rPr>
                <w:rFonts w:cs="Arial"/>
                <w:color w:val="000000"/>
                <w:szCs w:val="22"/>
              </w:rPr>
              <w:t>100%</w:t>
            </w:r>
          </w:p>
        </w:tc>
        <w:tc>
          <w:tcPr>
            <w:tcW w:w="1620" w:type="dxa"/>
            <w:vAlign w:val="center"/>
          </w:tcPr>
          <w:p w14:paraId="068C5C35" w14:textId="7593E142" w:rsidR="004F12E7" w:rsidRDefault="004F12E7" w:rsidP="004F12E7">
            <w:pPr>
              <w:pStyle w:val="Normal-Table"/>
              <w:jc w:val="center"/>
            </w:pPr>
            <w:r>
              <w:rPr>
                <w:rFonts w:cs="Arial"/>
                <w:color w:val="000000"/>
                <w:szCs w:val="22"/>
              </w:rPr>
              <w:t xml:space="preserve">             456 </w:t>
            </w:r>
          </w:p>
        </w:tc>
        <w:tc>
          <w:tcPr>
            <w:tcW w:w="1705" w:type="dxa"/>
            <w:vAlign w:val="center"/>
          </w:tcPr>
          <w:p w14:paraId="51BA0EC8" w14:textId="3563F43C" w:rsidR="004F12E7" w:rsidRDefault="004F12E7" w:rsidP="004F12E7">
            <w:pPr>
              <w:pStyle w:val="Normal-Table"/>
              <w:jc w:val="center"/>
              <w:rPr>
                <w:rFonts w:cs="Arial"/>
                <w:color w:val="000000"/>
                <w:szCs w:val="22"/>
              </w:rPr>
            </w:pPr>
            <w:r>
              <w:rPr>
                <w:rFonts w:cs="Arial"/>
                <w:color w:val="000000"/>
                <w:szCs w:val="22"/>
              </w:rPr>
              <w:t xml:space="preserve">              2,651 </w:t>
            </w:r>
          </w:p>
        </w:tc>
      </w:tr>
      <w:tr w:rsidR="004F12E7" w14:paraId="4EC0BB49" w14:textId="77777777" w:rsidTr="00A933C6">
        <w:trPr>
          <w:trHeight w:val="358"/>
        </w:trPr>
        <w:tc>
          <w:tcPr>
            <w:tcW w:w="1525" w:type="dxa"/>
            <w:vAlign w:val="center"/>
          </w:tcPr>
          <w:p w14:paraId="4EA3FD8A" w14:textId="77777777" w:rsidR="004F12E7" w:rsidRPr="007F2282" w:rsidRDefault="004F12E7" w:rsidP="004F12E7">
            <w:pPr>
              <w:pStyle w:val="Normal-Table"/>
              <w:rPr>
                <w:b/>
                <w:bCs w:val="0"/>
              </w:rPr>
            </w:pPr>
            <w:r w:rsidRPr="007F2282">
              <w:rPr>
                <w:rFonts w:cs="Arial"/>
                <w:b/>
                <w:bCs w:val="0"/>
                <w:color w:val="000000"/>
                <w:szCs w:val="22"/>
              </w:rPr>
              <w:t xml:space="preserve">2nd Quartile </w:t>
            </w:r>
          </w:p>
        </w:tc>
        <w:tc>
          <w:tcPr>
            <w:tcW w:w="1498" w:type="dxa"/>
            <w:vAlign w:val="center"/>
          </w:tcPr>
          <w:p w14:paraId="044281FC" w14:textId="718BDA2C" w:rsidR="004F12E7" w:rsidRDefault="004F12E7" w:rsidP="004F12E7">
            <w:pPr>
              <w:pStyle w:val="Normal-Table"/>
              <w:jc w:val="right"/>
              <w:rPr>
                <w:rFonts w:cs="Arial"/>
                <w:color w:val="000000"/>
                <w:szCs w:val="22"/>
              </w:rPr>
            </w:pPr>
            <w:r>
              <w:rPr>
                <w:rFonts w:cs="Arial"/>
                <w:color w:val="000000"/>
                <w:szCs w:val="22"/>
              </w:rPr>
              <w:t>$1,017</w:t>
            </w:r>
          </w:p>
        </w:tc>
        <w:tc>
          <w:tcPr>
            <w:tcW w:w="1382" w:type="dxa"/>
            <w:vAlign w:val="center"/>
          </w:tcPr>
          <w:p w14:paraId="068154C7" w14:textId="61DF3AAB" w:rsidR="004F12E7" w:rsidRDefault="004F12E7" w:rsidP="004F12E7">
            <w:pPr>
              <w:pStyle w:val="Normal-Table"/>
              <w:jc w:val="right"/>
            </w:pPr>
            <w:r>
              <w:rPr>
                <w:rFonts w:cs="Arial"/>
                <w:color w:val="000000"/>
                <w:szCs w:val="22"/>
              </w:rPr>
              <w:t>$750</w:t>
            </w:r>
          </w:p>
        </w:tc>
        <w:tc>
          <w:tcPr>
            <w:tcW w:w="1620" w:type="dxa"/>
            <w:vAlign w:val="center"/>
          </w:tcPr>
          <w:p w14:paraId="2A9DFA8F" w14:textId="1E571E94" w:rsidR="004F12E7" w:rsidRDefault="004F12E7" w:rsidP="004F12E7">
            <w:pPr>
              <w:pStyle w:val="Normal-Table"/>
              <w:jc w:val="right"/>
            </w:pPr>
            <w:r>
              <w:rPr>
                <w:rFonts w:cs="Arial"/>
                <w:color w:val="000000"/>
                <w:szCs w:val="22"/>
              </w:rPr>
              <w:t>100%</w:t>
            </w:r>
          </w:p>
        </w:tc>
        <w:tc>
          <w:tcPr>
            <w:tcW w:w="1620" w:type="dxa"/>
            <w:vAlign w:val="center"/>
          </w:tcPr>
          <w:p w14:paraId="09A2167F" w14:textId="2CF321D2" w:rsidR="004F12E7" w:rsidRDefault="004F12E7" w:rsidP="004F12E7">
            <w:pPr>
              <w:pStyle w:val="Normal-Table"/>
              <w:jc w:val="center"/>
            </w:pPr>
            <w:r>
              <w:rPr>
                <w:rFonts w:cs="Arial"/>
                <w:color w:val="000000"/>
                <w:szCs w:val="22"/>
              </w:rPr>
              <w:t xml:space="preserve">          1,978 </w:t>
            </w:r>
          </w:p>
        </w:tc>
        <w:tc>
          <w:tcPr>
            <w:tcW w:w="1705" w:type="dxa"/>
            <w:vAlign w:val="center"/>
          </w:tcPr>
          <w:p w14:paraId="2A45B1BF" w14:textId="77461A68" w:rsidR="004F12E7" w:rsidRDefault="004F12E7" w:rsidP="004F12E7">
            <w:pPr>
              <w:pStyle w:val="Normal-Table"/>
              <w:jc w:val="center"/>
              <w:rPr>
                <w:rFonts w:cs="Arial"/>
                <w:color w:val="000000"/>
                <w:szCs w:val="22"/>
              </w:rPr>
            </w:pPr>
            <w:r>
              <w:rPr>
                <w:rFonts w:cs="Arial"/>
                <w:color w:val="000000"/>
                <w:szCs w:val="22"/>
              </w:rPr>
              <w:t xml:space="preserve">            15,912 </w:t>
            </w:r>
          </w:p>
        </w:tc>
      </w:tr>
      <w:tr w:rsidR="004F12E7" w14:paraId="64FBB764" w14:textId="77777777" w:rsidTr="00A933C6">
        <w:trPr>
          <w:trHeight w:val="358"/>
        </w:trPr>
        <w:tc>
          <w:tcPr>
            <w:tcW w:w="1525" w:type="dxa"/>
            <w:vAlign w:val="center"/>
          </w:tcPr>
          <w:p w14:paraId="52DDC39F" w14:textId="77777777" w:rsidR="004F12E7" w:rsidRPr="007F2282" w:rsidRDefault="004F12E7" w:rsidP="004F12E7">
            <w:pPr>
              <w:pStyle w:val="Normal-Table"/>
              <w:rPr>
                <w:b/>
                <w:bCs w:val="0"/>
              </w:rPr>
            </w:pPr>
            <w:r w:rsidRPr="007F2282">
              <w:rPr>
                <w:rFonts w:cs="Arial"/>
                <w:b/>
                <w:bCs w:val="0"/>
                <w:color w:val="000000"/>
                <w:szCs w:val="22"/>
              </w:rPr>
              <w:t>Max</w:t>
            </w:r>
          </w:p>
        </w:tc>
        <w:tc>
          <w:tcPr>
            <w:tcW w:w="1498" w:type="dxa"/>
            <w:vAlign w:val="center"/>
          </w:tcPr>
          <w:p w14:paraId="20A69E61" w14:textId="0087795E" w:rsidR="004F12E7" w:rsidRDefault="004F12E7" w:rsidP="004F12E7">
            <w:pPr>
              <w:pStyle w:val="Normal-Table"/>
              <w:jc w:val="right"/>
              <w:rPr>
                <w:rFonts w:cs="Arial"/>
                <w:color w:val="000000"/>
                <w:szCs w:val="22"/>
              </w:rPr>
            </w:pPr>
            <w:r>
              <w:rPr>
                <w:rFonts w:cs="Arial"/>
                <w:color w:val="000000"/>
                <w:szCs w:val="22"/>
              </w:rPr>
              <w:t>$6,049,370</w:t>
            </w:r>
          </w:p>
        </w:tc>
        <w:tc>
          <w:tcPr>
            <w:tcW w:w="1382" w:type="dxa"/>
            <w:vAlign w:val="center"/>
          </w:tcPr>
          <w:p w14:paraId="3316AD21" w14:textId="251ADE46" w:rsidR="004F12E7" w:rsidRDefault="004F12E7" w:rsidP="004F12E7">
            <w:pPr>
              <w:pStyle w:val="Normal-Table"/>
              <w:jc w:val="right"/>
            </w:pPr>
            <w:r>
              <w:rPr>
                <w:rFonts w:cs="Arial"/>
                <w:color w:val="000000"/>
                <w:szCs w:val="22"/>
              </w:rPr>
              <w:t>$244,518</w:t>
            </w:r>
          </w:p>
        </w:tc>
        <w:tc>
          <w:tcPr>
            <w:tcW w:w="1620" w:type="dxa"/>
            <w:vAlign w:val="center"/>
          </w:tcPr>
          <w:p w14:paraId="07FCA62E" w14:textId="7E1C0F8D" w:rsidR="004F12E7" w:rsidRDefault="004F12E7" w:rsidP="004F12E7">
            <w:pPr>
              <w:pStyle w:val="Normal-Table"/>
              <w:jc w:val="right"/>
            </w:pPr>
            <w:r>
              <w:rPr>
                <w:rFonts w:cs="Arial"/>
                <w:color w:val="000000"/>
                <w:szCs w:val="22"/>
              </w:rPr>
              <w:t>inf</w:t>
            </w:r>
          </w:p>
        </w:tc>
        <w:tc>
          <w:tcPr>
            <w:tcW w:w="1620" w:type="dxa"/>
            <w:vAlign w:val="center"/>
          </w:tcPr>
          <w:p w14:paraId="027FE85D" w14:textId="75725519" w:rsidR="004F12E7" w:rsidRDefault="004F12E7" w:rsidP="004F12E7">
            <w:pPr>
              <w:pStyle w:val="Normal-Table"/>
              <w:jc w:val="center"/>
            </w:pPr>
            <w:r>
              <w:rPr>
                <w:rFonts w:cs="Arial"/>
                <w:color w:val="000000"/>
                <w:szCs w:val="22"/>
              </w:rPr>
              <w:t xml:space="preserve"> 12,186,330 </w:t>
            </w:r>
          </w:p>
        </w:tc>
        <w:tc>
          <w:tcPr>
            <w:tcW w:w="1705" w:type="dxa"/>
            <w:vAlign w:val="center"/>
          </w:tcPr>
          <w:p w14:paraId="0001ED5D" w14:textId="754996A4" w:rsidR="004F12E7" w:rsidRDefault="004F12E7" w:rsidP="004F12E7">
            <w:pPr>
              <w:pStyle w:val="Normal-Table"/>
              <w:jc w:val="center"/>
              <w:rPr>
                <w:rFonts w:cs="Arial"/>
                <w:color w:val="000000"/>
                <w:szCs w:val="22"/>
              </w:rPr>
            </w:pPr>
            <w:r>
              <w:rPr>
                <w:rFonts w:cs="Arial"/>
                <w:color w:val="000000"/>
                <w:szCs w:val="22"/>
              </w:rPr>
              <w:t xml:space="preserve">   178,689,400 </w:t>
            </w:r>
          </w:p>
        </w:tc>
      </w:tr>
    </w:tbl>
    <w:p w14:paraId="27B7676B" w14:textId="10FF87C2" w:rsidR="00A933C6" w:rsidRDefault="00A933C6" w:rsidP="004F12E7"/>
    <w:p w14:paraId="5BA094BC" w14:textId="623277F5" w:rsidR="00395B67" w:rsidRDefault="00395B67" w:rsidP="00DB1FD0">
      <w:pPr>
        <w:pStyle w:val="Heading1"/>
      </w:pPr>
      <w:bookmarkStart w:id="26" w:name="_Toc76121053"/>
      <w:r>
        <w:lastRenderedPageBreak/>
        <w:t>Site Penetration</w:t>
      </w:r>
      <w:bookmarkEnd w:id="26"/>
    </w:p>
    <w:p w14:paraId="0155B21A" w14:textId="56887379" w:rsidR="008053E7" w:rsidRDefault="008053E7" w:rsidP="008053E7">
      <w:r>
        <w:t>The main participation factor variable that we analyzed was called “</w:t>
      </w:r>
      <w:r w:rsidRPr="006409E2">
        <w:t>site penetration</w:t>
      </w:r>
      <w:r>
        <w:t>” and was calculated for a given ZIP Code using the following formula:</w:t>
      </w:r>
    </w:p>
    <w:p w14:paraId="4F9E4DDC" w14:textId="77777777" w:rsidR="008053E7" w:rsidRPr="006409E2" w:rsidRDefault="00DB1658" w:rsidP="008053E7">
      <m:oMathPara>
        <m:oMath>
          <m:sSub>
            <m:sSubPr>
              <m:ctrlPr>
                <w:rPr>
                  <w:rFonts w:ascii="Cambria Math" w:hAnsi="Cambria Math"/>
                  <w:i/>
                </w:rPr>
              </m:ctrlPr>
            </m:sSubPr>
            <m:e>
              <m:r>
                <w:rPr>
                  <w:rFonts w:ascii="Cambria Math" w:hAnsi="Cambria Math"/>
                </w:rPr>
                <m:t>Site Penetration</m:t>
              </m:r>
            </m:e>
            <m:sub>
              <m:r>
                <w:rPr>
                  <w:rFonts w:ascii="Cambria Math" w:hAnsi="Cambria Math"/>
                </w:rPr>
                <m:t>ZIP</m:t>
              </m:r>
            </m:sub>
          </m:sSub>
          <m:r>
            <w:rPr>
              <w:rFonts w:ascii="Cambria Math" w:hAnsi="Cambria Math"/>
            </w:rPr>
            <m:t>=</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ount of Unique Sites</m:t>
                  </m:r>
                </m:e>
                <m:sub>
                  <m:r>
                    <w:rPr>
                      <w:rFonts w:ascii="Cambria Math" w:hAnsi="Cambria Math"/>
                    </w:rPr>
                    <m:t>ZIP</m:t>
                  </m:r>
                </m:sub>
              </m:sSub>
            </m:num>
            <m:den>
              <m:sSub>
                <m:sSubPr>
                  <m:ctrlPr>
                    <w:rPr>
                      <w:rFonts w:ascii="Cambria Math" w:hAnsi="Cambria Math"/>
                      <w:i/>
                    </w:rPr>
                  </m:ctrlPr>
                </m:sSubPr>
                <m:e>
                  <m:r>
                    <w:rPr>
                      <w:rFonts w:ascii="Cambria Math" w:hAnsi="Cambria Math"/>
                    </w:rPr>
                    <m:t>Total Establishments</m:t>
                  </m:r>
                </m:e>
                <m:sub>
                  <m:r>
                    <w:rPr>
                      <w:rFonts w:ascii="Cambria Math" w:hAnsi="Cambria Math"/>
                    </w:rPr>
                    <m:t>ZIP</m:t>
                  </m:r>
                </m:sub>
              </m:sSub>
            </m:den>
          </m:f>
        </m:oMath>
      </m:oMathPara>
    </w:p>
    <w:p w14:paraId="68E521B1" w14:textId="3460A750" w:rsidR="008053E7" w:rsidRDefault="008053E7" w:rsidP="00D66DAF">
      <w:r>
        <w:t>Using unique site counts helped control for large projects that would have outsize savings and investment impact. It also provide</w:t>
      </w:r>
      <w:r w:rsidR="00C92A4A">
        <w:t>d</w:t>
      </w:r>
      <w:r>
        <w:t xml:space="preserve"> a more equitable distribution of resources </w:t>
      </w:r>
      <w:r w:rsidR="00C92A4A">
        <w:t>by</w:t>
      </w:r>
      <w:r>
        <w:t xml:space="preserve"> eliminat</w:t>
      </w:r>
      <w:r w:rsidR="00C92A4A">
        <w:t>ing</w:t>
      </w:r>
      <w:r>
        <w:t xml:space="preserve"> the effect of multiple claims going to a single customer. Normalizing the results by total establishments gives us a way to better compare different ZIP Codes to each other as well as an absolute measure of the reach of DSM activity within a community.</w:t>
      </w:r>
      <w:r w:rsidR="00D66DAF">
        <w:t xml:space="preserve"> The following figure shows the distribution of site penetration by ZIP Code.</w:t>
      </w:r>
    </w:p>
    <w:p w14:paraId="79DF3121" w14:textId="25A8191B" w:rsidR="00D66DAF" w:rsidRDefault="00D66DAF" w:rsidP="00D66DAF">
      <w:pPr>
        <w:pStyle w:val="Caption"/>
      </w:pPr>
      <w:bookmarkStart w:id="27" w:name="_Toc76121114"/>
      <w:r>
        <w:t xml:space="preserve">Figure </w:t>
      </w:r>
      <w:r w:rsidR="00DB1658">
        <w:fldChar w:fldCharType="begin"/>
      </w:r>
      <w:r w:rsidR="00DB1658">
        <w:instrText xml:space="preserve"> SEQ Figure \* ARABIC </w:instrText>
      </w:r>
      <w:r w:rsidR="00DB1658">
        <w:fldChar w:fldCharType="separate"/>
      </w:r>
      <w:r w:rsidR="00A74C64">
        <w:rPr>
          <w:noProof/>
        </w:rPr>
        <w:t>3</w:t>
      </w:r>
      <w:r w:rsidR="00DB1658">
        <w:rPr>
          <w:noProof/>
        </w:rPr>
        <w:fldChar w:fldCharType="end"/>
      </w:r>
      <w:r>
        <w:t>. Histogram of Site Penetration by ZIP Code</w:t>
      </w:r>
      <w:bookmarkEnd w:id="27"/>
    </w:p>
    <w:p w14:paraId="57BD2DFF" w14:textId="27D95143" w:rsidR="00D66DAF" w:rsidRDefault="00D66DAF" w:rsidP="008053E7">
      <w:r>
        <w:rPr>
          <w:noProof/>
        </w:rPr>
        <w:drawing>
          <wp:inline distT="0" distB="0" distL="0" distR="0" wp14:anchorId="492129AA" wp14:editId="5C6AC4BD">
            <wp:extent cx="3621266" cy="2037348"/>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9"/>
                    <a:stretch>
                      <a:fillRect/>
                    </a:stretch>
                  </pic:blipFill>
                  <pic:spPr>
                    <a:xfrm>
                      <a:off x="0" y="0"/>
                      <a:ext cx="3641417" cy="2048685"/>
                    </a:xfrm>
                    <a:prstGeom prst="rect">
                      <a:avLst/>
                    </a:prstGeom>
                  </pic:spPr>
                </pic:pic>
              </a:graphicData>
            </a:graphic>
          </wp:inline>
        </w:drawing>
      </w:r>
    </w:p>
    <w:p w14:paraId="04DE9DF2" w14:textId="441B0521" w:rsidR="00A54EA8" w:rsidRDefault="00A54EA8" w:rsidP="00A54EA8">
      <w:pPr>
        <w:pStyle w:val="Heading2"/>
      </w:pPr>
      <w:bookmarkStart w:id="28" w:name="_Toc76121054"/>
      <w:r>
        <w:t>Firm Size</w:t>
      </w:r>
      <w:bookmarkEnd w:id="28"/>
    </w:p>
    <w:p w14:paraId="58DAF35E" w14:textId="1843E870" w:rsidR="00F77F23" w:rsidRDefault="00A54EA8" w:rsidP="00F77F23">
      <w:r>
        <w:t xml:space="preserve">We begin by designating </w:t>
      </w:r>
      <w:r w:rsidRPr="008364F3">
        <w:t xml:space="preserve">site penetration, as discussed above, as our initial outcome of interest.  Given the brief given to this group, the initial covariates to be included in the model of site penetration are those that describe the distribution of firm sizes in the zip code.  </w:t>
      </w:r>
      <w:r w:rsidR="00F77F23" w:rsidRPr="008364F3">
        <w:t>These are represented by the normalized variables for the percentage of firms in a ZIP Code that</w:t>
      </w:r>
      <w:r w:rsidR="00F77F23">
        <w:t xml:space="preserve"> fall into a range of employee counts</w:t>
      </w:r>
      <w:r w:rsidR="00E44991">
        <w:t xml:space="preserve">, as defined in </w:t>
      </w:r>
      <w:r w:rsidR="00E44991">
        <w:fldChar w:fldCharType="begin"/>
      </w:r>
      <w:r w:rsidR="00E44991">
        <w:instrText xml:space="preserve"> REF _Ref73997603 \h </w:instrText>
      </w:r>
      <w:r w:rsidR="00E44991">
        <w:fldChar w:fldCharType="separate"/>
      </w:r>
      <w:r w:rsidR="00A74C64">
        <w:t xml:space="preserve">Table </w:t>
      </w:r>
      <w:r w:rsidR="00A74C64">
        <w:rPr>
          <w:noProof/>
        </w:rPr>
        <w:t>5</w:t>
      </w:r>
      <w:r w:rsidR="00E44991">
        <w:fldChar w:fldCharType="end"/>
      </w:r>
      <w:r w:rsidR="00F77F23">
        <w:t xml:space="preserve">. The outcome against each feature is shown in </w:t>
      </w:r>
      <w:r w:rsidR="00F77F23">
        <w:fldChar w:fldCharType="begin"/>
      </w:r>
      <w:r w:rsidR="00F77F23">
        <w:instrText xml:space="preserve"> REF _Ref74835405 \h </w:instrText>
      </w:r>
      <w:r w:rsidR="00F77F23">
        <w:fldChar w:fldCharType="separate"/>
      </w:r>
      <w:r w:rsidR="00A74C64">
        <w:t xml:space="preserve">Table </w:t>
      </w:r>
      <w:r w:rsidR="00A74C64">
        <w:rPr>
          <w:noProof/>
        </w:rPr>
        <w:t>9</w:t>
      </w:r>
      <w:r w:rsidR="00F77F23">
        <w:fldChar w:fldCharType="end"/>
      </w:r>
      <w:r w:rsidR="00F77F23">
        <w:t xml:space="preserve">,  where “Coeff” labels the column for estimate of the </w:t>
      </w:r>
      <m:oMath>
        <m:r>
          <w:rPr>
            <w:rFonts w:ascii="Cambria Math" w:hAnsi="Cambria Math"/>
          </w:rPr>
          <m:t>β</m:t>
        </m:r>
      </m:oMath>
      <w:r w:rsidR="00F77F23">
        <w:t xml:space="preserve">. The R-squared statistic is </w:t>
      </w:r>
      <w:r w:rsidR="00F77F23">
        <w:lastRenderedPageBreak/>
        <w:t>interpreted as a percentage variation in site penetration due to these variables. The p-value represents the confidence interval.</w:t>
      </w:r>
      <w:r w:rsidR="00F77F23">
        <w:rPr>
          <w:rStyle w:val="FootnoteReference"/>
        </w:rPr>
        <w:footnoteReference w:id="8"/>
      </w:r>
      <w:r w:rsidR="00F77F23">
        <w:t xml:space="preserve"> </w:t>
      </w:r>
    </w:p>
    <w:p w14:paraId="62B73BB5" w14:textId="13CF28D2" w:rsidR="00F77F23" w:rsidRDefault="00F77F23" w:rsidP="00F77F23">
      <w:pPr>
        <w:pStyle w:val="Caption"/>
      </w:pPr>
      <w:bookmarkStart w:id="29" w:name="_Ref74835405"/>
      <w:bookmarkStart w:id="30" w:name="_Toc76121102"/>
      <w:r>
        <w:t xml:space="preserve">Table </w:t>
      </w:r>
      <w:r w:rsidR="00DB1658">
        <w:fldChar w:fldCharType="begin"/>
      </w:r>
      <w:r w:rsidR="00DB1658">
        <w:instrText xml:space="preserve"> SEQ Table \* ARABIC </w:instrText>
      </w:r>
      <w:r w:rsidR="00DB1658">
        <w:fldChar w:fldCharType="separate"/>
      </w:r>
      <w:r w:rsidR="00A74C64">
        <w:rPr>
          <w:noProof/>
        </w:rPr>
        <w:t>9</w:t>
      </w:r>
      <w:r w:rsidR="00DB1658">
        <w:rPr>
          <w:noProof/>
        </w:rPr>
        <w:fldChar w:fldCharType="end"/>
      </w:r>
      <w:bookmarkEnd w:id="29"/>
      <w:r>
        <w:t xml:space="preserve">. </w:t>
      </w:r>
      <w:r w:rsidR="00A933C6">
        <w:t xml:space="preserve">Individual </w:t>
      </w:r>
      <w:r w:rsidR="008364F3">
        <w:t>Regression</w:t>
      </w:r>
      <w:r w:rsidR="00A933C6">
        <w:t xml:space="preserve"> </w:t>
      </w:r>
      <w:r>
        <w:t>Results for Site Penetration vs. Firm Size Features</w:t>
      </w:r>
      <w:bookmarkEnd w:id="30"/>
    </w:p>
    <w:tbl>
      <w:tblPr>
        <w:tblStyle w:val="TableGrid"/>
        <w:tblW w:w="0" w:type="auto"/>
        <w:tblLook w:val="04A0" w:firstRow="1" w:lastRow="0" w:firstColumn="1" w:lastColumn="0" w:noHBand="0" w:noVBand="1"/>
      </w:tblPr>
      <w:tblGrid>
        <w:gridCol w:w="3145"/>
        <w:gridCol w:w="1551"/>
        <w:gridCol w:w="1551"/>
        <w:gridCol w:w="1551"/>
      </w:tblGrid>
      <w:tr w:rsidR="00A933C6" w:rsidRPr="004C3994" w14:paraId="23F140AF" w14:textId="77777777" w:rsidTr="00FE1CFE">
        <w:tc>
          <w:tcPr>
            <w:tcW w:w="3145" w:type="dxa"/>
            <w:shd w:val="clear" w:color="auto" w:fill="DBE5F1" w:themeFill="accent1" w:themeFillTint="33"/>
            <w:vAlign w:val="center"/>
          </w:tcPr>
          <w:p w14:paraId="2A7A7170" w14:textId="77777777" w:rsidR="00A933C6" w:rsidRPr="004C3994" w:rsidRDefault="00A933C6" w:rsidP="00FE1CFE">
            <w:pPr>
              <w:pStyle w:val="Normal-Table"/>
              <w:rPr>
                <w:b/>
                <w:bCs w:val="0"/>
              </w:rPr>
            </w:pPr>
            <w:r>
              <w:rPr>
                <w:rFonts w:cs="Arial"/>
                <w:b/>
                <w:bCs w:val="0"/>
                <w:color w:val="000000"/>
                <w:szCs w:val="22"/>
              </w:rPr>
              <w:t>Feature</w:t>
            </w:r>
          </w:p>
        </w:tc>
        <w:tc>
          <w:tcPr>
            <w:tcW w:w="1551" w:type="dxa"/>
            <w:shd w:val="clear" w:color="auto" w:fill="DBE5F1" w:themeFill="accent1" w:themeFillTint="33"/>
            <w:vAlign w:val="center"/>
          </w:tcPr>
          <w:p w14:paraId="365E91A2" w14:textId="77777777" w:rsidR="00A933C6" w:rsidRPr="004C3994" w:rsidRDefault="00A933C6" w:rsidP="00FE1CFE">
            <w:pPr>
              <w:pStyle w:val="Normal-Table"/>
              <w:jc w:val="right"/>
              <w:rPr>
                <w:b/>
                <w:bCs w:val="0"/>
              </w:rPr>
            </w:pPr>
            <w:r>
              <w:rPr>
                <w:rFonts w:cs="Arial"/>
                <w:b/>
                <w:bCs w:val="0"/>
                <w:color w:val="000000"/>
                <w:szCs w:val="22"/>
              </w:rPr>
              <w:t>Coeff</w:t>
            </w:r>
          </w:p>
        </w:tc>
        <w:tc>
          <w:tcPr>
            <w:tcW w:w="1551" w:type="dxa"/>
            <w:shd w:val="clear" w:color="auto" w:fill="DBE5F1" w:themeFill="accent1" w:themeFillTint="33"/>
            <w:vAlign w:val="center"/>
          </w:tcPr>
          <w:p w14:paraId="6505B350" w14:textId="456EF552" w:rsidR="00A933C6" w:rsidRDefault="00A933C6" w:rsidP="00FE1CFE">
            <w:pPr>
              <w:pStyle w:val="Normal-Table"/>
              <w:jc w:val="right"/>
              <w:rPr>
                <w:b/>
                <w:bCs w:val="0"/>
              </w:rPr>
            </w:pPr>
            <w:r>
              <w:rPr>
                <w:rFonts w:cs="Arial"/>
                <w:b/>
                <w:bCs w:val="0"/>
                <w:color w:val="000000"/>
                <w:szCs w:val="22"/>
              </w:rPr>
              <w:t>R-squared</w:t>
            </w:r>
          </w:p>
        </w:tc>
        <w:tc>
          <w:tcPr>
            <w:tcW w:w="1551" w:type="dxa"/>
            <w:shd w:val="clear" w:color="auto" w:fill="DBE5F1" w:themeFill="accent1" w:themeFillTint="33"/>
            <w:vAlign w:val="center"/>
          </w:tcPr>
          <w:p w14:paraId="26BCFE7F" w14:textId="77777777" w:rsidR="00A933C6" w:rsidRDefault="00A933C6" w:rsidP="00FE1CFE">
            <w:pPr>
              <w:pStyle w:val="Normal-Table"/>
              <w:jc w:val="right"/>
              <w:rPr>
                <w:b/>
                <w:bCs w:val="0"/>
              </w:rPr>
            </w:pPr>
            <w:r>
              <w:rPr>
                <w:rFonts w:cs="Arial"/>
                <w:b/>
                <w:bCs w:val="0"/>
                <w:color w:val="000000"/>
                <w:szCs w:val="22"/>
              </w:rPr>
              <w:t>p-value</w:t>
            </w:r>
          </w:p>
        </w:tc>
      </w:tr>
      <w:tr w:rsidR="00A933C6" w14:paraId="30D514E8" w14:textId="77777777" w:rsidTr="008D7885">
        <w:tc>
          <w:tcPr>
            <w:tcW w:w="3145" w:type="dxa"/>
            <w:vAlign w:val="center"/>
          </w:tcPr>
          <w:p w14:paraId="794B5150" w14:textId="77777777" w:rsidR="00A933C6" w:rsidRPr="008D7885" w:rsidRDefault="00A933C6" w:rsidP="008D7885">
            <w:pPr>
              <w:pStyle w:val="Normal-Table"/>
              <w:rPr>
                <w:sz w:val="21"/>
                <w:szCs w:val="21"/>
              </w:rPr>
            </w:pPr>
            <w:r w:rsidRPr="008D7885">
              <w:rPr>
                <w:rFonts w:cs="Arial"/>
                <w:color w:val="000000"/>
                <w:sz w:val="21"/>
                <w:szCs w:val="21"/>
              </w:rPr>
              <w:t>PER_MICRO</w:t>
            </w:r>
          </w:p>
        </w:tc>
        <w:tc>
          <w:tcPr>
            <w:tcW w:w="1551" w:type="dxa"/>
            <w:vAlign w:val="center"/>
          </w:tcPr>
          <w:p w14:paraId="597B5ECD" w14:textId="0E27FC06" w:rsidR="00A933C6" w:rsidRPr="008D7885" w:rsidRDefault="00A933C6" w:rsidP="008D7885">
            <w:pPr>
              <w:pStyle w:val="Normal-Table"/>
              <w:jc w:val="right"/>
              <w:rPr>
                <w:sz w:val="21"/>
                <w:szCs w:val="21"/>
              </w:rPr>
            </w:pPr>
            <w:r w:rsidRPr="008D7885">
              <w:rPr>
                <w:rFonts w:cs="Arial"/>
                <w:color w:val="000000"/>
                <w:sz w:val="21"/>
                <w:szCs w:val="21"/>
              </w:rPr>
              <w:t>-0.3503</w:t>
            </w:r>
          </w:p>
        </w:tc>
        <w:tc>
          <w:tcPr>
            <w:tcW w:w="1551" w:type="dxa"/>
            <w:vAlign w:val="center"/>
          </w:tcPr>
          <w:p w14:paraId="6CF0B84F" w14:textId="77777777" w:rsidR="00A933C6" w:rsidRPr="008D7885" w:rsidRDefault="00A933C6" w:rsidP="008D7885">
            <w:pPr>
              <w:pStyle w:val="Normal-Table"/>
              <w:jc w:val="right"/>
              <w:rPr>
                <w:sz w:val="21"/>
                <w:szCs w:val="21"/>
              </w:rPr>
            </w:pPr>
            <w:r w:rsidRPr="008D7885">
              <w:rPr>
                <w:rFonts w:cs="Arial"/>
                <w:color w:val="000000"/>
                <w:sz w:val="21"/>
                <w:szCs w:val="21"/>
              </w:rPr>
              <w:t xml:space="preserve">  0.0366 </w:t>
            </w:r>
          </w:p>
        </w:tc>
        <w:tc>
          <w:tcPr>
            <w:tcW w:w="1551" w:type="dxa"/>
            <w:vAlign w:val="center"/>
          </w:tcPr>
          <w:p w14:paraId="69DBA6BB" w14:textId="4904A9C1" w:rsidR="00A933C6" w:rsidRPr="008D7885" w:rsidRDefault="00A933C6" w:rsidP="008D7885">
            <w:pPr>
              <w:pStyle w:val="Normal-Table"/>
              <w:jc w:val="right"/>
              <w:rPr>
                <w:sz w:val="21"/>
                <w:szCs w:val="21"/>
              </w:rPr>
            </w:pPr>
            <w:r w:rsidRPr="008D7885">
              <w:rPr>
                <w:rFonts w:cs="Arial"/>
                <w:color w:val="000000"/>
                <w:sz w:val="21"/>
                <w:szCs w:val="21"/>
              </w:rPr>
              <w:t>0.0000</w:t>
            </w:r>
          </w:p>
        </w:tc>
      </w:tr>
      <w:tr w:rsidR="00A933C6" w14:paraId="5AACED53" w14:textId="77777777" w:rsidTr="008D7885">
        <w:tc>
          <w:tcPr>
            <w:tcW w:w="3145" w:type="dxa"/>
            <w:vAlign w:val="center"/>
          </w:tcPr>
          <w:p w14:paraId="798FCBCA" w14:textId="77777777" w:rsidR="00A933C6" w:rsidRPr="008D7885" w:rsidRDefault="00A933C6" w:rsidP="008D7885">
            <w:pPr>
              <w:pStyle w:val="Normal-Table"/>
              <w:rPr>
                <w:sz w:val="21"/>
                <w:szCs w:val="21"/>
              </w:rPr>
            </w:pPr>
            <w:r w:rsidRPr="008D7885">
              <w:rPr>
                <w:rFonts w:cs="Arial"/>
                <w:color w:val="000000"/>
                <w:sz w:val="21"/>
                <w:szCs w:val="21"/>
              </w:rPr>
              <w:t>PER_SMALL</w:t>
            </w:r>
          </w:p>
        </w:tc>
        <w:tc>
          <w:tcPr>
            <w:tcW w:w="1551" w:type="dxa"/>
            <w:vAlign w:val="center"/>
          </w:tcPr>
          <w:p w14:paraId="1C89F77A" w14:textId="1A3D86B5" w:rsidR="00A933C6" w:rsidRPr="008D7885" w:rsidRDefault="00A933C6" w:rsidP="008D7885">
            <w:pPr>
              <w:pStyle w:val="Normal-Table"/>
              <w:jc w:val="right"/>
              <w:rPr>
                <w:sz w:val="21"/>
                <w:szCs w:val="21"/>
              </w:rPr>
            </w:pPr>
            <w:r w:rsidRPr="008D7885">
              <w:rPr>
                <w:rFonts w:cs="Arial"/>
                <w:color w:val="000000"/>
                <w:sz w:val="21"/>
                <w:szCs w:val="21"/>
              </w:rPr>
              <w:t>0.3203</w:t>
            </w:r>
          </w:p>
        </w:tc>
        <w:tc>
          <w:tcPr>
            <w:tcW w:w="1551" w:type="dxa"/>
            <w:vAlign w:val="center"/>
          </w:tcPr>
          <w:p w14:paraId="73E7B6CB" w14:textId="77777777" w:rsidR="00A933C6" w:rsidRPr="008D7885" w:rsidRDefault="00A933C6" w:rsidP="008D7885">
            <w:pPr>
              <w:pStyle w:val="Normal-Table"/>
              <w:jc w:val="right"/>
              <w:rPr>
                <w:sz w:val="21"/>
                <w:szCs w:val="21"/>
              </w:rPr>
            </w:pPr>
            <w:r w:rsidRPr="008D7885">
              <w:rPr>
                <w:rFonts w:cs="Arial"/>
                <w:color w:val="000000"/>
                <w:sz w:val="21"/>
                <w:szCs w:val="21"/>
              </w:rPr>
              <w:t xml:space="preserve">  0.0169 </w:t>
            </w:r>
          </w:p>
        </w:tc>
        <w:tc>
          <w:tcPr>
            <w:tcW w:w="1551" w:type="dxa"/>
            <w:vAlign w:val="center"/>
          </w:tcPr>
          <w:p w14:paraId="1B5C81C9" w14:textId="071E316F" w:rsidR="00A933C6" w:rsidRPr="008D7885" w:rsidRDefault="00A933C6" w:rsidP="008D7885">
            <w:pPr>
              <w:pStyle w:val="Normal-Table"/>
              <w:jc w:val="right"/>
              <w:rPr>
                <w:sz w:val="21"/>
                <w:szCs w:val="21"/>
              </w:rPr>
            </w:pPr>
            <w:r w:rsidRPr="008D7885">
              <w:rPr>
                <w:rFonts w:cs="Arial"/>
                <w:color w:val="000000"/>
                <w:sz w:val="21"/>
                <w:szCs w:val="21"/>
              </w:rPr>
              <w:t>0.0001</w:t>
            </w:r>
          </w:p>
        </w:tc>
      </w:tr>
      <w:tr w:rsidR="00A933C6" w14:paraId="50AF1022" w14:textId="77777777" w:rsidTr="008D7885">
        <w:trPr>
          <w:trHeight w:val="188"/>
        </w:trPr>
        <w:tc>
          <w:tcPr>
            <w:tcW w:w="3145" w:type="dxa"/>
            <w:vAlign w:val="center"/>
          </w:tcPr>
          <w:p w14:paraId="37197307" w14:textId="77777777" w:rsidR="00A933C6" w:rsidRPr="008D7885" w:rsidRDefault="00A933C6" w:rsidP="008D7885">
            <w:pPr>
              <w:pStyle w:val="Normal-Table"/>
              <w:rPr>
                <w:sz w:val="21"/>
                <w:szCs w:val="21"/>
              </w:rPr>
            </w:pPr>
            <w:r w:rsidRPr="008D7885">
              <w:rPr>
                <w:rFonts w:cs="Arial"/>
                <w:color w:val="000000"/>
                <w:sz w:val="21"/>
                <w:szCs w:val="21"/>
              </w:rPr>
              <w:t>PER_MED</w:t>
            </w:r>
          </w:p>
        </w:tc>
        <w:tc>
          <w:tcPr>
            <w:tcW w:w="1551" w:type="dxa"/>
            <w:vAlign w:val="center"/>
          </w:tcPr>
          <w:p w14:paraId="665EA044" w14:textId="666E3450" w:rsidR="00A933C6" w:rsidRPr="008D7885" w:rsidRDefault="00A933C6" w:rsidP="008D7885">
            <w:pPr>
              <w:pStyle w:val="Normal-Table"/>
              <w:jc w:val="right"/>
              <w:rPr>
                <w:sz w:val="21"/>
                <w:szCs w:val="21"/>
              </w:rPr>
            </w:pPr>
            <w:r w:rsidRPr="008D7885">
              <w:rPr>
                <w:rFonts w:cs="Arial"/>
                <w:color w:val="000000"/>
                <w:sz w:val="21"/>
                <w:szCs w:val="21"/>
              </w:rPr>
              <w:t>-0.4625</w:t>
            </w:r>
          </w:p>
        </w:tc>
        <w:tc>
          <w:tcPr>
            <w:tcW w:w="1551" w:type="dxa"/>
            <w:vAlign w:val="center"/>
          </w:tcPr>
          <w:p w14:paraId="573750E8" w14:textId="77777777" w:rsidR="00A933C6" w:rsidRPr="008D7885" w:rsidRDefault="00A933C6" w:rsidP="008D7885">
            <w:pPr>
              <w:pStyle w:val="Normal-Table"/>
              <w:jc w:val="right"/>
              <w:rPr>
                <w:sz w:val="21"/>
                <w:szCs w:val="21"/>
              </w:rPr>
            </w:pPr>
            <w:r w:rsidRPr="008D7885">
              <w:rPr>
                <w:rFonts w:cs="Arial"/>
                <w:color w:val="000000"/>
                <w:sz w:val="21"/>
                <w:szCs w:val="21"/>
              </w:rPr>
              <w:t xml:space="preserve">  0.0066 </w:t>
            </w:r>
          </w:p>
        </w:tc>
        <w:tc>
          <w:tcPr>
            <w:tcW w:w="1551" w:type="dxa"/>
            <w:vAlign w:val="center"/>
          </w:tcPr>
          <w:p w14:paraId="0027A5F5" w14:textId="40051C20" w:rsidR="00A933C6" w:rsidRPr="008D7885" w:rsidRDefault="00A933C6" w:rsidP="008D7885">
            <w:pPr>
              <w:pStyle w:val="Normal-Table"/>
              <w:jc w:val="right"/>
              <w:rPr>
                <w:sz w:val="21"/>
                <w:szCs w:val="21"/>
              </w:rPr>
            </w:pPr>
            <w:r w:rsidRPr="008D7885">
              <w:rPr>
                <w:rFonts w:cs="Arial"/>
                <w:color w:val="000000"/>
                <w:sz w:val="21"/>
                <w:szCs w:val="21"/>
              </w:rPr>
              <w:t>0.0146</w:t>
            </w:r>
          </w:p>
        </w:tc>
      </w:tr>
      <w:tr w:rsidR="00A933C6" w14:paraId="6D4BAADD" w14:textId="77777777" w:rsidTr="008D7885">
        <w:trPr>
          <w:trHeight w:val="161"/>
        </w:trPr>
        <w:tc>
          <w:tcPr>
            <w:tcW w:w="3145" w:type="dxa"/>
            <w:vAlign w:val="center"/>
          </w:tcPr>
          <w:p w14:paraId="670AC27B" w14:textId="77777777" w:rsidR="00A933C6" w:rsidRPr="008D7885" w:rsidRDefault="00A933C6" w:rsidP="008D7885">
            <w:pPr>
              <w:pStyle w:val="Normal-Table"/>
              <w:rPr>
                <w:sz w:val="21"/>
                <w:szCs w:val="21"/>
              </w:rPr>
            </w:pPr>
            <w:r w:rsidRPr="008D7885">
              <w:rPr>
                <w:rFonts w:cs="Arial"/>
                <w:color w:val="000000"/>
                <w:sz w:val="21"/>
                <w:szCs w:val="21"/>
              </w:rPr>
              <w:t>PER_LARGE</w:t>
            </w:r>
          </w:p>
        </w:tc>
        <w:tc>
          <w:tcPr>
            <w:tcW w:w="1551" w:type="dxa"/>
            <w:vAlign w:val="center"/>
          </w:tcPr>
          <w:p w14:paraId="22D3C6F2" w14:textId="3B8477D1" w:rsidR="00A933C6" w:rsidRPr="008D7885" w:rsidRDefault="00A933C6" w:rsidP="008D7885">
            <w:pPr>
              <w:pStyle w:val="Normal-Table"/>
              <w:jc w:val="right"/>
              <w:rPr>
                <w:sz w:val="21"/>
                <w:szCs w:val="21"/>
              </w:rPr>
            </w:pPr>
            <w:r w:rsidRPr="008D7885">
              <w:rPr>
                <w:rFonts w:cs="Arial"/>
                <w:color w:val="000000"/>
                <w:sz w:val="21"/>
                <w:szCs w:val="21"/>
              </w:rPr>
              <w:t>-1.1388</w:t>
            </w:r>
          </w:p>
        </w:tc>
        <w:tc>
          <w:tcPr>
            <w:tcW w:w="1551" w:type="dxa"/>
            <w:vAlign w:val="center"/>
          </w:tcPr>
          <w:p w14:paraId="3183F8B9" w14:textId="77777777" w:rsidR="00A933C6" w:rsidRPr="008D7885" w:rsidRDefault="00A933C6" w:rsidP="008D7885">
            <w:pPr>
              <w:pStyle w:val="Normal-Table"/>
              <w:jc w:val="right"/>
              <w:rPr>
                <w:sz w:val="21"/>
                <w:szCs w:val="21"/>
              </w:rPr>
            </w:pPr>
            <w:r w:rsidRPr="008D7885">
              <w:rPr>
                <w:rFonts w:cs="Arial"/>
                <w:color w:val="000000"/>
                <w:sz w:val="21"/>
                <w:szCs w:val="21"/>
              </w:rPr>
              <w:t xml:space="preserve">  0.0033 </w:t>
            </w:r>
          </w:p>
        </w:tc>
        <w:tc>
          <w:tcPr>
            <w:tcW w:w="1551" w:type="dxa"/>
            <w:vAlign w:val="center"/>
          </w:tcPr>
          <w:p w14:paraId="2EE99DA3" w14:textId="7E977E2C" w:rsidR="00A933C6" w:rsidRPr="008D7885" w:rsidRDefault="00A933C6" w:rsidP="008D7885">
            <w:pPr>
              <w:pStyle w:val="Normal-Table"/>
              <w:jc w:val="right"/>
              <w:rPr>
                <w:sz w:val="21"/>
                <w:szCs w:val="21"/>
              </w:rPr>
            </w:pPr>
            <w:r w:rsidRPr="008D7885">
              <w:rPr>
                <w:rFonts w:cs="Arial"/>
                <w:color w:val="000000"/>
                <w:sz w:val="21"/>
                <w:szCs w:val="21"/>
              </w:rPr>
              <w:t>0.0834</w:t>
            </w:r>
          </w:p>
        </w:tc>
      </w:tr>
      <w:tr w:rsidR="00A933C6" w14:paraId="0029A088" w14:textId="77777777" w:rsidTr="008D7885">
        <w:trPr>
          <w:trHeight w:val="63"/>
        </w:trPr>
        <w:tc>
          <w:tcPr>
            <w:tcW w:w="3145" w:type="dxa"/>
            <w:vAlign w:val="center"/>
          </w:tcPr>
          <w:p w14:paraId="0AE6DE8B" w14:textId="77777777" w:rsidR="00A933C6" w:rsidRPr="008D7885" w:rsidRDefault="00A933C6" w:rsidP="008D7885">
            <w:pPr>
              <w:pStyle w:val="Normal-Table"/>
              <w:rPr>
                <w:sz w:val="21"/>
                <w:szCs w:val="21"/>
              </w:rPr>
            </w:pPr>
            <w:r w:rsidRPr="008D7885">
              <w:rPr>
                <w:rFonts w:cs="Arial"/>
                <w:color w:val="000000"/>
                <w:sz w:val="21"/>
                <w:szCs w:val="21"/>
              </w:rPr>
              <w:t>EXTRA_LARGE_FLAG</w:t>
            </w:r>
          </w:p>
        </w:tc>
        <w:tc>
          <w:tcPr>
            <w:tcW w:w="1551" w:type="dxa"/>
            <w:vAlign w:val="center"/>
          </w:tcPr>
          <w:p w14:paraId="55F43085" w14:textId="5A208B9B" w:rsidR="00A933C6" w:rsidRPr="008D7885" w:rsidRDefault="00A933C6" w:rsidP="008D7885">
            <w:pPr>
              <w:pStyle w:val="Normal-Table"/>
              <w:jc w:val="right"/>
              <w:rPr>
                <w:sz w:val="21"/>
                <w:szCs w:val="21"/>
              </w:rPr>
            </w:pPr>
            <w:r w:rsidRPr="008D7885">
              <w:rPr>
                <w:rFonts w:cs="Arial"/>
                <w:color w:val="000000"/>
                <w:sz w:val="21"/>
                <w:szCs w:val="21"/>
              </w:rPr>
              <w:t>-3.8862</w:t>
            </w:r>
          </w:p>
        </w:tc>
        <w:tc>
          <w:tcPr>
            <w:tcW w:w="1551" w:type="dxa"/>
            <w:vAlign w:val="center"/>
          </w:tcPr>
          <w:p w14:paraId="13F636BC" w14:textId="77777777" w:rsidR="00A933C6" w:rsidRPr="008D7885" w:rsidRDefault="00A933C6" w:rsidP="008D7885">
            <w:pPr>
              <w:pStyle w:val="Normal-Table"/>
              <w:jc w:val="right"/>
              <w:rPr>
                <w:sz w:val="21"/>
                <w:szCs w:val="21"/>
              </w:rPr>
            </w:pPr>
            <w:r w:rsidRPr="008D7885">
              <w:rPr>
                <w:rFonts w:cs="Arial"/>
                <w:color w:val="000000"/>
                <w:sz w:val="21"/>
                <w:szCs w:val="21"/>
              </w:rPr>
              <w:t xml:space="preserve">  0.0117 </w:t>
            </w:r>
          </w:p>
        </w:tc>
        <w:tc>
          <w:tcPr>
            <w:tcW w:w="1551" w:type="dxa"/>
            <w:vAlign w:val="center"/>
          </w:tcPr>
          <w:p w14:paraId="679E8AA8" w14:textId="1863ED11" w:rsidR="00A933C6" w:rsidRPr="008D7885" w:rsidRDefault="00A933C6" w:rsidP="008D7885">
            <w:pPr>
              <w:pStyle w:val="Normal-Table"/>
              <w:jc w:val="right"/>
              <w:rPr>
                <w:sz w:val="21"/>
                <w:szCs w:val="21"/>
              </w:rPr>
            </w:pPr>
            <w:r w:rsidRPr="008D7885">
              <w:rPr>
                <w:rFonts w:cs="Arial"/>
                <w:color w:val="000000"/>
                <w:sz w:val="21"/>
                <w:szCs w:val="21"/>
              </w:rPr>
              <w:t>0.0011</w:t>
            </w:r>
          </w:p>
        </w:tc>
      </w:tr>
    </w:tbl>
    <w:p w14:paraId="36C861C8" w14:textId="77777777" w:rsidR="00A933C6" w:rsidRDefault="00A933C6" w:rsidP="0005524B"/>
    <w:p w14:paraId="1E61FE01" w14:textId="0FFA8278" w:rsidR="00F77F23" w:rsidRDefault="00F77F23" w:rsidP="0005524B">
      <w:r>
        <w:t>All features were found to be statistically significant, with the best explanatory power coming from</w:t>
      </w:r>
      <w:r w:rsidRPr="008364F3">
        <w:t xml:space="preserve"> </w:t>
      </w:r>
      <w:r w:rsidR="008364F3" w:rsidRPr="008364F3">
        <w:t>PER_MICRO</w:t>
      </w:r>
      <w:r>
        <w:t xml:space="preserve">, at around 3.7%. All of the features except for </w:t>
      </w:r>
      <w:r w:rsidR="008364F3" w:rsidRPr="008364F3">
        <w:t>PER_SMALL</w:t>
      </w:r>
      <w:r w:rsidR="008364F3">
        <w:rPr>
          <w:i/>
          <w:iCs/>
        </w:rPr>
        <w:t xml:space="preserve"> </w:t>
      </w:r>
      <w:r>
        <w:t xml:space="preserve">had negative coefficients, meaning that an increase in percentage of firms with a given size would be associated with a decrease in uptake rates. Only </w:t>
      </w:r>
      <w:r w:rsidR="008364F3" w:rsidRPr="008364F3">
        <w:t>PER_SMALL</w:t>
      </w:r>
      <w:r w:rsidRPr="008364F3">
        <w:t xml:space="preserve"> </w:t>
      </w:r>
      <w:r>
        <w:t>was associated with an increase in uptake rates. This can be seen more clearly in in the following figure, which shows a scatter plot of the results for the first three firm size variables along with the associated best-fit linear regression.</w:t>
      </w:r>
    </w:p>
    <w:p w14:paraId="27A6C366" w14:textId="1DE9D1CA" w:rsidR="008A3FFD" w:rsidRDefault="00F77F23" w:rsidP="00A933C6">
      <w:pPr>
        <w:pStyle w:val="Caption"/>
      </w:pPr>
      <w:bookmarkStart w:id="31" w:name="_Toc76121115"/>
      <w:r>
        <w:t xml:space="preserve">Figure </w:t>
      </w:r>
      <w:r w:rsidR="00DB1658">
        <w:fldChar w:fldCharType="begin"/>
      </w:r>
      <w:r w:rsidR="00DB1658">
        <w:instrText xml:space="preserve"> SEQ Figure \* ARABIC </w:instrText>
      </w:r>
      <w:r w:rsidR="00DB1658">
        <w:fldChar w:fldCharType="separate"/>
      </w:r>
      <w:r w:rsidR="00A74C64">
        <w:rPr>
          <w:noProof/>
        </w:rPr>
        <w:t>4</w:t>
      </w:r>
      <w:r w:rsidR="00DB1658">
        <w:rPr>
          <w:noProof/>
        </w:rPr>
        <w:fldChar w:fldCharType="end"/>
      </w:r>
      <w:r>
        <w:t>. Site Penetration Compared to Firm Size at the ZIP Code Level</w:t>
      </w:r>
      <w:bookmarkEnd w:id="31"/>
    </w:p>
    <w:p w14:paraId="7DD12770" w14:textId="72E072F3" w:rsidR="00F77F23" w:rsidRDefault="00F77F23" w:rsidP="008A3FFD">
      <w:r>
        <w:rPr>
          <w:noProof/>
        </w:rPr>
        <w:drawing>
          <wp:inline distT="0" distB="0" distL="0" distR="0" wp14:anchorId="71A2FB1D" wp14:editId="77103FD0">
            <wp:extent cx="4881547" cy="2503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7702" cy="2511642"/>
                    </a:xfrm>
                    <a:prstGeom prst="rect">
                      <a:avLst/>
                    </a:prstGeom>
                  </pic:spPr>
                </pic:pic>
              </a:graphicData>
            </a:graphic>
          </wp:inline>
        </w:drawing>
      </w:r>
    </w:p>
    <w:p w14:paraId="088C20BF" w14:textId="738603AA" w:rsidR="00F77F23" w:rsidRDefault="00F77F23" w:rsidP="0005524B">
      <w:r>
        <w:lastRenderedPageBreak/>
        <w:t xml:space="preserve">The previous figure shows a clear separation of the micro, small, and medium firms within each ZIP Code, with the “micro” firms making up around 60 to 90 percent, “small” firms making up 10 to 30 percent, and “medium” firms making up 0 to 10 percent of a given ZIP Codes firms. The change from micro to small in terms of uptake rates indicates that the SMB programs may be more successful at targeting firms in the “small” category, 10 to 49 employees, but have more difficulty reaching the “micro” category, less than 10 employees. </w:t>
      </w:r>
    </w:p>
    <w:p w14:paraId="338B07A1" w14:textId="2A0ED4B4" w:rsidR="008D7885" w:rsidRDefault="00F77F23" w:rsidP="0005524B">
      <w:r>
        <w:t xml:space="preserve">To further examine the relationship between site penetration and firm size, we examined various combinations of the different firm variables in a multi-variate linear regression. </w:t>
      </w:r>
      <w:r>
        <w:fldChar w:fldCharType="begin"/>
      </w:r>
      <w:r>
        <w:instrText xml:space="preserve"> REF _Ref74000682 \h </w:instrText>
      </w:r>
      <w:r>
        <w:fldChar w:fldCharType="separate"/>
      </w:r>
      <w:r w:rsidR="00A74C64">
        <w:t xml:space="preserve">Table </w:t>
      </w:r>
      <w:r w:rsidR="00A74C64">
        <w:rPr>
          <w:noProof/>
        </w:rPr>
        <w:t>10</w:t>
      </w:r>
      <w:r>
        <w:fldChar w:fldCharType="end"/>
      </w:r>
      <w:r>
        <w:t xml:space="preserve"> provides the best regression we found for multiple firm size variables in one regression. The “Std. Err” is the standard error of that coefficient estimate</w:t>
      </w:r>
      <w:r w:rsidR="0005524B">
        <w:t xml:space="preserve"> and “t” is the t-statistic for the hypothesis that the coefficient is equal to zero.  The usual rule of thumb is that a t-statistic greater than 2 in absolute value indicates “statistical significance”, that is, that there is a high probability that the hypothesized impact of the variable on the outcome is not zero. </w:t>
      </w:r>
    </w:p>
    <w:p w14:paraId="6764BEEF" w14:textId="406FBA4A" w:rsidR="0005524B" w:rsidRDefault="0005524B" w:rsidP="0005524B">
      <w:pPr>
        <w:pStyle w:val="Caption"/>
      </w:pPr>
      <w:bookmarkStart w:id="32" w:name="_Ref74000682"/>
      <w:bookmarkStart w:id="33" w:name="_Toc76121103"/>
      <w:r>
        <w:t xml:space="preserve">Table </w:t>
      </w:r>
      <w:r w:rsidR="00DB1658">
        <w:fldChar w:fldCharType="begin"/>
      </w:r>
      <w:r w:rsidR="00DB1658">
        <w:instrText xml:space="preserve"> SEQ Table \* ARABIC </w:instrText>
      </w:r>
      <w:r w:rsidR="00DB1658">
        <w:fldChar w:fldCharType="separate"/>
      </w:r>
      <w:r w:rsidR="00A74C64">
        <w:rPr>
          <w:noProof/>
        </w:rPr>
        <w:t>10</w:t>
      </w:r>
      <w:r w:rsidR="00DB1658">
        <w:rPr>
          <w:noProof/>
        </w:rPr>
        <w:fldChar w:fldCharType="end"/>
      </w:r>
      <w:bookmarkEnd w:id="32"/>
      <w:r>
        <w:t xml:space="preserve">. </w:t>
      </w:r>
      <w:r w:rsidR="00F77F23">
        <w:t>Site Penetration vs. Multiple Firm Size Features</w:t>
      </w:r>
      <w:bookmarkEnd w:id="33"/>
    </w:p>
    <w:tbl>
      <w:tblPr>
        <w:tblStyle w:val="TableGrid"/>
        <w:tblW w:w="0" w:type="auto"/>
        <w:tblLook w:val="04A0" w:firstRow="1" w:lastRow="0" w:firstColumn="1" w:lastColumn="0" w:noHBand="0" w:noVBand="1"/>
      </w:tblPr>
      <w:tblGrid>
        <w:gridCol w:w="3145"/>
        <w:gridCol w:w="1551"/>
        <w:gridCol w:w="1551"/>
        <w:gridCol w:w="1551"/>
        <w:gridCol w:w="1552"/>
      </w:tblGrid>
      <w:tr w:rsidR="00A933C6" w:rsidRPr="004C3994" w14:paraId="263392D6" w14:textId="77777777" w:rsidTr="00F77F23">
        <w:tc>
          <w:tcPr>
            <w:tcW w:w="7798" w:type="dxa"/>
            <w:gridSpan w:val="4"/>
            <w:tcBorders>
              <w:bottom w:val="nil"/>
              <w:right w:val="nil"/>
            </w:tcBorders>
            <w:shd w:val="clear" w:color="auto" w:fill="DBE5F1" w:themeFill="accent1" w:themeFillTint="33"/>
            <w:vAlign w:val="bottom"/>
          </w:tcPr>
          <w:p w14:paraId="3E81DFF4" w14:textId="7B86C8C8" w:rsidR="00A933C6" w:rsidRDefault="00A933C6" w:rsidP="00A933C6">
            <w:pPr>
              <w:pStyle w:val="Normal-Table"/>
              <w:jc w:val="right"/>
              <w:rPr>
                <w:rFonts w:cs="Arial"/>
                <w:b/>
                <w:bCs w:val="0"/>
                <w:color w:val="000000"/>
                <w:szCs w:val="22"/>
              </w:rPr>
            </w:pPr>
            <w:r>
              <w:rPr>
                <w:rFonts w:cs="Arial"/>
                <w:b/>
                <w:bCs w:val="0"/>
                <w:color w:val="000000"/>
                <w:szCs w:val="22"/>
              </w:rPr>
              <w:t>R-squared:</w:t>
            </w:r>
          </w:p>
        </w:tc>
        <w:tc>
          <w:tcPr>
            <w:tcW w:w="1552" w:type="dxa"/>
            <w:tcBorders>
              <w:left w:val="nil"/>
              <w:bottom w:val="nil"/>
            </w:tcBorders>
            <w:shd w:val="clear" w:color="auto" w:fill="DBE5F1" w:themeFill="accent1" w:themeFillTint="33"/>
            <w:vAlign w:val="bottom"/>
          </w:tcPr>
          <w:p w14:paraId="17795EB9" w14:textId="7EF957DB" w:rsidR="00A933C6" w:rsidRDefault="00A933C6" w:rsidP="00A933C6">
            <w:pPr>
              <w:pStyle w:val="Normal-Table"/>
              <w:jc w:val="right"/>
              <w:rPr>
                <w:rFonts w:cs="Arial"/>
                <w:b/>
                <w:bCs w:val="0"/>
                <w:color w:val="000000"/>
                <w:szCs w:val="22"/>
              </w:rPr>
            </w:pPr>
            <w:r>
              <w:rPr>
                <w:rFonts w:cs="Arial"/>
                <w:color w:val="000000"/>
                <w:szCs w:val="22"/>
              </w:rPr>
              <w:t>0.252</w:t>
            </w:r>
          </w:p>
        </w:tc>
      </w:tr>
      <w:tr w:rsidR="00A933C6" w:rsidRPr="004C3994" w14:paraId="20FBEAE6" w14:textId="77777777" w:rsidTr="00F77F23">
        <w:tc>
          <w:tcPr>
            <w:tcW w:w="7798" w:type="dxa"/>
            <w:gridSpan w:val="4"/>
            <w:tcBorders>
              <w:top w:val="nil"/>
              <w:right w:val="nil"/>
            </w:tcBorders>
            <w:shd w:val="clear" w:color="auto" w:fill="DBE5F1" w:themeFill="accent1" w:themeFillTint="33"/>
            <w:vAlign w:val="bottom"/>
          </w:tcPr>
          <w:p w14:paraId="201D8BCB" w14:textId="12DB153D" w:rsidR="00A933C6" w:rsidRDefault="00A933C6" w:rsidP="00A933C6">
            <w:pPr>
              <w:pStyle w:val="Normal-Table"/>
              <w:jc w:val="right"/>
              <w:rPr>
                <w:rFonts w:cs="Arial"/>
                <w:b/>
                <w:bCs w:val="0"/>
                <w:color w:val="000000"/>
                <w:szCs w:val="22"/>
              </w:rPr>
            </w:pPr>
            <w:r>
              <w:rPr>
                <w:rFonts w:cs="Arial"/>
                <w:b/>
                <w:bCs w:val="0"/>
                <w:color w:val="000000"/>
                <w:szCs w:val="22"/>
              </w:rPr>
              <w:t>Adjusted R-squared:</w:t>
            </w:r>
          </w:p>
        </w:tc>
        <w:tc>
          <w:tcPr>
            <w:tcW w:w="1552" w:type="dxa"/>
            <w:tcBorders>
              <w:top w:val="nil"/>
              <w:left w:val="nil"/>
            </w:tcBorders>
            <w:shd w:val="clear" w:color="auto" w:fill="DBE5F1" w:themeFill="accent1" w:themeFillTint="33"/>
            <w:vAlign w:val="bottom"/>
          </w:tcPr>
          <w:p w14:paraId="2888BE5E" w14:textId="6C21CD92" w:rsidR="00A933C6" w:rsidRDefault="00A933C6" w:rsidP="00A933C6">
            <w:pPr>
              <w:pStyle w:val="Normal-Table"/>
              <w:jc w:val="right"/>
              <w:rPr>
                <w:rFonts w:cs="Arial"/>
                <w:b/>
                <w:bCs w:val="0"/>
                <w:color w:val="000000"/>
                <w:szCs w:val="22"/>
              </w:rPr>
            </w:pPr>
            <w:r>
              <w:rPr>
                <w:rFonts w:cs="Arial"/>
                <w:color w:val="000000"/>
                <w:szCs w:val="22"/>
              </w:rPr>
              <w:t>0.250</w:t>
            </w:r>
          </w:p>
        </w:tc>
      </w:tr>
      <w:tr w:rsidR="00F77F23" w:rsidRPr="004C3994" w14:paraId="2F5A569B" w14:textId="77777777" w:rsidTr="00F7405C">
        <w:tc>
          <w:tcPr>
            <w:tcW w:w="3145" w:type="dxa"/>
            <w:shd w:val="clear" w:color="auto" w:fill="DBE5F1" w:themeFill="accent1" w:themeFillTint="33"/>
            <w:vAlign w:val="bottom"/>
          </w:tcPr>
          <w:p w14:paraId="1B604CD4" w14:textId="3FCAFE9D" w:rsidR="00F77F23" w:rsidRPr="004C3994" w:rsidRDefault="00F77F23" w:rsidP="00F77F23">
            <w:pPr>
              <w:pStyle w:val="Normal-Table"/>
              <w:rPr>
                <w:b/>
                <w:bCs w:val="0"/>
              </w:rPr>
            </w:pPr>
            <w:r>
              <w:rPr>
                <w:rFonts w:cs="Arial"/>
                <w:b/>
                <w:bCs w:val="0"/>
                <w:color w:val="000000"/>
                <w:szCs w:val="22"/>
              </w:rPr>
              <w:t>Feature</w:t>
            </w:r>
          </w:p>
        </w:tc>
        <w:tc>
          <w:tcPr>
            <w:tcW w:w="1551" w:type="dxa"/>
            <w:shd w:val="clear" w:color="auto" w:fill="DBE5F1" w:themeFill="accent1" w:themeFillTint="33"/>
            <w:vAlign w:val="bottom"/>
          </w:tcPr>
          <w:p w14:paraId="5870207B" w14:textId="54672738" w:rsidR="00F77F23" w:rsidRPr="004C3994" w:rsidRDefault="00F77F23" w:rsidP="00F77F23">
            <w:pPr>
              <w:pStyle w:val="Normal-Table"/>
              <w:jc w:val="right"/>
              <w:rPr>
                <w:b/>
                <w:bCs w:val="0"/>
              </w:rPr>
            </w:pPr>
            <w:r>
              <w:rPr>
                <w:rFonts w:cs="Arial"/>
                <w:b/>
                <w:bCs w:val="0"/>
                <w:color w:val="000000"/>
                <w:szCs w:val="22"/>
              </w:rPr>
              <w:t>Coeff</w:t>
            </w:r>
          </w:p>
        </w:tc>
        <w:tc>
          <w:tcPr>
            <w:tcW w:w="1551" w:type="dxa"/>
            <w:shd w:val="clear" w:color="auto" w:fill="DBE5F1" w:themeFill="accent1" w:themeFillTint="33"/>
            <w:vAlign w:val="bottom"/>
          </w:tcPr>
          <w:p w14:paraId="609AE2C0" w14:textId="1DC54D63" w:rsidR="00F77F23" w:rsidRDefault="00F77F23" w:rsidP="00F77F23">
            <w:pPr>
              <w:pStyle w:val="Normal-Table"/>
              <w:jc w:val="right"/>
              <w:rPr>
                <w:b/>
                <w:bCs w:val="0"/>
              </w:rPr>
            </w:pPr>
            <w:r>
              <w:rPr>
                <w:rFonts w:cs="Arial"/>
                <w:b/>
                <w:bCs w:val="0"/>
                <w:color w:val="000000"/>
                <w:szCs w:val="22"/>
              </w:rPr>
              <w:t>Std Err</w:t>
            </w:r>
          </w:p>
        </w:tc>
        <w:tc>
          <w:tcPr>
            <w:tcW w:w="1551" w:type="dxa"/>
            <w:shd w:val="clear" w:color="auto" w:fill="DBE5F1" w:themeFill="accent1" w:themeFillTint="33"/>
            <w:vAlign w:val="bottom"/>
          </w:tcPr>
          <w:p w14:paraId="30F9D850" w14:textId="0AFCCF46" w:rsidR="00F77F23" w:rsidRDefault="00F77F23" w:rsidP="00F77F23">
            <w:pPr>
              <w:pStyle w:val="Normal-Table"/>
              <w:jc w:val="right"/>
              <w:rPr>
                <w:b/>
                <w:bCs w:val="0"/>
              </w:rPr>
            </w:pPr>
            <w:r>
              <w:rPr>
                <w:rFonts w:cs="Arial"/>
                <w:b/>
                <w:bCs w:val="0"/>
                <w:color w:val="000000"/>
                <w:szCs w:val="22"/>
              </w:rPr>
              <w:t>t</w:t>
            </w:r>
          </w:p>
        </w:tc>
        <w:tc>
          <w:tcPr>
            <w:tcW w:w="1552" w:type="dxa"/>
            <w:shd w:val="clear" w:color="auto" w:fill="DBE5F1" w:themeFill="accent1" w:themeFillTint="33"/>
            <w:vAlign w:val="bottom"/>
          </w:tcPr>
          <w:p w14:paraId="7BEC3280" w14:textId="197253F0" w:rsidR="00F77F23" w:rsidRDefault="00F77F23" w:rsidP="00F77F23">
            <w:pPr>
              <w:pStyle w:val="Normal-Table"/>
              <w:jc w:val="right"/>
              <w:rPr>
                <w:b/>
                <w:bCs w:val="0"/>
              </w:rPr>
            </w:pPr>
            <w:r>
              <w:rPr>
                <w:rFonts w:cs="Arial"/>
                <w:b/>
                <w:bCs w:val="0"/>
                <w:color w:val="000000"/>
                <w:szCs w:val="22"/>
              </w:rPr>
              <w:t>P&gt;|t|</w:t>
            </w:r>
          </w:p>
        </w:tc>
      </w:tr>
      <w:tr w:rsidR="00A933C6" w14:paraId="0B5D3069" w14:textId="77777777" w:rsidTr="00A119E0">
        <w:tc>
          <w:tcPr>
            <w:tcW w:w="3145" w:type="dxa"/>
          </w:tcPr>
          <w:p w14:paraId="37B946C2" w14:textId="4B1B1505" w:rsidR="00A933C6" w:rsidRDefault="00A933C6" w:rsidP="00A933C6">
            <w:pPr>
              <w:pStyle w:val="Normal-Table"/>
            </w:pPr>
            <w:r>
              <w:rPr>
                <w:rFonts w:cs="Arial"/>
                <w:color w:val="000000"/>
                <w:szCs w:val="22"/>
              </w:rPr>
              <w:t>Intercept</w:t>
            </w:r>
          </w:p>
        </w:tc>
        <w:tc>
          <w:tcPr>
            <w:tcW w:w="1551" w:type="dxa"/>
            <w:vAlign w:val="center"/>
          </w:tcPr>
          <w:p w14:paraId="59DC6122" w14:textId="1831B272" w:rsidR="00A933C6" w:rsidRDefault="00A933C6" w:rsidP="00A933C6">
            <w:pPr>
              <w:pStyle w:val="Normal-Table"/>
              <w:jc w:val="right"/>
            </w:pPr>
            <w:r>
              <w:rPr>
                <w:rFonts w:cs="Arial"/>
                <w:color w:val="000000"/>
                <w:szCs w:val="22"/>
              </w:rPr>
              <w:t>304.9683</w:t>
            </w:r>
          </w:p>
        </w:tc>
        <w:tc>
          <w:tcPr>
            <w:tcW w:w="1551" w:type="dxa"/>
            <w:vAlign w:val="center"/>
          </w:tcPr>
          <w:p w14:paraId="76873B53" w14:textId="5D44F054" w:rsidR="00A933C6" w:rsidRDefault="00A933C6" w:rsidP="00A933C6">
            <w:pPr>
              <w:pStyle w:val="Normal-Table"/>
              <w:jc w:val="right"/>
            </w:pPr>
            <w:r>
              <w:rPr>
                <w:rFonts w:cs="Arial"/>
                <w:color w:val="000000"/>
                <w:szCs w:val="22"/>
              </w:rPr>
              <w:t xml:space="preserve">      19.6200 </w:t>
            </w:r>
          </w:p>
        </w:tc>
        <w:tc>
          <w:tcPr>
            <w:tcW w:w="1551" w:type="dxa"/>
            <w:vAlign w:val="center"/>
          </w:tcPr>
          <w:p w14:paraId="3CFBE786" w14:textId="6B28CAA4" w:rsidR="00A933C6" w:rsidRDefault="00A933C6" w:rsidP="00A933C6">
            <w:pPr>
              <w:pStyle w:val="Normal-Table"/>
              <w:jc w:val="right"/>
            </w:pPr>
            <w:r>
              <w:rPr>
                <w:rFonts w:cs="Arial"/>
                <w:color w:val="000000"/>
                <w:szCs w:val="22"/>
              </w:rPr>
              <w:t>15.54</w:t>
            </w:r>
          </w:p>
        </w:tc>
        <w:tc>
          <w:tcPr>
            <w:tcW w:w="1552" w:type="dxa"/>
            <w:vAlign w:val="center"/>
          </w:tcPr>
          <w:p w14:paraId="26EDC9A3" w14:textId="7F8CE544" w:rsidR="00A933C6" w:rsidRDefault="00A933C6" w:rsidP="00A933C6">
            <w:pPr>
              <w:pStyle w:val="Normal-Table"/>
              <w:jc w:val="right"/>
            </w:pPr>
            <w:r>
              <w:rPr>
                <w:rFonts w:cs="Arial"/>
                <w:color w:val="000000"/>
                <w:szCs w:val="22"/>
              </w:rPr>
              <w:t>0.0000</w:t>
            </w:r>
          </w:p>
        </w:tc>
      </w:tr>
      <w:tr w:rsidR="00A933C6" w14:paraId="5817DC9E" w14:textId="77777777" w:rsidTr="00A119E0">
        <w:tc>
          <w:tcPr>
            <w:tcW w:w="3145" w:type="dxa"/>
          </w:tcPr>
          <w:p w14:paraId="1116D67B" w14:textId="677009FE" w:rsidR="00A933C6" w:rsidRDefault="00A933C6" w:rsidP="00A933C6">
            <w:pPr>
              <w:pStyle w:val="Normal-Table"/>
            </w:pPr>
            <w:r>
              <w:rPr>
                <w:rFonts w:cs="Arial"/>
                <w:color w:val="000000"/>
                <w:szCs w:val="22"/>
              </w:rPr>
              <w:t>PER_MICRO</w:t>
            </w:r>
          </w:p>
        </w:tc>
        <w:tc>
          <w:tcPr>
            <w:tcW w:w="1551" w:type="dxa"/>
            <w:vAlign w:val="center"/>
          </w:tcPr>
          <w:p w14:paraId="342EF836" w14:textId="3201C506" w:rsidR="00A933C6" w:rsidRDefault="00A933C6" w:rsidP="00A933C6">
            <w:pPr>
              <w:pStyle w:val="Normal-Table"/>
              <w:jc w:val="right"/>
            </w:pPr>
            <w:r>
              <w:rPr>
                <w:rFonts w:cs="Arial"/>
                <w:color w:val="000000"/>
                <w:szCs w:val="22"/>
              </w:rPr>
              <w:t>-3.0333</w:t>
            </w:r>
          </w:p>
        </w:tc>
        <w:tc>
          <w:tcPr>
            <w:tcW w:w="1551" w:type="dxa"/>
            <w:vAlign w:val="center"/>
          </w:tcPr>
          <w:p w14:paraId="08F50D0E" w14:textId="05CE6516" w:rsidR="00A933C6" w:rsidRDefault="00A933C6" w:rsidP="00A933C6">
            <w:pPr>
              <w:pStyle w:val="Normal-Table"/>
              <w:jc w:val="right"/>
            </w:pPr>
            <w:r>
              <w:rPr>
                <w:rFonts w:cs="Arial"/>
                <w:color w:val="000000"/>
                <w:szCs w:val="22"/>
              </w:rPr>
              <w:t xml:space="preserve">        0.1970 </w:t>
            </w:r>
          </w:p>
        </w:tc>
        <w:tc>
          <w:tcPr>
            <w:tcW w:w="1551" w:type="dxa"/>
            <w:vAlign w:val="center"/>
          </w:tcPr>
          <w:p w14:paraId="3C0298F8" w14:textId="1D15BE5C" w:rsidR="00A933C6" w:rsidRDefault="00A933C6" w:rsidP="00A933C6">
            <w:pPr>
              <w:pStyle w:val="Normal-Table"/>
              <w:jc w:val="right"/>
            </w:pPr>
            <w:r>
              <w:rPr>
                <w:rFonts w:cs="Arial"/>
                <w:color w:val="000000"/>
                <w:szCs w:val="22"/>
              </w:rPr>
              <w:t>-15.37</w:t>
            </w:r>
          </w:p>
        </w:tc>
        <w:tc>
          <w:tcPr>
            <w:tcW w:w="1552" w:type="dxa"/>
            <w:vAlign w:val="center"/>
          </w:tcPr>
          <w:p w14:paraId="4AB3357D" w14:textId="095D4E69" w:rsidR="00A933C6" w:rsidRDefault="00A933C6" w:rsidP="00A933C6">
            <w:pPr>
              <w:pStyle w:val="Normal-Table"/>
              <w:jc w:val="right"/>
            </w:pPr>
            <w:r>
              <w:rPr>
                <w:rFonts w:cs="Arial"/>
                <w:color w:val="000000"/>
                <w:szCs w:val="22"/>
              </w:rPr>
              <w:t>0.0000</w:t>
            </w:r>
          </w:p>
        </w:tc>
      </w:tr>
      <w:tr w:rsidR="00A933C6" w14:paraId="515EC1A0" w14:textId="77777777" w:rsidTr="00A119E0">
        <w:trPr>
          <w:trHeight w:val="269"/>
        </w:trPr>
        <w:tc>
          <w:tcPr>
            <w:tcW w:w="3145" w:type="dxa"/>
          </w:tcPr>
          <w:p w14:paraId="26777BEE" w14:textId="1A07EABE" w:rsidR="00A933C6" w:rsidRDefault="00A933C6" w:rsidP="00A933C6">
            <w:pPr>
              <w:pStyle w:val="Normal-Table"/>
            </w:pPr>
            <w:r>
              <w:rPr>
                <w:rFonts w:cs="Arial"/>
                <w:color w:val="000000"/>
                <w:szCs w:val="22"/>
              </w:rPr>
              <w:t>PER_SMALL</w:t>
            </w:r>
          </w:p>
        </w:tc>
        <w:tc>
          <w:tcPr>
            <w:tcW w:w="1551" w:type="dxa"/>
            <w:vAlign w:val="center"/>
          </w:tcPr>
          <w:p w14:paraId="50DA2DD4" w14:textId="72BE1FDE" w:rsidR="00A933C6" w:rsidRDefault="00A933C6" w:rsidP="00A933C6">
            <w:pPr>
              <w:pStyle w:val="Normal-Table"/>
              <w:jc w:val="right"/>
            </w:pPr>
            <w:r>
              <w:rPr>
                <w:rFonts w:cs="Arial"/>
                <w:color w:val="000000"/>
                <w:szCs w:val="22"/>
              </w:rPr>
              <w:t>-2.3858</w:t>
            </w:r>
          </w:p>
        </w:tc>
        <w:tc>
          <w:tcPr>
            <w:tcW w:w="1551" w:type="dxa"/>
            <w:vAlign w:val="center"/>
          </w:tcPr>
          <w:p w14:paraId="5D1D0C15" w14:textId="6E7FA50A" w:rsidR="00A933C6" w:rsidRDefault="00A933C6" w:rsidP="00A933C6">
            <w:pPr>
              <w:pStyle w:val="Normal-Table"/>
              <w:jc w:val="right"/>
            </w:pPr>
            <w:r>
              <w:rPr>
                <w:rFonts w:cs="Arial"/>
                <w:color w:val="000000"/>
                <w:szCs w:val="22"/>
              </w:rPr>
              <w:t xml:space="preserve">        0.2170 </w:t>
            </w:r>
          </w:p>
        </w:tc>
        <w:tc>
          <w:tcPr>
            <w:tcW w:w="1551" w:type="dxa"/>
            <w:vAlign w:val="center"/>
          </w:tcPr>
          <w:p w14:paraId="3E657B50" w14:textId="2FA55262" w:rsidR="00A933C6" w:rsidRDefault="00A933C6" w:rsidP="00A933C6">
            <w:pPr>
              <w:pStyle w:val="Normal-Table"/>
              <w:jc w:val="right"/>
            </w:pPr>
            <w:r>
              <w:rPr>
                <w:rFonts w:cs="Arial"/>
                <w:color w:val="000000"/>
                <w:szCs w:val="22"/>
              </w:rPr>
              <w:t>-10.97</w:t>
            </w:r>
          </w:p>
        </w:tc>
        <w:tc>
          <w:tcPr>
            <w:tcW w:w="1552" w:type="dxa"/>
            <w:vAlign w:val="center"/>
          </w:tcPr>
          <w:p w14:paraId="5638854D" w14:textId="2BD7E9BD" w:rsidR="00A933C6" w:rsidRDefault="00A933C6" w:rsidP="00A933C6">
            <w:pPr>
              <w:pStyle w:val="Normal-Table"/>
              <w:jc w:val="right"/>
            </w:pPr>
            <w:r>
              <w:rPr>
                <w:rFonts w:cs="Arial"/>
                <w:color w:val="000000"/>
                <w:szCs w:val="22"/>
              </w:rPr>
              <w:t>0.0000</w:t>
            </w:r>
          </w:p>
        </w:tc>
      </w:tr>
      <w:tr w:rsidR="00A933C6" w14:paraId="77E80AF8" w14:textId="77777777" w:rsidTr="00A119E0">
        <w:trPr>
          <w:trHeight w:val="314"/>
        </w:trPr>
        <w:tc>
          <w:tcPr>
            <w:tcW w:w="3145" w:type="dxa"/>
          </w:tcPr>
          <w:p w14:paraId="3B36EB1F" w14:textId="3BCC9F5A" w:rsidR="00A933C6" w:rsidRDefault="00A933C6" w:rsidP="00A933C6">
            <w:pPr>
              <w:pStyle w:val="Normal-Table"/>
            </w:pPr>
            <w:r>
              <w:rPr>
                <w:rFonts w:cs="Arial"/>
                <w:color w:val="000000"/>
                <w:szCs w:val="22"/>
              </w:rPr>
              <w:t>PER_MED</w:t>
            </w:r>
          </w:p>
        </w:tc>
        <w:tc>
          <w:tcPr>
            <w:tcW w:w="1551" w:type="dxa"/>
            <w:vAlign w:val="center"/>
          </w:tcPr>
          <w:p w14:paraId="44E6CF7D" w14:textId="0099C46E" w:rsidR="00A933C6" w:rsidRDefault="00A933C6" w:rsidP="00A933C6">
            <w:pPr>
              <w:pStyle w:val="Normal-Table"/>
              <w:jc w:val="right"/>
            </w:pPr>
            <w:r>
              <w:rPr>
                <w:rFonts w:cs="Arial"/>
                <w:color w:val="000000"/>
                <w:szCs w:val="22"/>
              </w:rPr>
              <w:t>-4.2776</w:t>
            </w:r>
          </w:p>
        </w:tc>
        <w:tc>
          <w:tcPr>
            <w:tcW w:w="1551" w:type="dxa"/>
            <w:vAlign w:val="center"/>
          </w:tcPr>
          <w:p w14:paraId="65B2D655" w14:textId="059080D0" w:rsidR="00A933C6" w:rsidRDefault="00A933C6" w:rsidP="00A933C6">
            <w:pPr>
              <w:pStyle w:val="Normal-Table"/>
              <w:jc w:val="right"/>
            </w:pPr>
            <w:r>
              <w:rPr>
                <w:rFonts w:cs="Arial"/>
                <w:color w:val="000000"/>
                <w:szCs w:val="22"/>
              </w:rPr>
              <w:t xml:space="preserve">        0.2770 </w:t>
            </w:r>
          </w:p>
        </w:tc>
        <w:tc>
          <w:tcPr>
            <w:tcW w:w="1551" w:type="dxa"/>
            <w:vAlign w:val="center"/>
          </w:tcPr>
          <w:p w14:paraId="18D5789C" w14:textId="076502E5" w:rsidR="00A933C6" w:rsidRDefault="00A933C6" w:rsidP="00A933C6">
            <w:pPr>
              <w:pStyle w:val="Normal-Table"/>
              <w:jc w:val="right"/>
            </w:pPr>
            <w:r>
              <w:rPr>
                <w:rFonts w:cs="Arial"/>
                <w:color w:val="000000"/>
                <w:szCs w:val="22"/>
              </w:rPr>
              <w:t>-15.42</w:t>
            </w:r>
          </w:p>
        </w:tc>
        <w:tc>
          <w:tcPr>
            <w:tcW w:w="1552" w:type="dxa"/>
            <w:vAlign w:val="center"/>
          </w:tcPr>
          <w:p w14:paraId="5080CA91" w14:textId="53FECED7" w:rsidR="00A933C6" w:rsidRDefault="00A933C6" w:rsidP="00A933C6">
            <w:pPr>
              <w:pStyle w:val="Normal-Table"/>
              <w:jc w:val="right"/>
            </w:pPr>
            <w:r>
              <w:rPr>
                <w:rFonts w:cs="Arial"/>
                <w:color w:val="000000"/>
                <w:szCs w:val="22"/>
              </w:rPr>
              <w:t>0.0000</w:t>
            </w:r>
          </w:p>
        </w:tc>
      </w:tr>
    </w:tbl>
    <w:p w14:paraId="07390FA6" w14:textId="77777777" w:rsidR="00A933C6" w:rsidRDefault="00A933C6" w:rsidP="00A933C6">
      <w:pPr>
        <w:pStyle w:val="Normal-Table"/>
      </w:pPr>
    </w:p>
    <w:p w14:paraId="09CE027C" w14:textId="0A6FC678" w:rsidR="008364F3" w:rsidRDefault="00A54EA8" w:rsidP="00A54EA8">
      <w:r>
        <w:t xml:space="preserve">The results of this estimation are quite interesting.  </w:t>
      </w:r>
      <w:r w:rsidR="00F77F23">
        <w:t>First the R-squared value of 0.2</w:t>
      </w:r>
      <w:r w:rsidR="00A933C6">
        <w:t>5</w:t>
      </w:r>
      <w:r w:rsidR="00F77F23">
        <w:t xml:space="preserve"> is not a trivial amount</w:t>
      </w:r>
      <w:r w:rsidR="00A933C6">
        <w:t xml:space="preserve"> and was a large jump in explanatory power from just the individual features on their own</w:t>
      </w:r>
      <w:r w:rsidR="008364F3">
        <w:t xml:space="preserve">. The jump in explanatory power specifically came </w:t>
      </w:r>
      <w:r w:rsidR="002B42CC">
        <w:t xml:space="preserve">only in specifications with all three size measures </w:t>
      </w:r>
      <w:proofErr w:type="spellStart"/>
      <w:proofErr w:type="gramStart"/>
      <w:r w:rsidR="002B42CC">
        <w:t>included</w:t>
      </w:r>
      <w:r w:rsidR="005C25FD">
        <w:t>.</w:t>
      </w:r>
      <w:r w:rsidR="00F77F23">
        <w:t>The</w:t>
      </w:r>
      <w:proofErr w:type="spellEnd"/>
      <w:proofErr w:type="gramEnd"/>
      <w:r w:rsidR="00F77F23">
        <w:t xml:space="preserve"> next</w:t>
      </w:r>
      <w:r>
        <w:t xml:space="preserve"> thing to note is that the coefficients of the </w:t>
      </w:r>
      <w:r w:rsidR="008364F3">
        <w:t>three</w:t>
      </w:r>
      <w:r>
        <w:t xml:space="preserve"> size distribution variables are all negative</w:t>
      </w:r>
      <w:r w:rsidR="008364F3">
        <w:t xml:space="preserve"> </w:t>
      </w:r>
      <w:r>
        <w:t>and statistically significant.</w:t>
      </w:r>
      <w:r w:rsidR="00F77F23">
        <w:t xml:space="preserve"> </w:t>
      </w:r>
    </w:p>
    <w:p w14:paraId="61D0BBC6" w14:textId="1C0135F7" w:rsidR="008364F3" w:rsidRDefault="008364F3" w:rsidP="008364F3">
      <w:r w:rsidRPr="008364F3">
        <w:t xml:space="preserve">A regression coefficient is interpreted as the marginal impact of a one unit increase in the variable, holding the other included variables constant.  </w:t>
      </w:r>
      <w:r w:rsidR="005C25FD">
        <w:t>To interpret, for example, the percent micro coefficient, consider that i</w:t>
      </w:r>
      <w:r>
        <w:t xml:space="preserve">f </w:t>
      </w:r>
      <w:r w:rsidRPr="008364F3">
        <w:t xml:space="preserve">small and medium shares are held constant, </w:t>
      </w:r>
      <w:r w:rsidRPr="00861AA5">
        <w:rPr>
          <w:i/>
          <w:iCs/>
        </w:rPr>
        <w:t xml:space="preserve">the decrease in the micro share </w:t>
      </w:r>
      <w:r w:rsidR="005C25FD">
        <w:rPr>
          <w:i/>
          <w:iCs/>
        </w:rPr>
        <w:t xml:space="preserve">of one percentage point </w:t>
      </w:r>
      <w:r w:rsidRPr="00861AA5">
        <w:rPr>
          <w:i/>
          <w:iCs/>
        </w:rPr>
        <w:t>implies a</w:t>
      </w:r>
      <w:r w:rsidR="005C25FD">
        <w:rPr>
          <w:i/>
          <w:iCs/>
        </w:rPr>
        <w:t xml:space="preserve"> one percentage point</w:t>
      </w:r>
      <w:r w:rsidRPr="00861AA5">
        <w:rPr>
          <w:i/>
          <w:iCs/>
        </w:rPr>
        <w:t xml:space="preserve"> increase in the large share</w:t>
      </w:r>
      <w:r w:rsidR="005C25FD">
        <w:rPr>
          <w:i/>
          <w:iCs/>
        </w:rPr>
        <w:t xml:space="preserve"> and an increase of 3 percentage points in site </w:t>
      </w:r>
      <w:proofErr w:type="spellStart"/>
      <w:proofErr w:type="gramStart"/>
      <w:r w:rsidR="005C25FD">
        <w:rPr>
          <w:i/>
          <w:iCs/>
        </w:rPr>
        <w:t>penetration</w:t>
      </w:r>
      <w:r>
        <w:t>.Th</w:t>
      </w:r>
      <w:r w:rsidR="005C25FD">
        <w:t>e</w:t>
      </w:r>
      <w:proofErr w:type="spellEnd"/>
      <w:proofErr w:type="gramEnd"/>
      <w:r w:rsidR="005C25FD">
        <w:t xml:space="preserve"> similarity of the three coefficients</w:t>
      </w:r>
      <w:r>
        <w:t xml:space="preserve"> , </w:t>
      </w:r>
      <w:r w:rsidR="005C25FD">
        <w:t xml:space="preserve">implies that </w:t>
      </w:r>
      <w:r w:rsidRPr="008364F3">
        <w:rPr>
          <w:b/>
          <w:bCs/>
        </w:rPr>
        <w:t>any increase in large business</w:t>
      </w:r>
      <w:r>
        <w:rPr>
          <w:b/>
          <w:bCs/>
        </w:rPr>
        <w:t xml:space="preserve"> presence</w:t>
      </w:r>
      <w:r w:rsidRPr="008364F3">
        <w:rPr>
          <w:b/>
          <w:bCs/>
        </w:rPr>
        <w:t xml:space="preserve"> results in an increase in participations rates</w:t>
      </w:r>
      <w:r>
        <w:t xml:space="preserve">. </w:t>
      </w:r>
      <w:r w:rsidR="00A54EA8">
        <w:t xml:space="preserve">Note also that the magnitudes of the effects are large.  </w:t>
      </w:r>
      <w:r w:rsidR="005C25FD">
        <w:t>As noted, a</w:t>
      </w:r>
      <w:r w:rsidR="00A54EA8">
        <w:t xml:space="preserve"> one-percentage point decrease in the percentage of micro-sized businesses yield a 3.</w:t>
      </w:r>
      <w:r w:rsidR="00A933C6">
        <w:t>0</w:t>
      </w:r>
      <w:r w:rsidR="00A54EA8">
        <w:t xml:space="preserve"> percentage point increase in site penetration.  Similar effects for small and medium shares (</w:t>
      </w:r>
      <w:r w:rsidR="00A933C6">
        <w:t>2.4</w:t>
      </w:r>
      <w:r w:rsidR="00A54EA8">
        <w:t xml:space="preserve"> and </w:t>
      </w:r>
      <w:r w:rsidR="00A933C6">
        <w:t>4.3</w:t>
      </w:r>
      <w:r w:rsidR="00A54EA8">
        <w:t xml:space="preserve"> </w:t>
      </w:r>
      <w:r w:rsidR="00A54EA8">
        <w:lastRenderedPageBreak/>
        <w:t>percentage point) can be seen as well</w:t>
      </w:r>
      <w:r>
        <w:rPr>
          <w:rStyle w:val="FootnoteReference"/>
        </w:rPr>
        <w:footnoteReference w:id="9"/>
      </w:r>
      <w:r w:rsidR="00A54EA8">
        <w:t>.</w:t>
      </w:r>
      <w:r>
        <w:t xml:space="preserve"> Thus, large firms are seen by the local smaller sized businesses to be taking up the DSM activity, and following suit.  This follow-the-leader behavior has seemingly dramatic effects.</w:t>
      </w:r>
    </w:p>
    <w:p w14:paraId="6E262331" w14:textId="7BDDE249" w:rsidR="00A54EA8" w:rsidRDefault="00A54EA8" w:rsidP="00A54EA8">
      <w:r>
        <w:t xml:space="preserve">There are two potential objections to these results.  The first is that we are engaging in the “ecological fallacy”.  Simply because we observe a correlation between site penetration and small firm sizes does not necessarily mean it’s the small firms that are not taking up the programs.  This is not a worrisome objection because the joint share of micro, small and medium business is well over 99% of the establishments in the average </w:t>
      </w:r>
      <w:r w:rsidR="008364F3">
        <w:t>ZIP C</w:t>
      </w:r>
      <w:r>
        <w:t>ode, so there is little room for the ecological fallacy to take hold.</w:t>
      </w:r>
    </w:p>
    <w:p w14:paraId="4B3F0D61" w14:textId="4D999545" w:rsidR="00A933C6" w:rsidRDefault="00A54EA8" w:rsidP="00A933C6">
      <w:r>
        <w:t xml:space="preserve">A stronger objection is that the low </w:t>
      </w:r>
      <w:r w:rsidR="0005524B">
        <w:t>take-up</w:t>
      </w:r>
      <w:r>
        <w:t xml:space="preserve"> rates in neighborhoods with larger shares of smaller firms are also </w:t>
      </w:r>
      <w:r w:rsidR="008364F3">
        <w:t>ZIP</w:t>
      </w:r>
      <w:r>
        <w:t xml:space="preserve"> </w:t>
      </w:r>
      <w:r w:rsidR="008364F3">
        <w:t>C</w:t>
      </w:r>
      <w:r>
        <w:t xml:space="preserve">odes with other characteristics that might lead to low site penetration.  We take up this problem </w:t>
      </w:r>
      <w:r w:rsidR="008364F3">
        <w:t>in subsequent analysis</w:t>
      </w:r>
      <w:r>
        <w:t>.</w:t>
      </w:r>
      <w:r w:rsidR="00A933C6">
        <w:t xml:space="preserve"> </w:t>
      </w:r>
    </w:p>
    <w:p w14:paraId="4837DF8C" w14:textId="77777777" w:rsidR="00F77F23" w:rsidRDefault="00F77F23" w:rsidP="00F77F23">
      <w:pPr>
        <w:pStyle w:val="Heading2"/>
      </w:pPr>
      <w:bookmarkStart w:id="34" w:name="_Toc76121055"/>
      <w:r>
        <w:t>Environmental and Social justice Factors</w:t>
      </w:r>
      <w:bookmarkEnd w:id="34"/>
    </w:p>
    <w:p w14:paraId="4955A3E7" w14:textId="515FA414" w:rsidR="00F77F23" w:rsidRDefault="00117082" w:rsidP="00F77F23">
      <w:r>
        <w:t>Next,</w:t>
      </w:r>
      <w:r w:rsidR="00F77F23">
        <w:t xml:space="preserve"> </w:t>
      </w:r>
      <w:r w:rsidR="00D967EC">
        <w:t>we</w:t>
      </w:r>
      <w:r w:rsidR="00F77F23">
        <w:t xml:space="preserve"> look</w:t>
      </w:r>
      <w:r w:rsidR="00D967EC">
        <w:t>ed</w:t>
      </w:r>
      <w:r w:rsidR="00F77F23">
        <w:t xml:space="preserve"> at environmental and social justice factors</w:t>
      </w:r>
      <w:r w:rsidR="00D967EC">
        <w:t xml:space="preserve"> as found in the CES3.0 data set. </w:t>
      </w:r>
      <w:r w:rsidR="00F77F23">
        <w:t xml:space="preserve">We found that </w:t>
      </w:r>
      <w:r w:rsidR="00D967EC">
        <w:t xml:space="preserve">the population weighted </w:t>
      </w:r>
      <w:r w:rsidR="00F77F23">
        <w:t>C</w:t>
      </w:r>
      <w:r w:rsidR="00D967EC">
        <w:t xml:space="preserve">ES3.0 score had the best explanatory power, and the best </w:t>
      </w:r>
      <w:r w:rsidR="005C25FD">
        <w:t xml:space="preserve">bivariate </w:t>
      </w:r>
      <w:r w:rsidR="00D967EC">
        <w:t>regression is shown in the following figure.</w:t>
      </w:r>
      <w:r w:rsidR="00F77F23">
        <w:t xml:space="preserve"> </w:t>
      </w:r>
    </w:p>
    <w:p w14:paraId="37F18559" w14:textId="42702F49" w:rsidR="00F77F23" w:rsidRDefault="00F77F23" w:rsidP="00F77F23">
      <w:pPr>
        <w:pStyle w:val="Caption"/>
      </w:pPr>
      <w:bookmarkStart w:id="35" w:name="_Toc76121116"/>
      <w:r>
        <w:t xml:space="preserve">Figure </w:t>
      </w:r>
      <w:r w:rsidR="00DB1658">
        <w:fldChar w:fldCharType="begin"/>
      </w:r>
      <w:r w:rsidR="00DB1658">
        <w:instrText xml:space="preserve"> SEQ Figure \* ARABIC </w:instrText>
      </w:r>
      <w:r w:rsidR="00DB1658">
        <w:fldChar w:fldCharType="separate"/>
      </w:r>
      <w:r w:rsidR="00A74C64">
        <w:rPr>
          <w:noProof/>
        </w:rPr>
        <w:t>5</w:t>
      </w:r>
      <w:r w:rsidR="00DB1658">
        <w:rPr>
          <w:noProof/>
        </w:rPr>
        <w:fldChar w:fldCharType="end"/>
      </w:r>
      <w:r>
        <w:t xml:space="preserve">, Site Penetration Compared to CES3.0 </w:t>
      </w:r>
      <w:proofErr w:type="gramStart"/>
      <w:r>
        <w:t>Score</w:t>
      </w:r>
      <w:proofErr w:type="gramEnd"/>
      <w:r>
        <w:t xml:space="preserve"> at the ZIP Code Level</w:t>
      </w:r>
      <w:bookmarkEnd w:id="35"/>
    </w:p>
    <w:p w14:paraId="714FDE07" w14:textId="6F9320C8" w:rsidR="00F77F23" w:rsidRDefault="00F77F23" w:rsidP="00F77F23">
      <w:r>
        <w:rPr>
          <w:noProof/>
        </w:rPr>
        <w:drawing>
          <wp:inline distT="0" distB="0" distL="0" distR="0" wp14:anchorId="7A5D9B1A" wp14:editId="612F9AE8">
            <wp:extent cx="4073972" cy="2040467"/>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02295" cy="2054653"/>
                    </a:xfrm>
                    <a:prstGeom prst="rect">
                      <a:avLst/>
                    </a:prstGeom>
                  </pic:spPr>
                </pic:pic>
              </a:graphicData>
            </a:graphic>
          </wp:inline>
        </w:drawing>
      </w:r>
    </w:p>
    <w:p w14:paraId="2287D9B9" w14:textId="69012E7F" w:rsidR="00F77F23" w:rsidRDefault="00D967EC" w:rsidP="00117082">
      <w:r>
        <w:lastRenderedPageBreak/>
        <w:t xml:space="preserve">This </w:t>
      </w:r>
      <w:r w:rsidR="008364F3">
        <w:t xml:space="preserve">graph </w:t>
      </w:r>
      <w:r>
        <w:t xml:space="preserve">shows a clear positive correlation between CES3.0 and SMB site penetration, indicating that for every </w:t>
      </w:r>
      <w:r w:rsidR="00117082">
        <w:t>1-point</w:t>
      </w:r>
      <w:r>
        <w:t xml:space="preserve"> climb in the CES3.0 score, penetration went up 0.23%. This indicates that SMB programs are getting slightly higher uptake in communities with increased social and environmental justice factors. </w:t>
      </w:r>
      <w:r w:rsidR="00117082">
        <w:fldChar w:fldCharType="begin"/>
      </w:r>
      <w:r w:rsidR="00117082">
        <w:instrText xml:space="preserve"> REF _Ref74839674 \h </w:instrText>
      </w:r>
      <w:r w:rsidR="00117082">
        <w:fldChar w:fldCharType="separate"/>
      </w:r>
      <w:r w:rsidR="00A74C64">
        <w:t xml:space="preserve">Table </w:t>
      </w:r>
      <w:r w:rsidR="00A74C64">
        <w:rPr>
          <w:noProof/>
        </w:rPr>
        <w:t>11</w:t>
      </w:r>
      <w:r w:rsidR="00117082">
        <w:fldChar w:fldCharType="end"/>
      </w:r>
      <w:r w:rsidR="00117082">
        <w:t xml:space="preserve"> shows the results of previous firm size regression with CES3.0 score included.</w:t>
      </w:r>
    </w:p>
    <w:p w14:paraId="50B85C35" w14:textId="455BB6CB" w:rsidR="00F77F23" w:rsidRDefault="00F77F23" w:rsidP="00F77F23">
      <w:pPr>
        <w:pStyle w:val="Caption"/>
      </w:pPr>
      <w:bookmarkStart w:id="36" w:name="_Ref74839674"/>
      <w:bookmarkStart w:id="37" w:name="_Toc76121104"/>
      <w:r>
        <w:t xml:space="preserve">Table </w:t>
      </w:r>
      <w:r w:rsidR="00DB1658">
        <w:fldChar w:fldCharType="begin"/>
      </w:r>
      <w:r w:rsidR="00DB1658">
        <w:instrText xml:space="preserve"> SEQ Table \* ARABIC </w:instrText>
      </w:r>
      <w:r w:rsidR="00DB1658">
        <w:fldChar w:fldCharType="separate"/>
      </w:r>
      <w:r w:rsidR="00A74C64">
        <w:rPr>
          <w:noProof/>
        </w:rPr>
        <w:t>11</w:t>
      </w:r>
      <w:r w:rsidR="00DB1658">
        <w:rPr>
          <w:noProof/>
        </w:rPr>
        <w:fldChar w:fldCharType="end"/>
      </w:r>
      <w:bookmarkEnd w:id="36"/>
      <w:r>
        <w:t>. Site Penetration vs. Firm Size, Density</w:t>
      </w:r>
      <w:r w:rsidR="00117082">
        <w:t xml:space="preserve"> and</w:t>
      </w:r>
      <w:r>
        <w:t xml:space="preserve"> CES3.0</w:t>
      </w:r>
      <w:bookmarkEnd w:id="37"/>
    </w:p>
    <w:tbl>
      <w:tblPr>
        <w:tblStyle w:val="TableGrid"/>
        <w:tblW w:w="0" w:type="auto"/>
        <w:tblLook w:val="04A0" w:firstRow="1" w:lastRow="0" w:firstColumn="1" w:lastColumn="0" w:noHBand="0" w:noVBand="1"/>
      </w:tblPr>
      <w:tblGrid>
        <w:gridCol w:w="3591"/>
        <w:gridCol w:w="1474"/>
        <w:gridCol w:w="1451"/>
        <w:gridCol w:w="1405"/>
        <w:gridCol w:w="1429"/>
      </w:tblGrid>
      <w:tr w:rsidR="00A933C6" w:rsidRPr="004C3994" w14:paraId="24A7BCFE" w14:textId="77777777" w:rsidTr="00117082">
        <w:tc>
          <w:tcPr>
            <w:tcW w:w="7921" w:type="dxa"/>
            <w:gridSpan w:val="4"/>
            <w:tcBorders>
              <w:bottom w:val="nil"/>
              <w:right w:val="nil"/>
            </w:tcBorders>
            <w:shd w:val="clear" w:color="auto" w:fill="DBE5F1" w:themeFill="accent1" w:themeFillTint="33"/>
            <w:vAlign w:val="bottom"/>
          </w:tcPr>
          <w:p w14:paraId="0C0192D6" w14:textId="51BA0D1A" w:rsidR="00A933C6" w:rsidRDefault="00A933C6" w:rsidP="00A933C6">
            <w:pPr>
              <w:pStyle w:val="Normal-Table"/>
              <w:jc w:val="right"/>
              <w:rPr>
                <w:rFonts w:cs="Arial"/>
                <w:b/>
                <w:bCs w:val="0"/>
                <w:color w:val="000000"/>
                <w:szCs w:val="22"/>
              </w:rPr>
            </w:pPr>
            <w:r>
              <w:rPr>
                <w:rFonts w:cs="Arial"/>
                <w:b/>
                <w:bCs w:val="0"/>
                <w:color w:val="000000"/>
                <w:szCs w:val="22"/>
              </w:rPr>
              <w:t>R-squared:</w:t>
            </w:r>
          </w:p>
        </w:tc>
        <w:tc>
          <w:tcPr>
            <w:tcW w:w="1429" w:type="dxa"/>
            <w:tcBorders>
              <w:left w:val="nil"/>
              <w:bottom w:val="nil"/>
            </w:tcBorders>
            <w:shd w:val="clear" w:color="auto" w:fill="DBE5F1" w:themeFill="accent1" w:themeFillTint="33"/>
            <w:vAlign w:val="bottom"/>
          </w:tcPr>
          <w:p w14:paraId="336AD630" w14:textId="04F2FDCA" w:rsidR="00A933C6" w:rsidRDefault="00A933C6" w:rsidP="00A933C6">
            <w:pPr>
              <w:pStyle w:val="Normal-Table"/>
              <w:jc w:val="right"/>
              <w:rPr>
                <w:rFonts w:cs="Arial"/>
                <w:b/>
                <w:bCs w:val="0"/>
                <w:color w:val="000000"/>
                <w:szCs w:val="22"/>
              </w:rPr>
            </w:pPr>
            <w:r>
              <w:rPr>
                <w:rFonts w:cs="Arial"/>
                <w:color w:val="000000"/>
                <w:szCs w:val="22"/>
              </w:rPr>
              <w:t>0.28</w:t>
            </w:r>
          </w:p>
        </w:tc>
      </w:tr>
      <w:tr w:rsidR="00A933C6" w:rsidRPr="004C3994" w14:paraId="3F5540BC" w14:textId="77777777" w:rsidTr="00117082">
        <w:tc>
          <w:tcPr>
            <w:tcW w:w="7921" w:type="dxa"/>
            <w:gridSpan w:val="4"/>
            <w:tcBorders>
              <w:top w:val="nil"/>
              <w:right w:val="nil"/>
            </w:tcBorders>
            <w:shd w:val="clear" w:color="auto" w:fill="DBE5F1" w:themeFill="accent1" w:themeFillTint="33"/>
            <w:vAlign w:val="bottom"/>
          </w:tcPr>
          <w:p w14:paraId="520A0FAC" w14:textId="0867C6CB" w:rsidR="00A933C6" w:rsidRDefault="00A933C6" w:rsidP="00A933C6">
            <w:pPr>
              <w:pStyle w:val="Normal-Table"/>
              <w:jc w:val="right"/>
              <w:rPr>
                <w:rFonts w:cs="Arial"/>
                <w:b/>
                <w:bCs w:val="0"/>
                <w:color w:val="000000"/>
                <w:szCs w:val="22"/>
              </w:rPr>
            </w:pPr>
            <w:r>
              <w:rPr>
                <w:rFonts w:cs="Arial"/>
                <w:b/>
                <w:bCs w:val="0"/>
                <w:color w:val="000000"/>
                <w:szCs w:val="22"/>
              </w:rPr>
              <w:t>Adjusted R-squared:</w:t>
            </w:r>
          </w:p>
        </w:tc>
        <w:tc>
          <w:tcPr>
            <w:tcW w:w="1429" w:type="dxa"/>
            <w:tcBorders>
              <w:top w:val="nil"/>
              <w:left w:val="nil"/>
            </w:tcBorders>
            <w:shd w:val="clear" w:color="auto" w:fill="DBE5F1" w:themeFill="accent1" w:themeFillTint="33"/>
            <w:vAlign w:val="bottom"/>
          </w:tcPr>
          <w:p w14:paraId="67082A8D" w14:textId="67D7A7D0" w:rsidR="00A933C6" w:rsidRDefault="00A933C6" w:rsidP="00A933C6">
            <w:pPr>
              <w:pStyle w:val="Normal-Table"/>
              <w:jc w:val="right"/>
              <w:rPr>
                <w:rFonts w:cs="Arial"/>
                <w:b/>
                <w:bCs w:val="0"/>
                <w:color w:val="000000"/>
                <w:szCs w:val="22"/>
              </w:rPr>
            </w:pPr>
            <w:r>
              <w:rPr>
                <w:rFonts w:cs="Arial"/>
                <w:color w:val="000000"/>
                <w:szCs w:val="22"/>
              </w:rPr>
              <w:t>0.277</w:t>
            </w:r>
          </w:p>
        </w:tc>
      </w:tr>
      <w:tr w:rsidR="00117082" w:rsidRPr="004C3994" w14:paraId="13523045" w14:textId="77777777" w:rsidTr="00117082">
        <w:tc>
          <w:tcPr>
            <w:tcW w:w="3591" w:type="dxa"/>
            <w:shd w:val="clear" w:color="auto" w:fill="DBE5F1" w:themeFill="accent1" w:themeFillTint="33"/>
            <w:vAlign w:val="bottom"/>
          </w:tcPr>
          <w:p w14:paraId="44A13A26" w14:textId="77777777" w:rsidR="00117082" w:rsidRPr="004C3994" w:rsidRDefault="00117082" w:rsidP="00FE1CFE">
            <w:pPr>
              <w:pStyle w:val="Normal-Table"/>
              <w:rPr>
                <w:b/>
                <w:bCs w:val="0"/>
              </w:rPr>
            </w:pPr>
            <w:r>
              <w:rPr>
                <w:rFonts w:cs="Arial"/>
                <w:b/>
                <w:bCs w:val="0"/>
                <w:color w:val="000000"/>
                <w:szCs w:val="22"/>
              </w:rPr>
              <w:t>Feature</w:t>
            </w:r>
          </w:p>
        </w:tc>
        <w:tc>
          <w:tcPr>
            <w:tcW w:w="1474" w:type="dxa"/>
            <w:shd w:val="clear" w:color="auto" w:fill="DBE5F1" w:themeFill="accent1" w:themeFillTint="33"/>
            <w:vAlign w:val="bottom"/>
          </w:tcPr>
          <w:p w14:paraId="78409313" w14:textId="77777777" w:rsidR="00117082" w:rsidRPr="004C3994" w:rsidRDefault="00117082" w:rsidP="00FE1CFE">
            <w:pPr>
              <w:pStyle w:val="Normal-Table"/>
              <w:jc w:val="right"/>
              <w:rPr>
                <w:b/>
                <w:bCs w:val="0"/>
              </w:rPr>
            </w:pPr>
            <w:r>
              <w:rPr>
                <w:rFonts w:cs="Arial"/>
                <w:b/>
                <w:bCs w:val="0"/>
                <w:color w:val="000000"/>
                <w:szCs w:val="22"/>
              </w:rPr>
              <w:t>Coeff</w:t>
            </w:r>
          </w:p>
        </w:tc>
        <w:tc>
          <w:tcPr>
            <w:tcW w:w="1451" w:type="dxa"/>
            <w:shd w:val="clear" w:color="auto" w:fill="DBE5F1" w:themeFill="accent1" w:themeFillTint="33"/>
            <w:vAlign w:val="bottom"/>
          </w:tcPr>
          <w:p w14:paraId="605746D9" w14:textId="77777777" w:rsidR="00117082" w:rsidRDefault="00117082" w:rsidP="00FE1CFE">
            <w:pPr>
              <w:pStyle w:val="Normal-Table"/>
              <w:jc w:val="right"/>
              <w:rPr>
                <w:b/>
                <w:bCs w:val="0"/>
              </w:rPr>
            </w:pPr>
            <w:r>
              <w:rPr>
                <w:rFonts w:cs="Arial"/>
                <w:b/>
                <w:bCs w:val="0"/>
                <w:color w:val="000000"/>
                <w:szCs w:val="22"/>
              </w:rPr>
              <w:t>Std Err</w:t>
            </w:r>
          </w:p>
        </w:tc>
        <w:tc>
          <w:tcPr>
            <w:tcW w:w="1405" w:type="dxa"/>
            <w:shd w:val="clear" w:color="auto" w:fill="DBE5F1" w:themeFill="accent1" w:themeFillTint="33"/>
            <w:vAlign w:val="bottom"/>
          </w:tcPr>
          <w:p w14:paraId="0F45D1EB" w14:textId="77777777" w:rsidR="00117082" w:rsidRDefault="00117082" w:rsidP="00FE1CFE">
            <w:pPr>
              <w:pStyle w:val="Normal-Table"/>
              <w:jc w:val="right"/>
              <w:rPr>
                <w:b/>
                <w:bCs w:val="0"/>
              </w:rPr>
            </w:pPr>
            <w:r>
              <w:rPr>
                <w:rFonts w:cs="Arial"/>
                <w:b/>
                <w:bCs w:val="0"/>
                <w:color w:val="000000"/>
                <w:szCs w:val="22"/>
              </w:rPr>
              <w:t>t</w:t>
            </w:r>
          </w:p>
        </w:tc>
        <w:tc>
          <w:tcPr>
            <w:tcW w:w="1429" w:type="dxa"/>
            <w:shd w:val="clear" w:color="auto" w:fill="DBE5F1" w:themeFill="accent1" w:themeFillTint="33"/>
            <w:vAlign w:val="bottom"/>
          </w:tcPr>
          <w:p w14:paraId="0492EB1B" w14:textId="77777777" w:rsidR="00117082" w:rsidRDefault="00117082" w:rsidP="00FE1CFE">
            <w:pPr>
              <w:pStyle w:val="Normal-Table"/>
              <w:jc w:val="right"/>
              <w:rPr>
                <w:b/>
                <w:bCs w:val="0"/>
              </w:rPr>
            </w:pPr>
            <w:r>
              <w:rPr>
                <w:rFonts w:cs="Arial"/>
                <w:b/>
                <w:bCs w:val="0"/>
                <w:color w:val="000000"/>
                <w:szCs w:val="22"/>
              </w:rPr>
              <w:t>P&gt;|t|</w:t>
            </w:r>
          </w:p>
        </w:tc>
      </w:tr>
      <w:tr w:rsidR="00A933C6" w14:paraId="12D47299" w14:textId="77777777" w:rsidTr="00A516B0">
        <w:tc>
          <w:tcPr>
            <w:tcW w:w="3591" w:type="dxa"/>
          </w:tcPr>
          <w:p w14:paraId="53128927" w14:textId="0F70954F" w:rsidR="00A933C6" w:rsidRDefault="00A933C6" w:rsidP="00A933C6">
            <w:pPr>
              <w:pStyle w:val="Normal-Table"/>
            </w:pPr>
            <w:r>
              <w:rPr>
                <w:rFonts w:cs="Arial"/>
                <w:color w:val="000000"/>
                <w:szCs w:val="22"/>
              </w:rPr>
              <w:t>Intercept</w:t>
            </w:r>
          </w:p>
        </w:tc>
        <w:tc>
          <w:tcPr>
            <w:tcW w:w="1474" w:type="dxa"/>
            <w:vAlign w:val="center"/>
          </w:tcPr>
          <w:p w14:paraId="09247EF4" w14:textId="0191BB7F" w:rsidR="00A933C6" w:rsidRDefault="00A933C6" w:rsidP="00A933C6">
            <w:pPr>
              <w:pStyle w:val="Normal-Table"/>
              <w:jc w:val="right"/>
            </w:pPr>
            <w:r>
              <w:rPr>
                <w:rFonts w:cs="Arial"/>
                <w:color w:val="000000"/>
                <w:szCs w:val="22"/>
              </w:rPr>
              <w:t>291.1572</w:t>
            </w:r>
          </w:p>
        </w:tc>
        <w:tc>
          <w:tcPr>
            <w:tcW w:w="1451" w:type="dxa"/>
            <w:vAlign w:val="center"/>
          </w:tcPr>
          <w:p w14:paraId="58270BB0" w14:textId="0194E9F9" w:rsidR="00A933C6" w:rsidRDefault="00A933C6" w:rsidP="00A933C6">
            <w:pPr>
              <w:pStyle w:val="Normal-Table"/>
              <w:jc w:val="right"/>
            </w:pPr>
            <w:r>
              <w:rPr>
                <w:rFonts w:cs="Arial"/>
                <w:color w:val="000000"/>
                <w:szCs w:val="22"/>
              </w:rPr>
              <w:t xml:space="preserve">      19.4020 </w:t>
            </w:r>
          </w:p>
        </w:tc>
        <w:tc>
          <w:tcPr>
            <w:tcW w:w="1405" w:type="dxa"/>
            <w:vAlign w:val="center"/>
          </w:tcPr>
          <w:p w14:paraId="6CF84FDA" w14:textId="6D870CF4" w:rsidR="00A933C6" w:rsidRDefault="00A933C6" w:rsidP="00A933C6">
            <w:pPr>
              <w:pStyle w:val="Normal-Table"/>
              <w:jc w:val="right"/>
            </w:pPr>
            <w:r>
              <w:rPr>
                <w:rFonts w:cs="Arial"/>
                <w:color w:val="000000"/>
                <w:szCs w:val="22"/>
              </w:rPr>
              <w:t>15.01</w:t>
            </w:r>
          </w:p>
        </w:tc>
        <w:tc>
          <w:tcPr>
            <w:tcW w:w="1429" w:type="dxa"/>
            <w:vAlign w:val="center"/>
          </w:tcPr>
          <w:p w14:paraId="0D1C5423" w14:textId="7A9618B3" w:rsidR="00A933C6" w:rsidRDefault="00A933C6" w:rsidP="00A933C6">
            <w:pPr>
              <w:pStyle w:val="Normal-Table"/>
              <w:jc w:val="right"/>
            </w:pPr>
            <w:r>
              <w:rPr>
                <w:rFonts w:cs="Arial"/>
                <w:color w:val="000000"/>
                <w:szCs w:val="22"/>
              </w:rPr>
              <w:t>0.0000</w:t>
            </w:r>
          </w:p>
        </w:tc>
      </w:tr>
      <w:tr w:rsidR="00A933C6" w14:paraId="73BE15B5" w14:textId="77777777" w:rsidTr="00A516B0">
        <w:tc>
          <w:tcPr>
            <w:tcW w:w="3591" w:type="dxa"/>
          </w:tcPr>
          <w:p w14:paraId="7B3D0DAD" w14:textId="5A281FE7" w:rsidR="00A933C6" w:rsidRDefault="00A933C6" w:rsidP="00A933C6">
            <w:pPr>
              <w:pStyle w:val="Normal-Table"/>
            </w:pPr>
            <w:r>
              <w:rPr>
                <w:rFonts w:cs="Arial"/>
                <w:color w:val="000000"/>
                <w:szCs w:val="22"/>
              </w:rPr>
              <w:t>PER_MICRO</w:t>
            </w:r>
          </w:p>
        </w:tc>
        <w:tc>
          <w:tcPr>
            <w:tcW w:w="1474" w:type="dxa"/>
            <w:vAlign w:val="center"/>
          </w:tcPr>
          <w:p w14:paraId="7042AB98" w14:textId="122A627E" w:rsidR="00A933C6" w:rsidRDefault="00A933C6" w:rsidP="00A933C6">
            <w:pPr>
              <w:pStyle w:val="Normal-Table"/>
              <w:jc w:val="right"/>
            </w:pPr>
            <w:r>
              <w:rPr>
                <w:rFonts w:cs="Arial"/>
                <w:color w:val="000000"/>
                <w:szCs w:val="22"/>
              </w:rPr>
              <w:t>-2.8994</w:t>
            </w:r>
          </w:p>
        </w:tc>
        <w:tc>
          <w:tcPr>
            <w:tcW w:w="1451" w:type="dxa"/>
            <w:vAlign w:val="center"/>
          </w:tcPr>
          <w:p w14:paraId="48BDC8E6" w14:textId="551A1035" w:rsidR="00A933C6" w:rsidRDefault="00A933C6" w:rsidP="00A933C6">
            <w:pPr>
              <w:pStyle w:val="Normal-Table"/>
              <w:jc w:val="right"/>
            </w:pPr>
            <w:r>
              <w:rPr>
                <w:rFonts w:cs="Arial"/>
                <w:color w:val="000000"/>
                <w:szCs w:val="22"/>
              </w:rPr>
              <w:t xml:space="preserve">        0.1950 </w:t>
            </w:r>
          </w:p>
        </w:tc>
        <w:tc>
          <w:tcPr>
            <w:tcW w:w="1405" w:type="dxa"/>
            <w:vAlign w:val="center"/>
          </w:tcPr>
          <w:p w14:paraId="33D101F0" w14:textId="0AEF0C64" w:rsidR="00A933C6" w:rsidRDefault="00A933C6" w:rsidP="00A933C6">
            <w:pPr>
              <w:pStyle w:val="Normal-Table"/>
              <w:jc w:val="right"/>
            </w:pPr>
            <w:r>
              <w:rPr>
                <w:rFonts w:cs="Arial"/>
                <w:color w:val="000000"/>
                <w:szCs w:val="22"/>
              </w:rPr>
              <w:t>-14.86</w:t>
            </w:r>
          </w:p>
        </w:tc>
        <w:tc>
          <w:tcPr>
            <w:tcW w:w="1429" w:type="dxa"/>
            <w:vAlign w:val="center"/>
          </w:tcPr>
          <w:p w14:paraId="74441A9E" w14:textId="137C09A2" w:rsidR="00A933C6" w:rsidRDefault="00A933C6" w:rsidP="00A933C6">
            <w:pPr>
              <w:pStyle w:val="Normal-Table"/>
              <w:jc w:val="right"/>
            </w:pPr>
            <w:r>
              <w:rPr>
                <w:rFonts w:cs="Arial"/>
                <w:color w:val="000000"/>
                <w:szCs w:val="22"/>
              </w:rPr>
              <w:t>0.0000</w:t>
            </w:r>
          </w:p>
        </w:tc>
      </w:tr>
      <w:tr w:rsidR="00A933C6" w14:paraId="6E67442B" w14:textId="77777777" w:rsidTr="00A516B0">
        <w:trPr>
          <w:trHeight w:val="341"/>
        </w:trPr>
        <w:tc>
          <w:tcPr>
            <w:tcW w:w="3591" w:type="dxa"/>
          </w:tcPr>
          <w:p w14:paraId="5E53B9C3" w14:textId="0EA01DAB" w:rsidR="00A933C6" w:rsidRDefault="00A933C6" w:rsidP="00A933C6">
            <w:pPr>
              <w:pStyle w:val="Normal-Table"/>
            </w:pPr>
            <w:r>
              <w:rPr>
                <w:rFonts w:cs="Arial"/>
                <w:color w:val="000000"/>
                <w:szCs w:val="22"/>
              </w:rPr>
              <w:t>PER_SMALL</w:t>
            </w:r>
          </w:p>
        </w:tc>
        <w:tc>
          <w:tcPr>
            <w:tcW w:w="1474" w:type="dxa"/>
            <w:vAlign w:val="center"/>
          </w:tcPr>
          <w:p w14:paraId="4D0A552A" w14:textId="7D845F9C" w:rsidR="00A933C6" w:rsidRDefault="00A933C6" w:rsidP="00A933C6">
            <w:pPr>
              <w:pStyle w:val="Normal-Table"/>
              <w:jc w:val="right"/>
            </w:pPr>
            <w:r>
              <w:rPr>
                <w:rFonts w:cs="Arial"/>
                <w:color w:val="000000"/>
                <w:szCs w:val="22"/>
              </w:rPr>
              <w:t>-2.4411</w:t>
            </w:r>
          </w:p>
        </w:tc>
        <w:tc>
          <w:tcPr>
            <w:tcW w:w="1451" w:type="dxa"/>
            <w:vAlign w:val="center"/>
          </w:tcPr>
          <w:p w14:paraId="2072189B" w14:textId="078E44EB" w:rsidR="00A933C6" w:rsidRDefault="00A933C6" w:rsidP="00A933C6">
            <w:pPr>
              <w:pStyle w:val="Normal-Table"/>
              <w:jc w:val="right"/>
            </w:pPr>
            <w:r>
              <w:rPr>
                <w:rFonts w:cs="Arial"/>
                <w:color w:val="000000"/>
                <w:szCs w:val="22"/>
              </w:rPr>
              <w:t xml:space="preserve">        0.2140 </w:t>
            </w:r>
          </w:p>
        </w:tc>
        <w:tc>
          <w:tcPr>
            <w:tcW w:w="1405" w:type="dxa"/>
            <w:vAlign w:val="center"/>
          </w:tcPr>
          <w:p w14:paraId="5426BECF" w14:textId="48A67A1F" w:rsidR="00A933C6" w:rsidRDefault="00A933C6" w:rsidP="00A933C6">
            <w:pPr>
              <w:pStyle w:val="Normal-Table"/>
              <w:jc w:val="right"/>
            </w:pPr>
            <w:r>
              <w:rPr>
                <w:rFonts w:cs="Arial"/>
                <w:color w:val="000000"/>
                <w:szCs w:val="22"/>
              </w:rPr>
              <w:t>-11.43</w:t>
            </w:r>
          </w:p>
        </w:tc>
        <w:tc>
          <w:tcPr>
            <w:tcW w:w="1429" w:type="dxa"/>
            <w:vAlign w:val="center"/>
          </w:tcPr>
          <w:p w14:paraId="6D72F67E" w14:textId="7FB1FF46" w:rsidR="00A933C6" w:rsidRDefault="00A933C6" w:rsidP="00A933C6">
            <w:pPr>
              <w:pStyle w:val="Normal-Table"/>
              <w:jc w:val="right"/>
            </w:pPr>
            <w:r>
              <w:rPr>
                <w:rFonts w:cs="Arial"/>
                <w:color w:val="000000"/>
                <w:szCs w:val="22"/>
              </w:rPr>
              <w:t>0.0000</w:t>
            </w:r>
          </w:p>
        </w:tc>
      </w:tr>
      <w:tr w:rsidR="00A933C6" w14:paraId="64E35E5D" w14:textId="77777777" w:rsidTr="00A516B0">
        <w:trPr>
          <w:trHeight w:val="296"/>
        </w:trPr>
        <w:tc>
          <w:tcPr>
            <w:tcW w:w="3591" w:type="dxa"/>
          </w:tcPr>
          <w:p w14:paraId="0AAF2454" w14:textId="59A4D69A" w:rsidR="00A933C6" w:rsidRDefault="00A933C6" w:rsidP="00A933C6">
            <w:pPr>
              <w:pStyle w:val="Normal-Table"/>
            </w:pPr>
            <w:r>
              <w:rPr>
                <w:rFonts w:cs="Arial"/>
                <w:color w:val="000000"/>
                <w:szCs w:val="22"/>
              </w:rPr>
              <w:t>PER_MED</w:t>
            </w:r>
          </w:p>
        </w:tc>
        <w:tc>
          <w:tcPr>
            <w:tcW w:w="1474" w:type="dxa"/>
            <w:vAlign w:val="center"/>
          </w:tcPr>
          <w:p w14:paraId="7C1163FB" w14:textId="0B57299E" w:rsidR="00A933C6" w:rsidRDefault="00A933C6" w:rsidP="00A933C6">
            <w:pPr>
              <w:pStyle w:val="Normal-Table"/>
              <w:jc w:val="right"/>
            </w:pPr>
            <w:r>
              <w:rPr>
                <w:rFonts w:cs="Arial"/>
                <w:color w:val="000000"/>
                <w:szCs w:val="22"/>
              </w:rPr>
              <w:t>-4.1303</w:t>
            </w:r>
          </w:p>
        </w:tc>
        <w:tc>
          <w:tcPr>
            <w:tcW w:w="1451" w:type="dxa"/>
            <w:vAlign w:val="center"/>
          </w:tcPr>
          <w:p w14:paraId="4235A099" w14:textId="3500580F" w:rsidR="00A933C6" w:rsidRDefault="00A933C6" w:rsidP="00A933C6">
            <w:pPr>
              <w:pStyle w:val="Normal-Table"/>
              <w:jc w:val="right"/>
            </w:pPr>
            <w:r>
              <w:rPr>
                <w:rFonts w:cs="Arial"/>
                <w:color w:val="000000"/>
                <w:szCs w:val="22"/>
              </w:rPr>
              <w:t xml:space="preserve">        0.2730 </w:t>
            </w:r>
          </w:p>
        </w:tc>
        <w:tc>
          <w:tcPr>
            <w:tcW w:w="1405" w:type="dxa"/>
            <w:vAlign w:val="center"/>
          </w:tcPr>
          <w:p w14:paraId="1E5EF6B5" w14:textId="2F9BE2B1" w:rsidR="00A933C6" w:rsidRDefault="00A933C6" w:rsidP="00A933C6">
            <w:pPr>
              <w:pStyle w:val="Normal-Table"/>
              <w:jc w:val="right"/>
            </w:pPr>
            <w:r>
              <w:rPr>
                <w:rFonts w:cs="Arial"/>
                <w:color w:val="000000"/>
                <w:szCs w:val="22"/>
              </w:rPr>
              <w:t>-15.10</w:t>
            </w:r>
          </w:p>
        </w:tc>
        <w:tc>
          <w:tcPr>
            <w:tcW w:w="1429" w:type="dxa"/>
            <w:vAlign w:val="center"/>
          </w:tcPr>
          <w:p w14:paraId="3C2B5186" w14:textId="62DF0B47" w:rsidR="00A933C6" w:rsidRDefault="00A933C6" w:rsidP="00A933C6">
            <w:pPr>
              <w:pStyle w:val="Normal-Table"/>
              <w:jc w:val="right"/>
            </w:pPr>
            <w:r>
              <w:rPr>
                <w:rFonts w:cs="Arial"/>
                <w:color w:val="000000"/>
                <w:szCs w:val="22"/>
              </w:rPr>
              <w:t>0.0000</w:t>
            </w:r>
          </w:p>
        </w:tc>
      </w:tr>
      <w:tr w:rsidR="00A933C6" w14:paraId="2CC90C52" w14:textId="77777777" w:rsidTr="00A516B0">
        <w:trPr>
          <w:trHeight w:val="314"/>
        </w:trPr>
        <w:tc>
          <w:tcPr>
            <w:tcW w:w="3591" w:type="dxa"/>
          </w:tcPr>
          <w:p w14:paraId="01A80A14" w14:textId="74541829" w:rsidR="00A933C6" w:rsidRDefault="00A933C6" w:rsidP="00A933C6">
            <w:pPr>
              <w:pStyle w:val="Normal-Table"/>
            </w:pPr>
            <w:r>
              <w:rPr>
                <w:rFonts w:cs="Arial"/>
                <w:color w:val="000000"/>
                <w:szCs w:val="22"/>
              </w:rPr>
              <w:t>POP_WEIGHTED_CES3_SCORE</w:t>
            </w:r>
          </w:p>
        </w:tc>
        <w:tc>
          <w:tcPr>
            <w:tcW w:w="1474" w:type="dxa"/>
            <w:vAlign w:val="center"/>
          </w:tcPr>
          <w:p w14:paraId="26975126" w14:textId="1D13B051" w:rsidR="00A933C6" w:rsidRDefault="00A933C6" w:rsidP="00A933C6">
            <w:pPr>
              <w:pStyle w:val="Normal-Table"/>
              <w:jc w:val="right"/>
            </w:pPr>
            <w:r>
              <w:rPr>
                <w:rFonts w:cs="Arial"/>
                <w:color w:val="000000"/>
                <w:szCs w:val="22"/>
              </w:rPr>
              <w:t>0.1640</w:t>
            </w:r>
          </w:p>
        </w:tc>
        <w:tc>
          <w:tcPr>
            <w:tcW w:w="1451" w:type="dxa"/>
            <w:vAlign w:val="center"/>
          </w:tcPr>
          <w:p w14:paraId="1610D4E8" w14:textId="5135F3E4" w:rsidR="00A933C6" w:rsidRDefault="00A933C6" w:rsidP="00A933C6">
            <w:pPr>
              <w:pStyle w:val="Normal-Table"/>
              <w:jc w:val="right"/>
            </w:pPr>
            <w:r>
              <w:rPr>
                <w:rFonts w:cs="Arial"/>
                <w:color w:val="000000"/>
                <w:szCs w:val="22"/>
              </w:rPr>
              <w:t xml:space="preserve">        0.0280 </w:t>
            </w:r>
          </w:p>
        </w:tc>
        <w:tc>
          <w:tcPr>
            <w:tcW w:w="1405" w:type="dxa"/>
            <w:vAlign w:val="center"/>
          </w:tcPr>
          <w:p w14:paraId="1EC48CCE" w14:textId="5A311551" w:rsidR="00A933C6" w:rsidRDefault="00A933C6" w:rsidP="00A933C6">
            <w:pPr>
              <w:pStyle w:val="Normal-Table"/>
              <w:jc w:val="right"/>
            </w:pPr>
            <w:r>
              <w:rPr>
                <w:rFonts w:cs="Arial"/>
                <w:color w:val="000000"/>
                <w:szCs w:val="22"/>
              </w:rPr>
              <w:t>5.89</w:t>
            </w:r>
          </w:p>
        </w:tc>
        <w:tc>
          <w:tcPr>
            <w:tcW w:w="1429" w:type="dxa"/>
            <w:vAlign w:val="center"/>
          </w:tcPr>
          <w:p w14:paraId="755A85B9" w14:textId="651056D7" w:rsidR="00A933C6" w:rsidRDefault="00A933C6" w:rsidP="00A933C6">
            <w:pPr>
              <w:pStyle w:val="Normal-Table"/>
              <w:jc w:val="right"/>
            </w:pPr>
            <w:r>
              <w:rPr>
                <w:rFonts w:cs="Arial"/>
                <w:color w:val="000000"/>
                <w:szCs w:val="22"/>
              </w:rPr>
              <w:t>0.0000</w:t>
            </w:r>
          </w:p>
        </w:tc>
      </w:tr>
    </w:tbl>
    <w:p w14:paraId="4BDD01DB" w14:textId="77777777" w:rsidR="00A933C6" w:rsidRDefault="00A933C6" w:rsidP="00F77F23"/>
    <w:p w14:paraId="3DCADD86" w14:textId="25A1F542" w:rsidR="00F77F23" w:rsidRDefault="008364F3" w:rsidP="00F77F23">
      <w:r>
        <w:t>The explanatory power, as measured by R-squared, has gone up and a</w:t>
      </w:r>
      <w:r w:rsidR="00117082">
        <w:t xml:space="preserve">ll the variables are still statistically significant at above the 99% confidence level. Coefficients have changed only slightly, with the </w:t>
      </w:r>
      <w:r w:rsidR="003A0233" w:rsidRPr="008364F3">
        <w:t>CES3.0_SCORE</w:t>
      </w:r>
      <w:r w:rsidR="00117082">
        <w:t xml:space="preserve"> </w:t>
      </w:r>
      <w:r w:rsidR="003A0233">
        <w:t>seeing</w:t>
      </w:r>
      <w:r w:rsidR="00117082">
        <w:t xml:space="preserve"> a drop </w:t>
      </w:r>
      <w:r w:rsidR="003A0233">
        <w:t xml:space="preserve">from 0.23 to </w:t>
      </w:r>
      <w:r w:rsidR="00117082">
        <w:t>0.1</w:t>
      </w:r>
      <w:r w:rsidR="00A933C6">
        <w:t>6</w:t>
      </w:r>
      <w:r w:rsidR="003A0233">
        <w:t xml:space="preserve">, </w:t>
      </w:r>
      <w:r>
        <w:t>and very little change in the firm size coefficients.</w:t>
      </w:r>
    </w:p>
    <w:p w14:paraId="37F3038E" w14:textId="77777777" w:rsidR="00A54EA8" w:rsidRDefault="00A54EA8" w:rsidP="00A54EA8">
      <w:pPr>
        <w:pStyle w:val="Heading2"/>
      </w:pPr>
      <w:bookmarkStart w:id="38" w:name="_Toc76121056"/>
      <w:r>
        <w:t>Density</w:t>
      </w:r>
      <w:bookmarkEnd w:id="38"/>
    </w:p>
    <w:p w14:paraId="65EFA631" w14:textId="5CAFB32C" w:rsidR="003A0233" w:rsidRDefault="003A0233" w:rsidP="00A54EA8">
      <w:r>
        <w:t>Next</w:t>
      </w:r>
      <w:r w:rsidR="0079722D">
        <w:t>,</w:t>
      </w:r>
      <w:r>
        <w:t xml:space="preserve"> we examined population and business density</w:t>
      </w:r>
      <w:r w:rsidR="00A54EA8">
        <w:t xml:space="preserve">.  Our prior expectation is that density is good for the adoption of these programs.  The spillover effects from large to small business hinted at in the previous section would seem to be more prevalent in dense rather than rural locations.  Furthermore, </w:t>
      </w:r>
      <w:r w:rsidR="0079722D">
        <w:t>the</w:t>
      </w:r>
      <w:r w:rsidR="00A54EA8">
        <w:t xml:space="preserve"> most rural locations would be least prone to receive outreach efforts from the </w:t>
      </w:r>
      <w:r w:rsidR="0005524B">
        <w:t>IOUs</w:t>
      </w:r>
      <w:r w:rsidR="00A54EA8">
        <w:t xml:space="preserve">.  </w:t>
      </w:r>
    </w:p>
    <w:p w14:paraId="0790C39F" w14:textId="52BA369D" w:rsidR="0039277E" w:rsidRDefault="003A0233" w:rsidP="003A0233">
      <w:r>
        <w:t>We looked at two</w:t>
      </w:r>
      <w:r w:rsidR="0079722D">
        <w:t xml:space="preserve"> </w:t>
      </w:r>
      <w:r>
        <w:t xml:space="preserve">measures of </w:t>
      </w:r>
      <w:r w:rsidR="0079722D">
        <w:t>density:</w:t>
      </w:r>
      <w:r>
        <w:t xml:space="preserve"> number of business entities per square kilometer and population per square kilometer. The following figures show a histogram of these variables </w:t>
      </w:r>
      <w:r w:rsidR="0079722D">
        <w:t xml:space="preserve">by </w:t>
      </w:r>
      <w:r>
        <w:t>ZIP Code</w:t>
      </w:r>
      <w:r w:rsidR="0079722D">
        <w:t xml:space="preserve"> after being normalized against the </w:t>
      </w:r>
      <w:r w:rsidR="00A933C6">
        <w:t>density</w:t>
      </w:r>
      <w:r w:rsidR="0079722D">
        <w:t xml:space="preserve"> ZIP Code in the data set. The distributions are</w:t>
      </w:r>
      <w:r>
        <w:t xml:space="preserve"> very skewed </w:t>
      </w:r>
      <w:r w:rsidR="0079722D">
        <w:t>to smaller values</w:t>
      </w:r>
      <w:r>
        <w:t>, with business density more skewed than population density.</w:t>
      </w:r>
    </w:p>
    <w:p w14:paraId="4CCE0731" w14:textId="77777777" w:rsidR="0039277E" w:rsidRDefault="0039277E">
      <w:pPr>
        <w:spacing w:after="0" w:line="240" w:lineRule="auto"/>
      </w:pPr>
      <w:r>
        <w:br w:type="page"/>
      </w:r>
    </w:p>
    <w:p w14:paraId="6611C4DD" w14:textId="77777777" w:rsidR="003A0233" w:rsidRDefault="003A0233" w:rsidP="003A0233"/>
    <w:p w14:paraId="0EFD8A48" w14:textId="2E3CA75A" w:rsidR="0079722D" w:rsidRDefault="0079722D" w:rsidP="0079722D">
      <w:pPr>
        <w:pStyle w:val="Caption"/>
      </w:pPr>
      <w:bookmarkStart w:id="39" w:name="_Toc76121117"/>
      <w:r>
        <w:t xml:space="preserve">Figure </w:t>
      </w:r>
      <w:r w:rsidR="00DB1658">
        <w:fldChar w:fldCharType="begin"/>
      </w:r>
      <w:r w:rsidR="00DB1658">
        <w:instrText xml:space="preserve"> SEQ Figure \* ARABIC </w:instrText>
      </w:r>
      <w:r w:rsidR="00DB1658">
        <w:fldChar w:fldCharType="separate"/>
      </w:r>
      <w:r w:rsidR="00A74C64">
        <w:rPr>
          <w:noProof/>
        </w:rPr>
        <w:t>6</w:t>
      </w:r>
      <w:r w:rsidR="00DB1658">
        <w:rPr>
          <w:noProof/>
        </w:rPr>
        <w:fldChar w:fldCharType="end"/>
      </w:r>
      <w:r>
        <w:t>. Histograms of Normalized Population and Business Density</w:t>
      </w:r>
      <w:bookmarkEnd w:id="39"/>
    </w:p>
    <w:p w14:paraId="17F0AF12" w14:textId="0F6EA902" w:rsidR="0079722D" w:rsidRPr="0079722D" w:rsidRDefault="0079722D" w:rsidP="0079722D">
      <w:r>
        <w:rPr>
          <w:noProof/>
        </w:rPr>
        <w:drawing>
          <wp:inline distT="0" distB="0" distL="0" distR="0" wp14:anchorId="2356686D" wp14:editId="03C20312">
            <wp:extent cx="5943600" cy="2236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236470"/>
                    </a:xfrm>
                    <a:prstGeom prst="rect">
                      <a:avLst/>
                    </a:prstGeom>
                  </pic:spPr>
                </pic:pic>
              </a:graphicData>
            </a:graphic>
          </wp:inline>
        </w:drawing>
      </w:r>
    </w:p>
    <w:p w14:paraId="57691352" w14:textId="6550E281" w:rsidR="003A0233" w:rsidRDefault="003A0233" w:rsidP="003A0233">
      <w:r>
        <w:t>To account for this skew</w:t>
      </w:r>
      <w:r w:rsidR="0079722D">
        <w:t xml:space="preserve">, we used </w:t>
      </w:r>
      <w:r>
        <w:t>log</w:t>
      </w:r>
      <w:r w:rsidR="0079722D" w:rsidRPr="0079722D">
        <w:rPr>
          <w:vertAlign w:val="subscript"/>
        </w:rPr>
        <w:t>10</w:t>
      </w:r>
      <w:r w:rsidR="0079722D">
        <w:t xml:space="preserve"> </w:t>
      </w:r>
      <w:r>
        <w:t xml:space="preserve">transformation to make </w:t>
      </w:r>
      <w:r w:rsidR="0079722D">
        <w:t>a more normal distribution</w:t>
      </w:r>
      <w:r>
        <w:t>, as seen by the following figure.</w:t>
      </w:r>
    </w:p>
    <w:p w14:paraId="33EDE82C" w14:textId="0AA6792A" w:rsidR="003A0233" w:rsidRDefault="0079722D" w:rsidP="0079722D">
      <w:pPr>
        <w:pStyle w:val="Caption"/>
      </w:pPr>
      <w:bookmarkStart w:id="40" w:name="_Toc76121118"/>
      <w:r>
        <w:t xml:space="preserve">Figure </w:t>
      </w:r>
      <w:r w:rsidR="00DB1658">
        <w:fldChar w:fldCharType="begin"/>
      </w:r>
      <w:r w:rsidR="00DB1658">
        <w:instrText xml:space="preserve"> SEQ Figure \* ARABIC </w:instrText>
      </w:r>
      <w:r w:rsidR="00DB1658">
        <w:fldChar w:fldCharType="separate"/>
      </w:r>
      <w:r w:rsidR="00A74C64">
        <w:rPr>
          <w:noProof/>
        </w:rPr>
        <w:t>7</w:t>
      </w:r>
      <w:r w:rsidR="00DB1658">
        <w:rPr>
          <w:noProof/>
        </w:rPr>
        <w:fldChar w:fldCharType="end"/>
      </w:r>
      <w:r>
        <w:t>. Histograms of Log Transforms for Population and Business Density</w:t>
      </w:r>
      <w:bookmarkEnd w:id="40"/>
    </w:p>
    <w:p w14:paraId="00276AB8" w14:textId="65BF396A" w:rsidR="0079722D" w:rsidRPr="0079722D" w:rsidRDefault="0079722D" w:rsidP="0079722D">
      <w:r>
        <w:rPr>
          <w:noProof/>
        </w:rPr>
        <w:drawing>
          <wp:inline distT="0" distB="0" distL="0" distR="0" wp14:anchorId="740A9216" wp14:editId="6D3D24BF">
            <wp:extent cx="5943600" cy="22402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240280"/>
                    </a:xfrm>
                    <a:prstGeom prst="rect">
                      <a:avLst/>
                    </a:prstGeom>
                  </pic:spPr>
                </pic:pic>
              </a:graphicData>
            </a:graphic>
          </wp:inline>
        </w:drawing>
      </w:r>
    </w:p>
    <w:p w14:paraId="4298E33A" w14:textId="77777777" w:rsidR="0039277E" w:rsidRDefault="003A0233" w:rsidP="003A0233">
      <w:r>
        <w:t xml:space="preserve">Next it was important to determine how these two </w:t>
      </w:r>
      <w:r w:rsidR="0079722D">
        <w:t>features</w:t>
      </w:r>
      <w:r>
        <w:t xml:space="preserve"> related to each other </w:t>
      </w:r>
      <w:r w:rsidR="0079722D">
        <w:t>to avoid</w:t>
      </w:r>
      <w:r>
        <w:t xml:space="preserve"> multicollinearity issues with </w:t>
      </w:r>
      <w:r w:rsidR="0079722D">
        <w:t>the</w:t>
      </w:r>
      <w:r>
        <w:t xml:space="preserve"> regression analysis. </w:t>
      </w:r>
    </w:p>
    <w:p w14:paraId="2D959CFF" w14:textId="77777777" w:rsidR="0039277E" w:rsidRDefault="0039277E">
      <w:pPr>
        <w:spacing w:after="0" w:line="240" w:lineRule="auto"/>
      </w:pPr>
      <w:r>
        <w:br w:type="page"/>
      </w:r>
    </w:p>
    <w:p w14:paraId="1264F49E" w14:textId="638B449F" w:rsidR="003A0233" w:rsidRDefault="003A0233" w:rsidP="003A0233">
      <w:r>
        <w:lastRenderedPageBreak/>
        <w:t>The following figure shows that they are very closely correlated</w:t>
      </w:r>
      <w:r w:rsidR="0079722D">
        <w:t>, an R-squared of 0.87</w:t>
      </w:r>
      <w:r>
        <w:t xml:space="preserve">, </w:t>
      </w:r>
      <w:r w:rsidR="0079722D">
        <w:t>which</w:t>
      </w:r>
      <w:r>
        <w:t xml:space="preserve"> means that we should utilize only one or the other of the two features.</w:t>
      </w:r>
    </w:p>
    <w:p w14:paraId="6A6CC132" w14:textId="20A7058F" w:rsidR="003A0233" w:rsidRDefault="0079722D" w:rsidP="0079722D">
      <w:pPr>
        <w:pStyle w:val="Caption"/>
      </w:pPr>
      <w:bookmarkStart w:id="41" w:name="_Toc76121119"/>
      <w:r>
        <w:t xml:space="preserve">Figure </w:t>
      </w:r>
      <w:r w:rsidR="00DB1658">
        <w:fldChar w:fldCharType="begin"/>
      </w:r>
      <w:r w:rsidR="00DB1658">
        <w:instrText xml:space="preserve"> SEQ Figure \* ARABIC </w:instrText>
      </w:r>
      <w:r w:rsidR="00DB1658">
        <w:fldChar w:fldCharType="separate"/>
      </w:r>
      <w:r w:rsidR="00A74C64">
        <w:rPr>
          <w:noProof/>
        </w:rPr>
        <w:t>8</w:t>
      </w:r>
      <w:r w:rsidR="00DB1658">
        <w:rPr>
          <w:noProof/>
        </w:rPr>
        <w:fldChar w:fldCharType="end"/>
      </w:r>
      <w:r>
        <w:t>. Log of Business Density vs. Log of Population Density</w:t>
      </w:r>
      <w:bookmarkEnd w:id="41"/>
    </w:p>
    <w:p w14:paraId="72BF3A85" w14:textId="736E2293" w:rsidR="0079722D" w:rsidRPr="0079722D" w:rsidRDefault="0079722D" w:rsidP="0079722D">
      <w:r>
        <w:rPr>
          <w:noProof/>
        </w:rPr>
        <w:drawing>
          <wp:inline distT="0" distB="0" distL="0" distR="0" wp14:anchorId="633156E3" wp14:editId="76DF3B79">
            <wp:extent cx="4584700" cy="275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84700" cy="2755900"/>
                    </a:xfrm>
                    <a:prstGeom prst="rect">
                      <a:avLst/>
                    </a:prstGeom>
                  </pic:spPr>
                </pic:pic>
              </a:graphicData>
            </a:graphic>
          </wp:inline>
        </w:drawing>
      </w:r>
    </w:p>
    <w:p w14:paraId="5232F893" w14:textId="4E05E872" w:rsidR="003A0233" w:rsidRDefault="003A0233" w:rsidP="003A0233">
      <w:r>
        <w:t>The following table shows the regression test results for the density variables.</w:t>
      </w:r>
    </w:p>
    <w:p w14:paraId="53B34843" w14:textId="724F23CA" w:rsidR="007E2493" w:rsidRDefault="007E2493" w:rsidP="007E2493">
      <w:pPr>
        <w:pStyle w:val="Caption"/>
      </w:pPr>
      <w:bookmarkStart w:id="42" w:name="_Toc76121105"/>
      <w:r>
        <w:t xml:space="preserve">Table </w:t>
      </w:r>
      <w:r w:rsidR="00DB1658">
        <w:fldChar w:fldCharType="begin"/>
      </w:r>
      <w:r w:rsidR="00DB1658">
        <w:instrText xml:space="preserve"> SEQ Table \* ARABIC </w:instrText>
      </w:r>
      <w:r w:rsidR="00DB1658">
        <w:fldChar w:fldCharType="separate"/>
      </w:r>
      <w:r w:rsidR="00A74C64">
        <w:rPr>
          <w:noProof/>
        </w:rPr>
        <w:t>12</w:t>
      </w:r>
      <w:r w:rsidR="00DB1658">
        <w:rPr>
          <w:noProof/>
        </w:rPr>
        <w:fldChar w:fldCharType="end"/>
      </w:r>
      <w:r>
        <w:t>.</w:t>
      </w:r>
      <w:r w:rsidR="008364F3">
        <w:t xml:space="preserve"> Individual Regression Results</w:t>
      </w:r>
      <w:r>
        <w:t xml:space="preserve"> for Site Penetration vs. Density Variables</w:t>
      </w:r>
      <w:bookmarkEnd w:id="42"/>
    </w:p>
    <w:tbl>
      <w:tblPr>
        <w:tblStyle w:val="TableGrid"/>
        <w:tblW w:w="0" w:type="auto"/>
        <w:tblLook w:val="04A0" w:firstRow="1" w:lastRow="0" w:firstColumn="1" w:lastColumn="0" w:noHBand="0" w:noVBand="1"/>
      </w:tblPr>
      <w:tblGrid>
        <w:gridCol w:w="3145"/>
        <w:gridCol w:w="1551"/>
        <w:gridCol w:w="1551"/>
        <w:gridCol w:w="1551"/>
      </w:tblGrid>
      <w:tr w:rsidR="00A933C6" w:rsidRPr="004C3994" w14:paraId="4A498540" w14:textId="77777777" w:rsidTr="00FE1CFE">
        <w:tc>
          <w:tcPr>
            <w:tcW w:w="3145" w:type="dxa"/>
            <w:shd w:val="clear" w:color="auto" w:fill="DBE5F1" w:themeFill="accent1" w:themeFillTint="33"/>
            <w:vAlign w:val="center"/>
          </w:tcPr>
          <w:p w14:paraId="65EF576B" w14:textId="77777777" w:rsidR="00A933C6" w:rsidRPr="004C3994" w:rsidRDefault="00A933C6" w:rsidP="00FE1CFE">
            <w:pPr>
              <w:pStyle w:val="Normal-Table"/>
              <w:rPr>
                <w:b/>
                <w:bCs w:val="0"/>
              </w:rPr>
            </w:pPr>
            <w:r>
              <w:rPr>
                <w:rFonts w:cs="Arial"/>
                <w:b/>
                <w:bCs w:val="0"/>
                <w:color w:val="000000"/>
                <w:szCs w:val="22"/>
              </w:rPr>
              <w:t>Feature</w:t>
            </w:r>
          </w:p>
        </w:tc>
        <w:tc>
          <w:tcPr>
            <w:tcW w:w="1551" w:type="dxa"/>
            <w:shd w:val="clear" w:color="auto" w:fill="DBE5F1" w:themeFill="accent1" w:themeFillTint="33"/>
            <w:vAlign w:val="center"/>
          </w:tcPr>
          <w:p w14:paraId="29F99BC2" w14:textId="77777777" w:rsidR="00A933C6" w:rsidRPr="004C3994" w:rsidRDefault="00A933C6" w:rsidP="00FE1CFE">
            <w:pPr>
              <w:pStyle w:val="Normal-Table"/>
              <w:jc w:val="right"/>
              <w:rPr>
                <w:b/>
                <w:bCs w:val="0"/>
              </w:rPr>
            </w:pPr>
            <w:r>
              <w:rPr>
                <w:rFonts w:cs="Arial"/>
                <w:b/>
                <w:bCs w:val="0"/>
                <w:color w:val="000000"/>
                <w:szCs w:val="22"/>
              </w:rPr>
              <w:t>Coeff</w:t>
            </w:r>
          </w:p>
        </w:tc>
        <w:tc>
          <w:tcPr>
            <w:tcW w:w="1551" w:type="dxa"/>
            <w:shd w:val="clear" w:color="auto" w:fill="DBE5F1" w:themeFill="accent1" w:themeFillTint="33"/>
            <w:vAlign w:val="center"/>
          </w:tcPr>
          <w:p w14:paraId="67D92CED" w14:textId="77777777" w:rsidR="00A933C6" w:rsidRDefault="00A933C6" w:rsidP="00FE1CFE">
            <w:pPr>
              <w:pStyle w:val="Normal-Table"/>
              <w:jc w:val="right"/>
              <w:rPr>
                <w:b/>
                <w:bCs w:val="0"/>
              </w:rPr>
            </w:pPr>
            <w:r>
              <w:rPr>
                <w:rFonts w:cs="Arial"/>
                <w:b/>
                <w:bCs w:val="0"/>
                <w:color w:val="000000"/>
                <w:szCs w:val="22"/>
              </w:rPr>
              <w:t>R</w:t>
            </w:r>
            <w:r>
              <w:rPr>
                <w:rFonts w:cs="Arial"/>
                <w:b/>
                <w:bCs w:val="0"/>
                <w:color w:val="000000"/>
                <w:szCs w:val="22"/>
                <w:vertAlign w:val="superscript"/>
              </w:rPr>
              <w:t>2</w:t>
            </w:r>
          </w:p>
        </w:tc>
        <w:tc>
          <w:tcPr>
            <w:tcW w:w="1551" w:type="dxa"/>
            <w:shd w:val="clear" w:color="auto" w:fill="DBE5F1" w:themeFill="accent1" w:themeFillTint="33"/>
            <w:vAlign w:val="center"/>
          </w:tcPr>
          <w:p w14:paraId="119D7CEE" w14:textId="77777777" w:rsidR="00A933C6" w:rsidRDefault="00A933C6" w:rsidP="00FE1CFE">
            <w:pPr>
              <w:pStyle w:val="Normal-Table"/>
              <w:jc w:val="right"/>
              <w:rPr>
                <w:b/>
                <w:bCs w:val="0"/>
              </w:rPr>
            </w:pPr>
            <w:r>
              <w:rPr>
                <w:rFonts w:cs="Arial"/>
                <w:b/>
                <w:bCs w:val="0"/>
                <w:color w:val="000000"/>
                <w:szCs w:val="22"/>
              </w:rPr>
              <w:t>p-value</w:t>
            </w:r>
          </w:p>
        </w:tc>
      </w:tr>
      <w:tr w:rsidR="00A933C6" w14:paraId="2B01163B" w14:textId="77777777" w:rsidTr="008D7885">
        <w:trPr>
          <w:trHeight w:val="354"/>
        </w:trPr>
        <w:tc>
          <w:tcPr>
            <w:tcW w:w="3145" w:type="dxa"/>
            <w:vAlign w:val="center"/>
          </w:tcPr>
          <w:p w14:paraId="0189CBFC" w14:textId="49AB454F" w:rsidR="00A933C6" w:rsidRDefault="00A933C6" w:rsidP="008D7885">
            <w:pPr>
              <w:pStyle w:val="Normal-Table"/>
            </w:pPr>
            <w:r>
              <w:rPr>
                <w:rFonts w:cs="Arial"/>
                <w:color w:val="000000"/>
                <w:szCs w:val="22"/>
              </w:rPr>
              <w:t>POP_DENSITY</w:t>
            </w:r>
          </w:p>
        </w:tc>
        <w:tc>
          <w:tcPr>
            <w:tcW w:w="1551" w:type="dxa"/>
            <w:vAlign w:val="center"/>
          </w:tcPr>
          <w:p w14:paraId="1E632CF5" w14:textId="5FD7B17F" w:rsidR="00A933C6" w:rsidRDefault="00A933C6" w:rsidP="008D7885">
            <w:pPr>
              <w:pStyle w:val="Normal-Table"/>
              <w:jc w:val="right"/>
            </w:pPr>
            <w:r>
              <w:rPr>
                <w:rFonts w:cs="Arial"/>
                <w:color w:val="000000"/>
                <w:szCs w:val="22"/>
              </w:rPr>
              <w:t>-0.0010</w:t>
            </w:r>
          </w:p>
        </w:tc>
        <w:tc>
          <w:tcPr>
            <w:tcW w:w="1551" w:type="dxa"/>
            <w:vAlign w:val="center"/>
          </w:tcPr>
          <w:p w14:paraId="5DC08580" w14:textId="3F36B2DA" w:rsidR="00A933C6" w:rsidRDefault="00A933C6" w:rsidP="008D7885">
            <w:pPr>
              <w:pStyle w:val="Normal-Table"/>
              <w:jc w:val="right"/>
            </w:pPr>
            <w:r>
              <w:rPr>
                <w:rFonts w:cs="Arial"/>
                <w:color w:val="000000"/>
                <w:szCs w:val="22"/>
              </w:rPr>
              <w:t xml:space="preserve">        0.0411 </w:t>
            </w:r>
          </w:p>
        </w:tc>
        <w:tc>
          <w:tcPr>
            <w:tcW w:w="1551" w:type="dxa"/>
            <w:vAlign w:val="center"/>
          </w:tcPr>
          <w:p w14:paraId="3DCE6451" w14:textId="0F88A8BC" w:rsidR="00A933C6" w:rsidRDefault="00A933C6" w:rsidP="008D7885">
            <w:pPr>
              <w:pStyle w:val="Normal-Table"/>
              <w:jc w:val="right"/>
            </w:pPr>
            <w:r>
              <w:rPr>
                <w:rFonts w:cs="Arial"/>
                <w:color w:val="000000"/>
                <w:szCs w:val="22"/>
              </w:rPr>
              <w:t>0.0000</w:t>
            </w:r>
          </w:p>
        </w:tc>
      </w:tr>
      <w:tr w:rsidR="00A933C6" w14:paraId="0C130710" w14:textId="77777777" w:rsidTr="008D7885">
        <w:trPr>
          <w:trHeight w:val="354"/>
        </w:trPr>
        <w:tc>
          <w:tcPr>
            <w:tcW w:w="3145" w:type="dxa"/>
            <w:vAlign w:val="center"/>
          </w:tcPr>
          <w:p w14:paraId="63BEA30F" w14:textId="21CAF912" w:rsidR="00A933C6" w:rsidRDefault="00A933C6" w:rsidP="008D7885">
            <w:pPr>
              <w:pStyle w:val="Normal-Table"/>
            </w:pPr>
            <w:r>
              <w:rPr>
                <w:rFonts w:cs="Arial"/>
                <w:color w:val="000000"/>
                <w:szCs w:val="22"/>
              </w:rPr>
              <w:t>POP_DENSITY_NORM</w:t>
            </w:r>
          </w:p>
        </w:tc>
        <w:tc>
          <w:tcPr>
            <w:tcW w:w="1551" w:type="dxa"/>
            <w:vAlign w:val="center"/>
          </w:tcPr>
          <w:p w14:paraId="2382572F" w14:textId="6421016C" w:rsidR="00A933C6" w:rsidRDefault="00A933C6" w:rsidP="008D7885">
            <w:pPr>
              <w:pStyle w:val="Normal-Table"/>
              <w:jc w:val="right"/>
            </w:pPr>
            <w:r>
              <w:rPr>
                <w:rFonts w:cs="Arial"/>
                <w:color w:val="000000"/>
                <w:szCs w:val="22"/>
              </w:rPr>
              <w:t>-22.7359</w:t>
            </w:r>
          </w:p>
        </w:tc>
        <w:tc>
          <w:tcPr>
            <w:tcW w:w="1551" w:type="dxa"/>
            <w:vAlign w:val="center"/>
          </w:tcPr>
          <w:p w14:paraId="5A576CA8" w14:textId="014D906A" w:rsidR="00A933C6" w:rsidRDefault="00A933C6" w:rsidP="008D7885">
            <w:pPr>
              <w:pStyle w:val="Normal-Table"/>
              <w:jc w:val="right"/>
            </w:pPr>
            <w:r>
              <w:rPr>
                <w:rFonts w:cs="Arial"/>
                <w:color w:val="000000"/>
                <w:szCs w:val="22"/>
              </w:rPr>
              <w:t xml:space="preserve">        0.0411 </w:t>
            </w:r>
          </w:p>
        </w:tc>
        <w:tc>
          <w:tcPr>
            <w:tcW w:w="1551" w:type="dxa"/>
            <w:vAlign w:val="center"/>
          </w:tcPr>
          <w:p w14:paraId="66F046EA" w14:textId="6B1F8F45" w:rsidR="00A933C6" w:rsidRDefault="00A933C6" w:rsidP="008D7885">
            <w:pPr>
              <w:pStyle w:val="Normal-Table"/>
              <w:jc w:val="right"/>
            </w:pPr>
            <w:r>
              <w:rPr>
                <w:rFonts w:cs="Arial"/>
                <w:color w:val="000000"/>
                <w:szCs w:val="22"/>
              </w:rPr>
              <w:t>0.0000</w:t>
            </w:r>
          </w:p>
        </w:tc>
      </w:tr>
      <w:tr w:rsidR="00A933C6" w14:paraId="47B353A0" w14:textId="77777777" w:rsidTr="008D7885">
        <w:trPr>
          <w:trHeight w:val="354"/>
        </w:trPr>
        <w:tc>
          <w:tcPr>
            <w:tcW w:w="3145" w:type="dxa"/>
            <w:vAlign w:val="center"/>
          </w:tcPr>
          <w:p w14:paraId="5102ACE7" w14:textId="6B8859D0" w:rsidR="00A933C6" w:rsidRDefault="00A933C6" w:rsidP="008D7885">
            <w:pPr>
              <w:pStyle w:val="Normal-Table"/>
            </w:pPr>
            <w:r>
              <w:rPr>
                <w:rFonts w:cs="Arial"/>
                <w:color w:val="000000"/>
                <w:szCs w:val="22"/>
              </w:rPr>
              <w:t>BIZ_DENSITY</w:t>
            </w:r>
          </w:p>
        </w:tc>
        <w:tc>
          <w:tcPr>
            <w:tcW w:w="1551" w:type="dxa"/>
            <w:vAlign w:val="center"/>
          </w:tcPr>
          <w:p w14:paraId="6EB00DAE" w14:textId="03446007" w:rsidR="00A933C6" w:rsidRDefault="00A933C6" w:rsidP="008D7885">
            <w:pPr>
              <w:pStyle w:val="Normal-Table"/>
              <w:jc w:val="right"/>
            </w:pPr>
            <w:r>
              <w:rPr>
                <w:rFonts w:cs="Arial"/>
                <w:color w:val="000000"/>
                <w:szCs w:val="22"/>
              </w:rPr>
              <w:t>-0.0102</w:t>
            </w:r>
          </w:p>
        </w:tc>
        <w:tc>
          <w:tcPr>
            <w:tcW w:w="1551" w:type="dxa"/>
            <w:vAlign w:val="center"/>
          </w:tcPr>
          <w:p w14:paraId="7309BE66" w14:textId="26AB3F84" w:rsidR="00A933C6" w:rsidRDefault="00A933C6" w:rsidP="008D7885">
            <w:pPr>
              <w:pStyle w:val="Normal-Table"/>
              <w:jc w:val="right"/>
            </w:pPr>
            <w:r>
              <w:rPr>
                <w:rFonts w:cs="Arial"/>
                <w:color w:val="000000"/>
                <w:szCs w:val="22"/>
              </w:rPr>
              <w:t xml:space="preserve">        0.0257 </w:t>
            </w:r>
          </w:p>
        </w:tc>
        <w:tc>
          <w:tcPr>
            <w:tcW w:w="1551" w:type="dxa"/>
            <w:vAlign w:val="center"/>
          </w:tcPr>
          <w:p w14:paraId="57DA485D" w14:textId="16E9482F" w:rsidR="00A933C6" w:rsidRDefault="00A933C6" w:rsidP="008D7885">
            <w:pPr>
              <w:pStyle w:val="Normal-Table"/>
              <w:jc w:val="right"/>
            </w:pPr>
            <w:r>
              <w:rPr>
                <w:rFonts w:cs="Arial"/>
                <w:color w:val="000000"/>
                <w:szCs w:val="22"/>
              </w:rPr>
              <w:t>0.0000</w:t>
            </w:r>
          </w:p>
        </w:tc>
      </w:tr>
      <w:tr w:rsidR="00A933C6" w14:paraId="07A1EA59" w14:textId="77777777" w:rsidTr="008D7885">
        <w:trPr>
          <w:trHeight w:val="354"/>
        </w:trPr>
        <w:tc>
          <w:tcPr>
            <w:tcW w:w="3145" w:type="dxa"/>
            <w:vAlign w:val="center"/>
          </w:tcPr>
          <w:p w14:paraId="459BEF46" w14:textId="52F7F967" w:rsidR="00A933C6" w:rsidRDefault="00A933C6" w:rsidP="008D7885">
            <w:pPr>
              <w:pStyle w:val="Normal-Table"/>
            </w:pPr>
            <w:r>
              <w:rPr>
                <w:rFonts w:cs="Arial"/>
                <w:color w:val="000000"/>
                <w:szCs w:val="22"/>
              </w:rPr>
              <w:t>BIZ_DENSITY_NORM</w:t>
            </w:r>
          </w:p>
        </w:tc>
        <w:tc>
          <w:tcPr>
            <w:tcW w:w="1551" w:type="dxa"/>
            <w:vAlign w:val="center"/>
          </w:tcPr>
          <w:p w14:paraId="0A373B95" w14:textId="291ED498" w:rsidR="00A933C6" w:rsidRDefault="00A933C6" w:rsidP="008D7885">
            <w:pPr>
              <w:pStyle w:val="Normal-Table"/>
              <w:jc w:val="right"/>
            </w:pPr>
            <w:r>
              <w:rPr>
                <w:rFonts w:cs="Arial"/>
                <w:color w:val="000000"/>
                <w:szCs w:val="22"/>
              </w:rPr>
              <w:t>-30.8777</w:t>
            </w:r>
          </w:p>
        </w:tc>
        <w:tc>
          <w:tcPr>
            <w:tcW w:w="1551" w:type="dxa"/>
            <w:vAlign w:val="center"/>
          </w:tcPr>
          <w:p w14:paraId="03F56CDE" w14:textId="7604201F" w:rsidR="00A933C6" w:rsidRDefault="00A933C6" w:rsidP="008D7885">
            <w:pPr>
              <w:pStyle w:val="Normal-Table"/>
              <w:jc w:val="right"/>
            </w:pPr>
            <w:r>
              <w:rPr>
                <w:rFonts w:cs="Arial"/>
                <w:color w:val="000000"/>
                <w:szCs w:val="22"/>
              </w:rPr>
              <w:t xml:space="preserve">        0.0257 </w:t>
            </w:r>
          </w:p>
        </w:tc>
        <w:tc>
          <w:tcPr>
            <w:tcW w:w="1551" w:type="dxa"/>
            <w:vAlign w:val="center"/>
          </w:tcPr>
          <w:p w14:paraId="795E3ACA" w14:textId="235E7DEE" w:rsidR="00A933C6" w:rsidRDefault="00A933C6" w:rsidP="008D7885">
            <w:pPr>
              <w:pStyle w:val="Normal-Table"/>
              <w:jc w:val="right"/>
            </w:pPr>
            <w:r>
              <w:rPr>
                <w:rFonts w:cs="Arial"/>
                <w:color w:val="000000"/>
                <w:szCs w:val="22"/>
              </w:rPr>
              <w:t>0.0000</w:t>
            </w:r>
          </w:p>
        </w:tc>
      </w:tr>
      <w:tr w:rsidR="00A933C6" w14:paraId="30C530DD" w14:textId="77777777" w:rsidTr="008D7885">
        <w:trPr>
          <w:trHeight w:val="354"/>
        </w:trPr>
        <w:tc>
          <w:tcPr>
            <w:tcW w:w="3145" w:type="dxa"/>
            <w:vAlign w:val="center"/>
          </w:tcPr>
          <w:p w14:paraId="69A80224" w14:textId="14C259CB" w:rsidR="00A933C6" w:rsidRDefault="00A933C6" w:rsidP="008D7885">
            <w:pPr>
              <w:pStyle w:val="Normal-Table"/>
            </w:pPr>
            <w:proofErr w:type="spellStart"/>
            <w:r>
              <w:rPr>
                <w:rFonts w:cs="Arial"/>
                <w:color w:val="000000"/>
                <w:szCs w:val="22"/>
              </w:rPr>
              <w:t>log_BIZ_DENSITY_NORM</w:t>
            </w:r>
            <w:proofErr w:type="spellEnd"/>
          </w:p>
        </w:tc>
        <w:tc>
          <w:tcPr>
            <w:tcW w:w="1551" w:type="dxa"/>
            <w:vAlign w:val="center"/>
          </w:tcPr>
          <w:p w14:paraId="6D67068D" w14:textId="126100F5" w:rsidR="00A933C6" w:rsidRDefault="00A933C6" w:rsidP="008D7885">
            <w:pPr>
              <w:pStyle w:val="Normal-Table"/>
              <w:jc w:val="right"/>
            </w:pPr>
            <w:r>
              <w:rPr>
                <w:rFonts w:cs="Arial"/>
                <w:color w:val="000000"/>
                <w:szCs w:val="22"/>
              </w:rPr>
              <w:t>-6.7620</w:t>
            </w:r>
          </w:p>
        </w:tc>
        <w:tc>
          <w:tcPr>
            <w:tcW w:w="1551" w:type="dxa"/>
            <w:vAlign w:val="center"/>
          </w:tcPr>
          <w:p w14:paraId="24734982" w14:textId="5C5109DB" w:rsidR="00A933C6" w:rsidRDefault="00A933C6" w:rsidP="008D7885">
            <w:pPr>
              <w:pStyle w:val="Normal-Table"/>
              <w:jc w:val="right"/>
            </w:pPr>
            <w:r>
              <w:rPr>
                <w:rFonts w:cs="Arial"/>
                <w:color w:val="000000"/>
                <w:szCs w:val="22"/>
              </w:rPr>
              <w:t xml:space="preserve">        0.1970 </w:t>
            </w:r>
          </w:p>
        </w:tc>
        <w:tc>
          <w:tcPr>
            <w:tcW w:w="1551" w:type="dxa"/>
            <w:vAlign w:val="center"/>
          </w:tcPr>
          <w:p w14:paraId="75D7C47C" w14:textId="499C3C3E" w:rsidR="00A933C6" w:rsidRDefault="00A933C6" w:rsidP="008D7885">
            <w:pPr>
              <w:pStyle w:val="Normal-Table"/>
              <w:jc w:val="right"/>
            </w:pPr>
            <w:r>
              <w:rPr>
                <w:rFonts w:cs="Arial"/>
                <w:color w:val="000000"/>
                <w:szCs w:val="22"/>
              </w:rPr>
              <w:t>0.0000</w:t>
            </w:r>
          </w:p>
        </w:tc>
      </w:tr>
      <w:tr w:rsidR="00A933C6" w14:paraId="48101ED7" w14:textId="77777777" w:rsidTr="008D7885">
        <w:trPr>
          <w:trHeight w:val="354"/>
        </w:trPr>
        <w:tc>
          <w:tcPr>
            <w:tcW w:w="3145" w:type="dxa"/>
            <w:vAlign w:val="center"/>
          </w:tcPr>
          <w:p w14:paraId="12FCBF81" w14:textId="5E52D54C" w:rsidR="00A933C6" w:rsidRDefault="00A933C6" w:rsidP="008D7885">
            <w:pPr>
              <w:pStyle w:val="Normal-Table"/>
              <w:rPr>
                <w:rFonts w:cs="Arial"/>
                <w:color w:val="000000"/>
                <w:szCs w:val="22"/>
              </w:rPr>
            </w:pPr>
            <w:proofErr w:type="spellStart"/>
            <w:r>
              <w:rPr>
                <w:rFonts w:cs="Arial"/>
                <w:color w:val="000000"/>
                <w:szCs w:val="22"/>
              </w:rPr>
              <w:t>log_POP_DENSITY_NORM</w:t>
            </w:r>
            <w:proofErr w:type="spellEnd"/>
          </w:p>
        </w:tc>
        <w:tc>
          <w:tcPr>
            <w:tcW w:w="1551" w:type="dxa"/>
            <w:vAlign w:val="center"/>
          </w:tcPr>
          <w:p w14:paraId="054B7349" w14:textId="2ACDB0F5" w:rsidR="00A933C6" w:rsidRDefault="00A933C6" w:rsidP="008D7885">
            <w:pPr>
              <w:pStyle w:val="Normal-Table"/>
              <w:jc w:val="right"/>
              <w:rPr>
                <w:rFonts w:cs="Arial"/>
                <w:color w:val="000000"/>
                <w:szCs w:val="22"/>
              </w:rPr>
            </w:pPr>
            <w:r>
              <w:rPr>
                <w:rFonts w:cs="Arial"/>
                <w:color w:val="000000"/>
                <w:szCs w:val="22"/>
              </w:rPr>
              <w:t>-6.3546</w:t>
            </w:r>
          </w:p>
        </w:tc>
        <w:tc>
          <w:tcPr>
            <w:tcW w:w="1551" w:type="dxa"/>
            <w:vAlign w:val="center"/>
          </w:tcPr>
          <w:p w14:paraId="3A926C92" w14:textId="300A7382" w:rsidR="00A933C6" w:rsidRDefault="00A933C6" w:rsidP="008D7885">
            <w:pPr>
              <w:pStyle w:val="Normal-Table"/>
              <w:jc w:val="right"/>
              <w:rPr>
                <w:rFonts w:cs="Arial"/>
                <w:color w:val="000000"/>
                <w:szCs w:val="22"/>
              </w:rPr>
            </w:pPr>
            <w:r>
              <w:rPr>
                <w:rFonts w:cs="Arial"/>
                <w:color w:val="000000"/>
                <w:szCs w:val="22"/>
              </w:rPr>
              <w:t xml:space="preserve">        0.1346 </w:t>
            </w:r>
          </w:p>
        </w:tc>
        <w:tc>
          <w:tcPr>
            <w:tcW w:w="1551" w:type="dxa"/>
            <w:vAlign w:val="center"/>
          </w:tcPr>
          <w:p w14:paraId="1E5BE798" w14:textId="1BFE072A" w:rsidR="00A933C6" w:rsidRDefault="00A933C6" w:rsidP="008D7885">
            <w:pPr>
              <w:pStyle w:val="Normal-Table"/>
              <w:jc w:val="right"/>
              <w:rPr>
                <w:rFonts w:cs="Arial"/>
                <w:color w:val="000000"/>
                <w:szCs w:val="22"/>
              </w:rPr>
            </w:pPr>
            <w:r>
              <w:rPr>
                <w:rFonts w:cs="Arial"/>
                <w:color w:val="000000"/>
                <w:szCs w:val="22"/>
              </w:rPr>
              <w:t>0.0000</w:t>
            </w:r>
          </w:p>
        </w:tc>
      </w:tr>
    </w:tbl>
    <w:p w14:paraId="3DE8A783" w14:textId="77777777" w:rsidR="008D7885" w:rsidRDefault="008D7885" w:rsidP="008364F3">
      <w:pPr>
        <w:pStyle w:val="Normal-Table"/>
      </w:pPr>
    </w:p>
    <w:p w14:paraId="69054710" w14:textId="4EF263F7" w:rsidR="0039277E" w:rsidRDefault="008D7885" w:rsidP="0039277E">
      <w:r>
        <w:t xml:space="preserve">These </w:t>
      </w:r>
      <w:r w:rsidR="003A0233">
        <w:t xml:space="preserve">results show that, as </w:t>
      </w:r>
      <w:r>
        <w:t>expected</w:t>
      </w:r>
      <w:r w:rsidR="003A0233">
        <w:t xml:space="preserve">, log-transform results are much more correlated with site penetrations, and it also shows that the business density explains </w:t>
      </w:r>
      <w:r>
        <w:t xml:space="preserve">significantly </w:t>
      </w:r>
      <w:r w:rsidR="003A0233">
        <w:t>more variance than population</w:t>
      </w:r>
      <w:r>
        <w:t>. Since the</w:t>
      </w:r>
      <w:r w:rsidR="003A0233">
        <w:t xml:space="preserve"> participation data is for businesses</w:t>
      </w:r>
      <w:r>
        <w:t>, it would follow that business density has a higher explanatory power</w:t>
      </w:r>
      <w:r w:rsidR="003A0233">
        <w:t>.</w:t>
      </w:r>
      <w:r w:rsidR="0039277E">
        <w:t xml:space="preserve"> </w:t>
      </w:r>
      <w:r>
        <w:t>The following</w:t>
      </w:r>
      <w:r w:rsidR="0079722D">
        <w:t xml:space="preserve"> graph</w:t>
      </w:r>
      <w:r>
        <w:t xml:space="preserve"> shows what the scatter plot of site penetrations and the log of business density looks like</w:t>
      </w:r>
      <w:r w:rsidR="0079722D">
        <w:t>.</w:t>
      </w:r>
    </w:p>
    <w:p w14:paraId="215B8462" w14:textId="77777777" w:rsidR="0039277E" w:rsidRDefault="0039277E">
      <w:pPr>
        <w:spacing w:after="0" w:line="240" w:lineRule="auto"/>
      </w:pPr>
      <w:r>
        <w:br w:type="page"/>
      </w:r>
    </w:p>
    <w:p w14:paraId="30399A00" w14:textId="77777777" w:rsidR="0079722D" w:rsidRDefault="0079722D" w:rsidP="0039277E"/>
    <w:p w14:paraId="4CF4C59B" w14:textId="4C5B0802" w:rsidR="007E2493" w:rsidRDefault="007E2493" w:rsidP="007E2493">
      <w:pPr>
        <w:pStyle w:val="Caption"/>
      </w:pPr>
      <w:bookmarkStart w:id="43" w:name="_Toc76121120"/>
      <w:r>
        <w:t xml:space="preserve">Figure </w:t>
      </w:r>
      <w:r w:rsidR="00DB1658">
        <w:fldChar w:fldCharType="begin"/>
      </w:r>
      <w:r w:rsidR="00DB1658">
        <w:instrText xml:space="preserve"> SEQ Figure \* ARABIC </w:instrText>
      </w:r>
      <w:r w:rsidR="00DB1658">
        <w:fldChar w:fldCharType="separate"/>
      </w:r>
      <w:r w:rsidR="00A74C64">
        <w:rPr>
          <w:noProof/>
        </w:rPr>
        <w:t>9</w:t>
      </w:r>
      <w:r w:rsidR="00DB1658">
        <w:rPr>
          <w:noProof/>
        </w:rPr>
        <w:fldChar w:fldCharType="end"/>
      </w:r>
      <w:r>
        <w:t>. Site Penetration vs. Log of Business Density</w:t>
      </w:r>
      <w:bookmarkEnd w:id="43"/>
    </w:p>
    <w:p w14:paraId="09CCB57C" w14:textId="478B3EFF" w:rsidR="0079722D" w:rsidRDefault="0079722D" w:rsidP="003A0233">
      <w:r>
        <w:rPr>
          <w:noProof/>
        </w:rPr>
        <w:drawing>
          <wp:inline distT="0" distB="0" distL="0" distR="0" wp14:anchorId="43FC8F22" wp14:editId="53F6366D">
            <wp:extent cx="3831146" cy="2302933"/>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31545" cy="2303173"/>
                    </a:xfrm>
                    <a:prstGeom prst="rect">
                      <a:avLst/>
                    </a:prstGeom>
                  </pic:spPr>
                </pic:pic>
              </a:graphicData>
            </a:graphic>
          </wp:inline>
        </w:drawing>
      </w:r>
    </w:p>
    <w:p w14:paraId="006696C5" w14:textId="0F3A1F0A" w:rsidR="003A0233" w:rsidRDefault="007E054A" w:rsidP="003A0233">
      <w:r>
        <w:t>Interpreting logs can be slightly difficult. We can observe that a 10% increase in the normalized business density leads to a drop of 0.28 percentage points in uptake.</w:t>
      </w:r>
      <w:r>
        <w:rPr>
          <w:rStyle w:val="FootnoteReference"/>
        </w:rPr>
        <w:footnoteReference w:id="10"/>
      </w:r>
      <w:r>
        <w:t xml:space="preserve"> Essentially this means that we see participation rates increase dramatically for the least dense ZIP Codes, which is contrary to our hypothesis. This deserves some additional comment.  An alternative hypothesis is that only those zip codes that are most distant from urban areas are detached from outreach efforts. However additional analysis that looked at slices of the most rural zip codes, those with normalized population density less than 5% or less than 1%, found the same negative general relationship held. Specifically, that the most rural ZIP Codes had significantly higher average site penetrations. </w:t>
      </w:r>
      <w:r>
        <w:fldChar w:fldCharType="begin"/>
      </w:r>
      <w:r>
        <w:instrText xml:space="preserve"> REF _Ref74839674 \h </w:instrText>
      </w:r>
      <w:r>
        <w:fldChar w:fldCharType="separate"/>
      </w:r>
      <w:r w:rsidR="00A74C64">
        <w:t xml:space="preserve">Table </w:t>
      </w:r>
      <w:r w:rsidR="00A74C64">
        <w:rPr>
          <w:noProof/>
        </w:rPr>
        <w:t>11</w:t>
      </w:r>
      <w:r>
        <w:fldChar w:fldCharType="end"/>
      </w:r>
      <w:r>
        <w:t xml:space="preserve"> takes</w:t>
      </w:r>
      <w:r w:rsidR="003A0233">
        <w:t xml:space="preserve"> the regression from the previous section </w:t>
      </w:r>
      <w:r>
        <w:t>and adds</w:t>
      </w:r>
      <w:r w:rsidR="003A0233">
        <w:t xml:space="preserve"> the log of business density feature.</w:t>
      </w:r>
    </w:p>
    <w:p w14:paraId="4D52F847" w14:textId="6A41E7B1" w:rsidR="008D7885" w:rsidRDefault="008D7885" w:rsidP="008D7885">
      <w:pPr>
        <w:pStyle w:val="Caption"/>
      </w:pPr>
      <w:bookmarkStart w:id="44" w:name="_Toc76121106"/>
      <w:r>
        <w:t xml:space="preserve">Table </w:t>
      </w:r>
      <w:r w:rsidR="00DB1658">
        <w:fldChar w:fldCharType="begin"/>
      </w:r>
      <w:r w:rsidR="00DB1658">
        <w:instrText xml:space="preserve"> SEQ Table \* ARABIC </w:instrText>
      </w:r>
      <w:r w:rsidR="00DB1658">
        <w:fldChar w:fldCharType="separate"/>
      </w:r>
      <w:r w:rsidR="00A74C64">
        <w:rPr>
          <w:noProof/>
        </w:rPr>
        <w:t>13</w:t>
      </w:r>
      <w:r w:rsidR="00DB1658">
        <w:rPr>
          <w:noProof/>
        </w:rPr>
        <w:fldChar w:fldCharType="end"/>
      </w:r>
      <w:r>
        <w:t xml:space="preserve">. Site Penetration vs. Firm Size, </w:t>
      </w:r>
      <w:r w:rsidR="007E054A">
        <w:t>CES3.0, and Density</w:t>
      </w:r>
      <w:bookmarkEnd w:id="44"/>
    </w:p>
    <w:tbl>
      <w:tblPr>
        <w:tblStyle w:val="TableGrid"/>
        <w:tblW w:w="0" w:type="auto"/>
        <w:tblLook w:val="04A0" w:firstRow="1" w:lastRow="0" w:firstColumn="1" w:lastColumn="0" w:noHBand="0" w:noVBand="1"/>
      </w:tblPr>
      <w:tblGrid>
        <w:gridCol w:w="3591"/>
        <w:gridCol w:w="1474"/>
        <w:gridCol w:w="1451"/>
        <w:gridCol w:w="1405"/>
        <w:gridCol w:w="1429"/>
      </w:tblGrid>
      <w:tr w:rsidR="00A933C6" w:rsidRPr="004C3994" w14:paraId="344D75A1" w14:textId="77777777" w:rsidTr="00FE1CFE">
        <w:tc>
          <w:tcPr>
            <w:tcW w:w="7921" w:type="dxa"/>
            <w:gridSpan w:val="4"/>
            <w:tcBorders>
              <w:bottom w:val="nil"/>
              <w:right w:val="nil"/>
            </w:tcBorders>
            <w:shd w:val="clear" w:color="auto" w:fill="DBE5F1" w:themeFill="accent1" w:themeFillTint="33"/>
            <w:vAlign w:val="bottom"/>
          </w:tcPr>
          <w:p w14:paraId="030BA871" w14:textId="2A91160B" w:rsidR="00A933C6" w:rsidRDefault="00A933C6" w:rsidP="00A933C6">
            <w:pPr>
              <w:pStyle w:val="Normal-Table"/>
              <w:jc w:val="right"/>
              <w:rPr>
                <w:rFonts w:cs="Arial"/>
                <w:b/>
                <w:bCs w:val="0"/>
                <w:color w:val="000000"/>
                <w:szCs w:val="22"/>
              </w:rPr>
            </w:pPr>
            <w:r>
              <w:rPr>
                <w:rFonts w:cs="Arial"/>
                <w:b/>
                <w:bCs w:val="0"/>
                <w:color w:val="000000"/>
                <w:szCs w:val="22"/>
              </w:rPr>
              <w:t>R-squared</w:t>
            </w:r>
          </w:p>
        </w:tc>
        <w:tc>
          <w:tcPr>
            <w:tcW w:w="1429" w:type="dxa"/>
            <w:tcBorders>
              <w:left w:val="nil"/>
              <w:bottom w:val="nil"/>
            </w:tcBorders>
            <w:shd w:val="clear" w:color="auto" w:fill="DBE5F1" w:themeFill="accent1" w:themeFillTint="33"/>
            <w:vAlign w:val="bottom"/>
          </w:tcPr>
          <w:p w14:paraId="7149B90F" w14:textId="2B4DB942" w:rsidR="00A933C6" w:rsidRDefault="00A933C6" w:rsidP="00A933C6">
            <w:pPr>
              <w:pStyle w:val="Normal-Table"/>
              <w:jc w:val="right"/>
              <w:rPr>
                <w:rFonts w:cs="Arial"/>
                <w:b/>
                <w:bCs w:val="0"/>
                <w:color w:val="000000"/>
                <w:szCs w:val="22"/>
              </w:rPr>
            </w:pPr>
            <w:r>
              <w:rPr>
                <w:rFonts w:cs="Arial"/>
                <w:color w:val="000000"/>
                <w:szCs w:val="22"/>
              </w:rPr>
              <w:t>0.363</w:t>
            </w:r>
          </w:p>
        </w:tc>
      </w:tr>
      <w:tr w:rsidR="00A933C6" w:rsidRPr="004C3994" w14:paraId="300F73D3" w14:textId="77777777" w:rsidTr="00FE1CFE">
        <w:tc>
          <w:tcPr>
            <w:tcW w:w="7921" w:type="dxa"/>
            <w:gridSpan w:val="4"/>
            <w:tcBorders>
              <w:top w:val="nil"/>
              <w:right w:val="nil"/>
            </w:tcBorders>
            <w:shd w:val="clear" w:color="auto" w:fill="DBE5F1" w:themeFill="accent1" w:themeFillTint="33"/>
            <w:vAlign w:val="bottom"/>
          </w:tcPr>
          <w:p w14:paraId="1AA671BD" w14:textId="77777777" w:rsidR="00A933C6" w:rsidRDefault="00A933C6" w:rsidP="00A933C6">
            <w:pPr>
              <w:pStyle w:val="Normal-Table"/>
              <w:jc w:val="right"/>
              <w:rPr>
                <w:rFonts w:cs="Arial"/>
                <w:b/>
                <w:bCs w:val="0"/>
                <w:color w:val="000000"/>
                <w:szCs w:val="22"/>
              </w:rPr>
            </w:pPr>
            <w:r>
              <w:rPr>
                <w:rFonts w:cs="Arial"/>
                <w:b/>
                <w:bCs w:val="0"/>
                <w:color w:val="000000"/>
                <w:szCs w:val="22"/>
              </w:rPr>
              <w:t>Adjusted R-Squared:</w:t>
            </w:r>
          </w:p>
        </w:tc>
        <w:tc>
          <w:tcPr>
            <w:tcW w:w="1429" w:type="dxa"/>
            <w:tcBorders>
              <w:top w:val="nil"/>
              <w:left w:val="nil"/>
            </w:tcBorders>
            <w:shd w:val="clear" w:color="auto" w:fill="DBE5F1" w:themeFill="accent1" w:themeFillTint="33"/>
            <w:vAlign w:val="bottom"/>
          </w:tcPr>
          <w:p w14:paraId="7E6627BD" w14:textId="39B67D81" w:rsidR="00A933C6" w:rsidRDefault="00A933C6" w:rsidP="00A933C6">
            <w:pPr>
              <w:pStyle w:val="Normal-Table"/>
              <w:jc w:val="right"/>
              <w:rPr>
                <w:rFonts w:cs="Arial"/>
                <w:b/>
                <w:bCs w:val="0"/>
                <w:color w:val="000000"/>
                <w:szCs w:val="22"/>
              </w:rPr>
            </w:pPr>
            <w:r>
              <w:rPr>
                <w:rFonts w:cs="Arial"/>
                <w:color w:val="000000"/>
                <w:szCs w:val="22"/>
              </w:rPr>
              <w:t>0.359</w:t>
            </w:r>
          </w:p>
        </w:tc>
      </w:tr>
      <w:tr w:rsidR="008D7885" w:rsidRPr="004C3994" w14:paraId="52670955" w14:textId="77777777" w:rsidTr="008D7885">
        <w:trPr>
          <w:trHeight w:val="350"/>
        </w:trPr>
        <w:tc>
          <w:tcPr>
            <w:tcW w:w="3591" w:type="dxa"/>
            <w:shd w:val="clear" w:color="auto" w:fill="DBE5F1" w:themeFill="accent1" w:themeFillTint="33"/>
            <w:vAlign w:val="bottom"/>
          </w:tcPr>
          <w:p w14:paraId="5BDB2A5C" w14:textId="77777777" w:rsidR="008D7885" w:rsidRPr="004C3994" w:rsidRDefault="008D7885" w:rsidP="00FE1CFE">
            <w:pPr>
              <w:pStyle w:val="Normal-Table"/>
              <w:rPr>
                <w:b/>
                <w:bCs w:val="0"/>
              </w:rPr>
            </w:pPr>
            <w:r>
              <w:rPr>
                <w:rFonts w:cs="Arial"/>
                <w:b/>
                <w:bCs w:val="0"/>
                <w:color w:val="000000"/>
                <w:szCs w:val="22"/>
              </w:rPr>
              <w:t>Feature</w:t>
            </w:r>
          </w:p>
        </w:tc>
        <w:tc>
          <w:tcPr>
            <w:tcW w:w="1474" w:type="dxa"/>
            <w:shd w:val="clear" w:color="auto" w:fill="DBE5F1" w:themeFill="accent1" w:themeFillTint="33"/>
            <w:vAlign w:val="bottom"/>
          </w:tcPr>
          <w:p w14:paraId="01F4FAEB" w14:textId="77777777" w:rsidR="008D7885" w:rsidRPr="004C3994" w:rsidRDefault="008D7885" w:rsidP="00FE1CFE">
            <w:pPr>
              <w:pStyle w:val="Normal-Table"/>
              <w:jc w:val="right"/>
              <w:rPr>
                <w:b/>
                <w:bCs w:val="0"/>
              </w:rPr>
            </w:pPr>
            <w:r>
              <w:rPr>
                <w:rFonts w:cs="Arial"/>
                <w:b/>
                <w:bCs w:val="0"/>
                <w:color w:val="000000"/>
                <w:szCs w:val="22"/>
              </w:rPr>
              <w:t>Coeff</w:t>
            </w:r>
          </w:p>
        </w:tc>
        <w:tc>
          <w:tcPr>
            <w:tcW w:w="1451" w:type="dxa"/>
            <w:shd w:val="clear" w:color="auto" w:fill="DBE5F1" w:themeFill="accent1" w:themeFillTint="33"/>
            <w:vAlign w:val="bottom"/>
          </w:tcPr>
          <w:p w14:paraId="2E4AC7A3" w14:textId="77777777" w:rsidR="008D7885" w:rsidRDefault="008D7885" w:rsidP="00FE1CFE">
            <w:pPr>
              <w:pStyle w:val="Normal-Table"/>
              <w:jc w:val="right"/>
              <w:rPr>
                <w:b/>
                <w:bCs w:val="0"/>
              </w:rPr>
            </w:pPr>
            <w:r>
              <w:rPr>
                <w:rFonts w:cs="Arial"/>
                <w:b/>
                <w:bCs w:val="0"/>
                <w:color w:val="000000"/>
                <w:szCs w:val="22"/>
              </w:rPr>
              <w:t>Std Err</w:t>
            </w:r>
          </w:p>
        </w:tc>
        <w:tc>
          <w:tcPr>
            <w:tcW w:w="1405" w:type="dxa"/>
            <w:shd w:val="clear" w:color="auto" w:fill="DBE5F1" w:themeFill="accent1" w:themeFillTint="33"/>
            <w:vAlign w:val="bottom"/>
          </w:tcPr>
          <w:p w14:paraId="05D98FE3" w14:textId="77777777" w:rsidR="008D7885" w:rsidRDefault="008D7885" w:rsidP="00FE1CFE">
            <w:pPr>
              <w:pStyle w:val="Normal-Table"/>
              <w:jc w:val="right"/>
              <w:rPr>
                <w:b/>
                <w:bCs w:val="0"/>
              </w:rPr>
            </w:pPr>
            <w:r>
              <w:rPr>
                <w:rFonts w:cs="Arial"/>
                <w:b/>
                <w:bCs w:val="0"/>
                <w:color w:val="000000"/>
                <w:szCs w:val="22"/>
              </w:rPr>
              <w:t>t</w:t>
            </w:r>
          </w:p>
        </w:tc>
        <w:tc>
          <w:tcPr>
            <w:tcW w:w="1429" w:type="dxa"/>
            <w:shd w:val="clear" w:color="auto" w:fill="DBE5F1" w:themeFill="accent1" w:themeFillTint="33"/>
            <w:vAlign w:val="bottom"/>
          </w:tcPr>
          <w:p w14:paraId="0671AF84" w14:textId="77777777" w:rsidR="008D7885" w:rsidRDefault="008D7885" w:rsidP="00FE1CFE">
            <w:pPr>
              <w:pStyle w:val="Normal-Table"/>
              <w:jc w:val="right"/>
              <w:rPr>
                <w:b/>
                <w:bCs w:val="0"/>
              </w:rPr>
            </w:pPr>
            <w:r>
              <w:rPr>
                <w:rFonts w:cs="Arial"/>
                <w:b/>
                <w:bCs w:val="0"/>
                <w:color w:val="000000"/>
                <w:szCs w:val="22"/>
              </w:rPr>
              <w:t>P&gt;|t|</w:t>
            </w:r>
          </w:p>
        </w:tc>
      </w:tr>
      <w:tr w:rsidR="00A933C6" w14:paraId="693FC6A2" w14:textId="77777777" w:rsidTr="000E05E6">
        <w:trPr>
          <w:trHeight w:val="350"/>
        </w:trPr>
        <w:tc>
          <w:tcPr>
            <w:tcW w:w="3591" w:type="dxa"/>
          </w:tcPr>
          <w:p w14:paraId="55DDEC6D" w14:textId="43FFFC6E" w:rsidR="00A933C6" w:rsidRDefault="00A933C6" w:rsidP="00A933C6">
            <w:pPr>
              <w:pStyle w:val="Normal-Table"/>
            </w:pPr>
            <w:r>
              <w:rPr>
                <w:rFonts w:cs="Arial"/>
                <w:color w:val="000000"/>
                <w:szCs w:val="22"/>
              </w:rPr>
              <w:t>Intercept</w:t>
            </w:r>
          </w:p>
        </w:tc>
        <w:tc>
          <w:tcPr>
            <w:tcW w:w="1474" w:type="dxa"/>
            <w:vAlign w:val="center"/>
          </w:tcPr>
          <w:p w14:paraId="3DC3F6AD" w14:textId="34A84514" w:rsidR="00A933C6" w:rsidRDefault="00A933C6" w:rsidP="00A933C6">
            <w:pPr>
              <w:pStyle w:val="Normal-Table"/>
              <w:jc w:val="right"/>
            </w:pPr>
            <w:r>
              <w:rPr>
                <w:rFonts w:cs="Arial"/>
                <w:color w:val="000000"/>
                <w:szCs w:val="22"/>
              </w:rPr>
              <w:t>218.6979</w:t>
            </w:r>
          </w:p>
        </w:tc>
        <w:tc>
          <w:tcPr>
            <w:tcW w:w="1451" w:type="dxa"/>
            <w:vAlign w:val="center"/>
          </w:tcPr>
          <w:p w14:paraId="21DB25F6" w14:textId="53E4CFD9" w:rsidR="00A933C6" w:rsidRDefault="00A933C6" w:rsidP="00A933C6">
            <w:pPr>
              <w:pStyle w:val="Normal-Table"/>
              <w:jc w:val="right"/>
            </w:pPr>
            <w:r>
              <w:rPr>
                <w:rFonts w:cs="Arial"/>
                <w:color w:val="000000"/>
                <w:szCs w:val="22"/>
              </w:rPr>
              <w:t xml:space="preserve">      19.4740 </w:t>
            </w:r>
          </w:p>
        </w:tc>
        <w:tc>
          <w:tcPr>
            <w:tcW w:w="1405" w:type="dxa"/>
            <w:vAlign w:val="center"/>
          </w:tcPr>
          <w:p w14:paraId="6F4C2369" w14:textId="7400BA4A" w:rsidR="00A933C6" w:rsidRDefault="00A933C6" w:rsidP="00A933C6">
            <w:pPr>
              <w:pStyle w:val="Normal-Table"/>
              <w:jc w:val="right"/>
            </w:pPr>
            <w:r>
              <w:rPr>
                <w:rFonts w:cs="Arial"/>
                <w:color w:val="000000"/>
                <w:szCs w:val="22"/>
              </w:rPr>
              <w:t>11.23</w:t>
            </w:r>
          </w:p>
        </w:tc>
        <w:tc>
          <w:tcPr>
            <w:tcW w:w="1429" w:type="dxa"/>
            <w:vAlign w:val="center"/>
          </w:tcPr>
          <w:p w14:paraId="56F75334" w14:textId="69EAC511" w:rsidR="00A933C6" w:rsidRDefault="00A933C6" w:rsidP="00A933C6">
            <w:pPr>
              <w:pStyle w:val="Normal-Table"/>
              <w:jc w:val="right"/>
            </w:pPr>
            <w:r>
              <w:rPr>
                <w:rFonts w:cs="Arial"/>
                <w:color w:val="000000"/>
                <w:szCs w:val="22"/>
              </w:rPr>
              <w:t>0.0000</w:t>
            </w:r>
          </w:p>
        </w:tc>
      </w:tr>
      <w:tr w:rsidR="00A933C6" w14:paraId="7339D300" w14:textId="77777777" w:rsidTr="000E05E6">
        <w:trPr>
          <w:trHeight w:val="350"/>
        </w:trPr>
        <w:tc>
          <w:tcPr>
            <w:tcW w:w="3591" w:type="dxa"/>
          </w:tcPr>
          <w:p w14:paraId="4EB41F66" w14:textId="31277F46" w:rsidR="00A933C6" w:rsidRDefault="00A933C6" w:rsidP="00A933C6">
            <w:pPr>
              <w:pStyle w:val="Normal-Table"/>
            </w:pPr>
            <w:r>
              <w:rPr>
                <w:rFonts w:cs="Arial"/>
                <w:color w:val="000000"/>
                <w:szCs w:val="22"/>
              </w:rPr>
              <w:t>PER_MICRO</w:t>
            </w:r>
          </w:p>
        </w:tc>
        <w:tc>
          <w:tcPr>
            <w:tcW w:w="1474" w:type="dxa"/>
            <w:vAlign w:val="center"/>
          </w:tcPr>
          <w:p w14:paraId="6F257121" w14:textId="6736A94B" w:rsidR="00A933C6" w:rsidRDefault="00A933C6" w:rsidP="00A933C6">
            <w:pPr>
              <w:pStyle w:val="Normal-Table"/>
              <w:jc w:val="right"/>
            </w:pPr>
            <w:r>
              <w:rPr>
                <w:rFonts w:cs="Arial"/>
                <w:color w:val="000000"/>
                <w:szCs w:val="22"/>
              </w:rPr>
              <w:t>-2.2622</w:t>
            </w:r>
          </w:p>
        </w:tc>
        <w:tc>
          <w:tcPr>
            <w:tcW w:w="1451" w:type="dxa"/>
            <w:vAlign w:val="center"/>
          </w:tcPr>
          <w:p w14:paraId="0A720078" w14:textId="05B5BDF5" w:rsidR="00A933C6" w:rsidRDefault="00A933C6" w:rsidP="00A933C6">
            <w:pPr>
              <w:pStyle w:val="Normal-Table"/>
              <w:jc w:val="right"/>
            </w:pPr>
            <w:r>
              <w:rPr>
                <w:rFonts w:cs="Arial"/>
                <w:color w:val="000000"/>
                <w:szCs w:val="22"/>
              </w:rPr>
              <w:t xml:space="preserve">        0.1930 </w:t>
            </w:r>
          </w:p>
        </w:tc>
        <w:tc>
          <w:tcPr>
            <w:tcW w:w="1405" w:type="dxa"/>
            <w:vAlign w:val="center"/>
          </w:tcPr>
          <w:p w14:paraId="5288AA46" w14:textId="7B31BC90" w:rsidR="00A933C6" w:rsidRDefault="00A933C6" w:rsidP="00A933C6">
            <w:pPr>
              <w:pStyle w:val="Normal-Table"/>
              <w:jc w:val="right"/>
            </w:pPr>
            <w:r>
              <w:rPr>
                <w:rFonts w:cs="Arial"/>
                <w:color w:val="000000"/>
                <w:szCs w:val="22"/>
              </w:rPr>
              <w:t>-11.72</w:t>
            </w:r>
          </w:p>
        </w:tc>
        <w:tc>
          <w:tcPr>
            <w:tcW w:w="1429" w:type="dxa"/>
            <w:vAlign w:val="center"/>
          </w:tcPr>
          <w:p w14:paraId="5FF91F7C" w14:textId="4C3C53D3" w:rsidR="00A933C6" w:rsidRDefault="00A933C6" w:rsidP="00A933C6">
            <w:pPr>
              <w:pStyle w:val="Normal-Table"/>
              <w:jc w:val="right"/>
            </w:pPr>
            <w:r>
              <w:rPr>
                <w:rFonts w:cs="Arial"/>
                <w:color w:val="000000"/>
                <w:szCs w:val="22"/>
              </w:rPr>
              <w:t>0.0000</w:t>
            </w:r>
          </w:p>
        </w:tc>
      </w:tr>
      <w:tr w:rsidR="00A933C6" w14:paraId="7A4D6F76" w14:textId="77777777" w:rsidTr="000E05E6">
        <w:trPr>
          <w:trHeight w:val="350"/>
        </w:trPr>
        <w:tc>
          <w:tcPr>
            <w:tcW w:w="3591" w:type="dxa"/>
          </w:tcPr>
          <w:p w14:paraId="0C60A9FA" w14:textId="64FADF1C" w:rsidR="00A933C6" w:rsidRDefault="00A933C6" w:rsidP="00A933C6">
            <w:pPr>
              <w:pStyle w:val="Normal-Table"/>
            </w:pPr>
            <w:r>
              <w:rPr>
                <w:rFonts w:cs="Arial"/>
                <w:color w:val="000000"/>
                <w:szCs w:val="22"/>
              </w:rPr>
              <w:t>PER_SMALL</w:t>
            </w:r>
          </w:p>
        </w:tc>
        <w:tc>
          <w:tcPr>
            <w:tcW w:w="1474" w:type="dxa"/>
            <w:vAlign w:val="center"/>
          </w:tcPr>
          <w:p w14:paraId="7365A2C6" w14:textId="59B3CB79" w:rsidR="00A933C6" w:rsidRDefault="00A933C6" w:rsidP="00A933C6">
            <w:pPr>
              <w:pStyle w:val="Normal-Table"/>
              <w:jc w:val="right"/>
            </w:pPr>
            <w:r>
              <w:rPr>
                <w:rFonts w:cs="Arial"/>
                <w:color w:val="000000"/>
                <w:szCs w:val="22"/>
              </w:rPr>
              <w:t>-2.0286</w:t>
            </w:r>
          </w:p>
        </w:tc>
        <w:tc>
          <w:tcPr>
            <w:tcW w:w="1451" w:type="dxa"/>
            <w:vAlign w:val="center"/>
          </w:tcPr>
          <w:p w14:paraId="1D2286A9" w14:textId="3338A1EC" w:rsidR="00A933C6" w:rsidRDefault="00A933C6" w:rsidP="00A933C6">
            <w:pPr>
              <w:pStyle w:val="Normal-Table"/>
              <w:jc w:val="right"/>
            </w:pPr>
            <w:r>
              <w:rPr>
                <w:rFonts w:cs="Arial"/>
                <w:color w:val="000000"/>
                <w:szCs w:val="22"/>
              </w:rPr>
              <w:t xml:space="preserve">        0.2050 </w:t>
            </w:r>
          </w:p>
        </w:tc>
        <w:tc>
          <w:tcPr>
            <w:tcW w:w="1405" w:type="dxa"/>
            <w:vAlign w:val="center"/>
          </w:tcPr>
          <w:p w14:paraId="5094B744" w14:textId="48A2E2E5" w:rsidR="00A933C6" w:rsidRDefault="00A933C6" w:rsidP="00A933C6">
            <w:pPr>
              <w:pStyle w:val="Normal-Table"/>
              <w:jc w:val="right"/>
            </w:pPr>
            <w:r>
              <w:rPr>
                <w:rFonts w:cs="Arial"/>
                <w:color w:val="000000"/>
                <w:szCs w:val="22"/>
              </w:rPr>
              <w:t>-9.91</w:t>
            </w:r>
          </w:p>
        </w:tc>
        <w:tc>
          <w:tcPr>
            <w:tcW w:w="1429" w:type="dxa"/>
            <w:vAlign w:val="center"/>
          </w:tcPr>
          <w:p w14:paraId="74479C8B" w14:textId="614A8158" w:rsidR="00A933C6" w:rsidRDefault="00A933C6" w:rsidP="00A933C6">
            <w:pPr>
              <w:pStyle w:val="Normal-Table"/>
              <w:jc w:val="right"/>
            </w:pPr>
            <w:r>
              <w:rPr>
                <w:rFonts w:cs="Arial"/>
                <w:color w:val="000000"/>
                <w:szCs w:val="22"/>
              </w:rPr>
              <w:t>0.0000</w:t>
            </w:r>
          </w:p>
        </w:tc>
      </w:tr>
      <w:tr w:rsidR="00A933C6" w14:paraId="5157807A" w14:textId="77777777" w:rsidTr="000E05E6">
        <w:trPr>
          <w:trHeight w:val="350"/>
        </w:trPr>
        <w:tc>
          <w:tcPr>
            <w:tcW w:w="3591" w:type="dxa"/>
          </w:tcPr>
          <w:p w14:paraId="07BA0286" w14:textId="7917524D" w:rsidR="00A933C6" w:rsidRDefault="00A933C6" w:rsidP="00A933C6">
            <w:pPr>
              <w:pStyle w:val="Normal-Table"/>
            </w:pPr>
            <w:r>
              <w:rPr>
                <w:rFonts w:cs="Arial"/>
                <w:color w:val="000000"/>
                <w:szCs w:val="22"/>
              </w:rPr>
              <w:t>PER_MED</w:t>
            </w:r>
          </w:p>
        </w:tc>
        <w:tc>
          <w:tcPr>
            <w:tcW w:w="1474" w:type="dxa"/>
            <w:vAlign w:val="center"/>
          </w:tcPr>
          <w:p w14:paraId="05FF7D84" w14:textId="103F0C02" w:rsidR="00A933C6" w:rsidRDefault="00A933C6" w:rsidP="00A933C6">
            <w:pPr>
              <w:pStyle w:val="Normal-Table"/>
              <w:jc w:val="right"/>
            </w:pPr>
            <w:r>
              <w:rPr>
                <w:rFonts w:cs="Arial"/>
                <w:color w:val="000000"/>
                <w:szCs w:val="22"/>
              </w:rPr>
              <w:t>-2.7959</w:t>
            </w:r>
          </w:p>
        </w:tc>
        <w:tc>
          <w:tcPr>
            <w:tcW w:w="1451" w:type="dxa"/>
            <w:vAlign w:val="center"/>
          </w:tcPr>
          <w:p w14:paraId="357ED239" w14:textId="1C5B3D63" w:rsidR="00A933C6" w:rsidRDefault="00A933C6" w:rsidP="00A933C6">
            <w:pPr>
              <w:pStyle w:val="Normal-Table"/>
              <w:jc w:val="right"/>
            </w:pPr>
            <w:r>
              <w:rPr>
                <w:rFonts w:cs="Arial"/>
                <w:color w:val="000000"/>
                <w:szCs w:val="22"/>
              </w:rPr>
              <w:t xml:space="preserve">        0.2860 </w:t>
            </w:r>
          </w:p>
        </w:tc>
        <w:tc>
          <w:tcPr>
            <w:tcW w:w="1405" w:type="dxa"/>
            <w:vAlign w:val="center"/>
          </w:tcPr>
          <w:p w14:paraId="5D53A10F" w14:textId="2EC137F9" w:rsidR="00A933C6" w:rsidRDefault="00A933C6" w:rsidP="00A933C6">
            <w:pPr>
              <w:pStyle w:val="Normal-Table"/>
              <w:jc w:val="right"/>
            </w:pPr>
            <w:r>
              <w:rPr>
                <w:rFonts w:cs="Arial"/>
                <w:color w:val="000000"/>
                <w:szCs w:val="22"/>
              </w:rPr>
              <w:t>-9.78</w:t>
            </w:r>
          </w:p>
        </w:tc>
        <w:tc>
          <w:tcPr>
            <w:tcW w:w="1429" w:type="dxa"/>
            <w:vAlign w:val="center"/>
          </w:tcPr>
          <w:p w14:paraId="6C5699CF" w14:textId="4F7E4D14" w:rsidR="00A933C6" w:rsidRDefault="00A933C6" w:rsidP="00A933C6">
            <w:pPr>
              <w:pStyle w:val="Normal-Table"/>
              <w:jc w:val="right"/>
            </w:pPr>
            <w:r>
              <w:rPr>
                <w:rFonts w:cs="Arial"/>
                <w:color w:val="000000"/>
                <w:szCs w:val="22"/>
              </w:rPr>
              <w:t>0.0000</w:t>
            </w:r>
          </w:p>
        </w:tc>
      </w:tr>
      <w:tr w:rsidR="00A933C6" w14:paraId="04B81997" w14:textId="77777777" w:rsidTr="000E05E6">
        <w:trPr>
          <w:trHeight w:val="350"/>
        </w:trPr>
        <w:tc>
          <w:tcPr>
            <w:tcW w:w="3591" w:type="dxa"/>
          </w:tcPr>
          <w:p w14:paraId="24E89FEA" w14:textId="67485941" w:rsidR="00A933C6" w:rsidRDefault="00A933C6" w:rsidP="00A933C6">
            <w:pPr>
              <w:pStyle w:val="Normal-Table"/>
            </w:pPr>
            <w:r>
              <w:rPr>
                <w:rFonts w:cs="Arial"/>
                <w:color w:val="000000"/>
                <w:szCs w:val="22"/>
              </w:rPr>
              <w:t>POP_WEIGHTED_CES3_SCORE</w:t>
            </w:r>
          </w:p>
        </w:tc>
        <w:tc>
          <w:tcPr>
            <w:tcW w:w="1474" w:type="dxa"/>
            <w:vAlign w:val="center"/>
          </w:tcPr>
          <w:p w14:paraId="0B4B9473" w14:textId="363CE46F" w:rsidR="00A933C6" w:rsidRDefault="00A933C6" w:rsidP="00A933C6">
            <w:pPr>
              <w:pStyle w:val="Normal-Table"/>
              <w:jc w:val="right"/>
            </w:pPr>
            <w:r>
              <w:rPr>
                <w:rFonts w:cs="Arial"/>
                <w:color w:val="000000"/>
                <w:szCs w:val="22"/>
              </w:rPr>
              <w:t>0.1806</w:t>
            </w:r>
          </w:p>
        </w:tc>
        <w:tc>
          <w:tcPr>
            <w:tcW w:w="1451" w:type="dxa"/>
            <w:vAlign w:val="center"/>
          </w:tcPr>
          <w:p w14:paraId="6D8ABB58" w14:textId="78A80BB5" w:rsidR="00A933C6" w:rsidRDefault="00A933C6" w:rsidP="00A933C6">
            <w:pPr>
              <w:pStyle w:val="Normal-Table"/>
              <w:jc w:val="right"/>
            </w:pPr>
            <w:r>
              <w:rPr>
                <w:rFonts w:cs="Arial"/>
                <w:color w:val="000000"/>
                <w:szCs w:val="22"/>
              </w:rPr>
              <w:t xml:space="preserve">        0.0260 </w:t>
            </w:r>
          </w:p>
        </w:tc>
        <w:tc>
          <w:tcPr>
            <w:tcW w:w="1405" w:type="dxa"/>
            <w:vAlign w:val="center"/>
          </w:tcPr>
          <w:p w14:paraId="7E420851" w14:textId="6BDF0C3C" w:rsidR="00A933C6" w:rsidRDefault="00A933C6" w:rsidP="00A933C6">
            <w:pPr>
              <w:pStyle w:val="Normal-Table"/>
              <w:jc w:val="right"/>
            </w:pPr>
            <w:r>
              <w:rPr>
                <w:rFonts w:cs="Arial"/>
                <w:color w:val="000000"/>
                <w:szCs w:val="22"/>
              </w:rPr>
              <w:t>6.88</w:t>
            </w:r>
          </w:p>
        </w:tc>
        <w:tc>
          <w:tcPr>
            <w:tcW w:w="1429" w:type="dxa"/>
            <w:vAlign w:val="center"/>
          </w:tcPr>
          <w:p w14:paraId="4645F440" w14:textId="05C93A33" w:rsidR="00A933C6" w:rsidRDefault="00A933C6" w:rsidP="00A933C6">
            <w:pPr>
              <w:pStyle w:val="Normal-Table"/>
              <w:jc w:val="right"/>
            </w:pPr>
            <w:r>
              <w:rPr>
                <w:rFonts w:cs="Arial"/>
                <w:color w:val="000000"/>
                <w:szCs w:val="22"/>
              </w:rPr>
              <w:t>0.0000</w:t>
            </w:r>
          </w:p>
        </w:tc>
      </w:tr>
      <w:tr w:rsidR="00A933C6" w14:paraId="54C2B0B4" w14:textId="77777777" w:rsidTr="000E05E6">
        <w:trPr>
          <w:trHeight w:val="350"/>
        </w:trPr>
        <w:tc>
          <w:tcPr>
            <w:tcW w:w="3591" w:type="dxa"/>
          </w:tcPr>
          <w:p w14:paraId="25BA5D45" w14:textId="56F29E4D" w:rsidR="00A933C6" w:rsidRDefault="00A933C6" w:rsidP="00A933C6">
            <w:pPr>
              <w:pStyle w:val="Normal-Table"/>
              <w:rPr>
                <w:rFonts w:cs="Arial"/>
                <w:color w:val="000000"/>
                <w:szCs w:val="22"/>
              </w:rPr>
            </w:pPr>
            <w:proofErr w:type="spellStart"/>
            <w:r>
              <w:rPr>
                <w:rFonts w:cs="Arial"/>
                <w:color w:val="000000"/>
                <w:szCs w:val="22"/>
              </w:rPr>
              <w:t>log_BIZ_DENSITY_NORM</w:t>
            </w:r>
            <w:proofErr w:type="spellEnd"/>
          </w:p>
        </w:tc>
        <w:tc>
          <w:tcPr>
            <w:tcW w:w="1474" w:type="dxa"/>
            <w:vAlign w:val="center"/>
          </w:tcPr>
          <w:p w14:paraId="7998E85E" w14:textId="59EEBEED" w:rsidR="00A933C6" w:rsidRDefault="00A933C6" w:rsidP="00A933C6">
            <w:pPr>
              <w:pStyle w:val="Normal-Table"/>
              <w:jc w:val="right"/>
              <w:rPr>
                <w:rFonts w:cs="Arial"/>
                <w:color w:val="000000"/>
                <w:szCs w:val="22"/>
              </w:rPr>
            </w:pPr>
            <w:r>
              <w:rPr>
                <w:rFonts w:cs="Arial"/>
                <w:color w:val="000000"/>
                <w:szCs w:val="22"/>
              </w:rPr>
              <w:t>-4.8586</w:t>
            </w:r>
          </w:p>
        </w:tc>
        <w:tc>
          <w:tcPr>
            <w:tcW w:w="1451" w:type="dxa"/>
            <w:vAlign w:val="center"/>
          </w:tcPr>
          <w:p w14:paraId="7A176936" w14:textId="4E183404" w:rsidR="00A933C6" w:rsidRDefault="00A933C6" w:rsidP="00A933C6">
            <w:pPr>
              <w:pStyle w:val="Normal-Table"/>
              <w:jc w:val="right"/>
              <w:rPr>
                <w:rFonts w:cs="Arial"/>
                <w:color w:val="000000"/>
                <w:szCs w:val="22"/>
              </w:rPr>
            </w:pPr>
            <w:r>
              <w:rPr>
                <w:rFonts w:cs="Arial"/>
                <w:color w:val="000000"/>
                <w:szCs w:val="22"/>
              </w:rPr>
              <w:t xml:space="preserve">        0.4520 </w:t>
            </w:r>
          </w:p>
        </w:tc>
        <w:tc>
          <w:tcPr>
            <w:tcW w:w="1405" w:type="dxa"/>
            <w:vAlign w:val="center"/>
          </w:tcPr>
          <w:p w14:paraId="6F2C419D" w14:textId="6CBBE406" w:rsidR="00A933C6" w:rsidRDefault="00A933C6" w:rsidP="00A933C6">
            <w:pPr>
              <w:pStyle w:val="Normal-Table"/>
              <w:jc w:val="right"/>
              <w:rPr>
                <w:rFonts w:cs="Arial"/>
                <w:color w:val="000000"/>
                <w:szCs w:val="22"/>
              </w:rPr>
            </w:pPr>
            <w:r>
              <w:rPr>
                <w:rFonts w:cs="Arial"/>
                <w:color w:val="000000"/>
                <w:szCs w:val="22"/>
              </w:rPr>
              <w:t>-10.74</w:t>
            </w:r>
          </w:p>
        </w:tc>
        <w:tc>
          <w:tcPr>
            <w:tcW w:w="1429" w:type="dxa"/>
            <w:vAlign w:val="center"/>
          </w:tcPr>
          <w:p w14:paraId="0FDE0DC3" w14:textId="2F5A53A0" w:rsidR="00A933C6" w:rsidRDefault="00A933C6" w:rsidP="00A933C6">
            <w:pPr>
              <w:pStyle w:val="Normal-Table"/>
              <w:jc w:val="right"/>
              <w:rPr>
                <w:rFonts w:cs="Arial"/>
                <w:color w:val="000000"/>
                <w:szCs w:val="22"/>
              </w:rPr>
            </w:pPr>
            <w:r>
              <w:rPr>
                <w:rFonts w:cs="Arial"/>
                <w:color w:val="000000"/>
                <w:szCs w:val="22"/>
              </w:rPr>
              <w:t>0.0000</w:t>
            </w:r>
          </w:p>
        </w:tc>
      </w:tr>
    </w:tbl>
    <w:p w14:paraId="21BFF21C" w14:textId="5BB7EF1E" w:rsidR="003A0233" w:rsidRDefault="003A0233" w:rsidP="00A54EA8"/>
    <w:p w14:paraId="51AA98BC" w14:textId="1B74546D" w:rsidR="00A54EA8" w:rsidRDefault="007E054A" w:rsidP="00A54EA8">
      <w:r>
        <w:t xml:space="preserve">This updated regression provides a significant jump in R-squared values to 36%, while all variables stay extremely statistically significant. The coefficients all retain their signs, but the effects for firm size decrease a bit, while CES3.0 score goes up slightly and the effect of 10% increase in normalized business density becomes a 0.19 percentage point drop. </w:t>
      </w:r>
      <w:r w:rsidR="00A54EA8">
        <w:t xml:space="preserve">In combination with the results from the previous section, the picture that emerges is one where rural </w:t>
      </w:r>
      <w:proofErr w:type="gramStart"/>
      <w:r w:rsidR="008364F3">
        <w:t>areas</w:t>
      </w:r>
      <w:proofErr w:type="gramEnd"/>
      <w:r w:rsidR="00A54EA8">
        <w:t xml:space="preserve"> can achieve great site penetration through the leadership of the (perhaps single) large firm in the region.  </w:t>
      </w:r>
    </w:p>
    <w:p w14:paraId="0A70C618" w14:textId="77777777" w:rsidR="00A54EA8" w:rsidRDefault="00A54EA8" w:rsidP="00A54EA8">
      <w:pPr>
        <w:pStyle w:val="Heading2"/>
      </w:pPr>
      <w:bookmarkStart w:id="45" w:name="_Toc76121057"/>
      <w:r>
        <w:t>Demographic Factors</w:t>
      </w:r>
      <w:bookmarkEnd w:id="45"/>
    </w:p>
    <w:p w14:paraId="236C4B94" w14:textId="0A1735E0" w:rsidR="00A54EA8" w:rsidRDefault="00A54EA8" w:rsidP="00A54EA8">
      <w:r>
        <w:t xml:space="preserve">Our </w:t>
      </w:r>
      <w:r w:rsidR="00E44991">
        <w:t>last</w:t>
      </w:r>
      <w:r>
        <w:t xml:space="preserve"> task is to include measures of zip code demographics in the set of covariates.  We do this for two reasons.  First, the demographic variables themselves are of independent interest.  Second, as noted in the previous section, we wish to ensure that demographics are not confounding the relationship between firm size and site penetration uncovered in the previous section. </w:t>
      </w:r>
      <w:r w:rsidR="0009494E">
        <w:t xml:space="preserve">We include percentage of the census tract that is: White, Black, </w:t>
      </w:r>
      <w:proofErr w:type="gramStart"/>
      <w:r w:rsidR="0009494E">
        <w:t>African-American</w:t>
      </w:r>
      <w:proofErr w:type="gramEnd"/>
      <w:r w:rsidR="0009494E">
        <w:t>, Hispanic, Asian-American, American Indian,</w:t>
      </w:r>
      <w:r w:rsidR="00760C35">
        <w:t xml:space="preserve"> population</w:t>
      </w:r>
      <w:r w:rsidR="0009494E">
        <w:t xml:space="preserve"> over the age of 65, and foreign born.  We also include</w:t>
      </w:r>
      <w:r w:rsidR="00302E4D">
        <w:t xml:space="preserve"> percentage of residences that are broadband-enabled,</w:t>
      </w:r>
      <w:r w:rsidR="0009494E">
        <w:t xml:space="preserve"> median zip code income, percentage unemployed and then percent below the poverty line as other measures of household resources. With the exception of income</w:t>
      </w:r>
      <w:r w:rsidR="00302E4D">
        <w:t>, broadband penetration,</w:t>
      </w:r>
      <w:r w:rsidR="0009494E">
        <w:t xml:space="preserve"> and percentage White, our prior expectation suggested that each of these zip code characteristics would have a negative impact on site penetration.  Each of these variables sometimes equated with populations that are less attuned to energy conservation for a variety of reasons, including lack of resources of lack of information access.  In that context, to the extent the local populations are connected to the small businesses in these areas, the lower the site penetration.  We would conversely expect a positive coefficient on income.  </w:t>
      </w:r>
      <w:r w:rsidR="00E44991">
        <w:t xml:space="preserve">The following table looks at each of the demographic variables on its own </w:t>
      </w:r>
      <w:r w:rsidR="00302E4D">
        <w:t xml:space="preserve">as a determinant </w:t>
      </w:r>
      <w:proofErr w:type="gramStart"/>
      <w:r w:rsidR="00302E4D">
        <w:t xml:space="preserve">of </w:t>
      </w:r>
      <w:r w:rsidR="00E44991">
        <w:t xml:space="preserve"> site</w:t>
      </w:r>
      <w:proofErr w:type="gramEnd"/>
      <w:r w:rsidR="00E44991">
        <w:t xml:space="preserve"> penetration and sorted by the R-squared from greatest to least explanatory power.</w:t>
      </w:r>
    </w:p>
    <w:p w14:paraId="338A6FB8" w14:textId="386F3942" w:rsidR="00E44991" w:rsidRDefault="00E44991" w:rsidP="00E44991">
      <w:pPr>
        <w:pStyle w:val="Caption"/>
      </w:pPr>
      <w:bookmarkStart w:id="46" w:name="_Ref74925302"/>
      <w:bookmarkStart w:id="47" w:name="_Toc76121107"/>
      <w:r>
        <w:t xml:space="preserve">Table </w:t>
      </w:r>
      <w:r w:rsidR="00DB1658">
        <w:fldChar w:fldCharType="begin"/>
      </w:r>
      <w:r w:rsidR="00DB1658">
        <w:instrText xml:space="preserve"> SEQ Table \* ARABIC </w:instrText>
      </w:r>
      <w:r w:rsidR="00DB1658">
        <w:fldChar w:fldCharType="separate"/>
      </w:r>
      <w:r w:rsidR="00A74C64">
        <w:rPr>
          <w:noProof/>
        </w:rPr>
        <w:t>14</w:t>
      </w:r>
      <w:r w:rsidR="00DB1658">
        <w:rPr>
          <w:noProof/>
        </w:rPr>
        <w:fldChar w:fldCharType="end"/>
      </w:r>
      <w:bookmarkEnd w:id="46"/>
      <w:r>
        <w:t xml:space="preserve">. </w:t>
      </w:r>
      <w:r w:rsidR="00A933C6">
        <w:t>Individual Regression</w:t>
      </w:r>
      <w:r>
        <w:t xml:space="preserve"> Results for Site Penetration vs. Demographic Features</w:t>
      </w:r>
      <w:bookmarkEnd w:id="47"/>
    </w:p>
    <w:tbl>
      <w:tblPr>
        <w:tblStyle w:val="TableGrid"/>
        <w:tblW w:w="0" w:type="auto"/>
        <w:tblLook w:val="04A0" w:firstRow="1" w:lastRow="0" w:firstColumn="1" w:lastColumn="0" w:noHBand="0" w:noVBand="1"/>
      </w:tblPr>
      <w:tblGrid>
        <w:gridCol w:w="3590"/>
        <w:gridCol w:w="1435"/>
        <w:gridCol w:w="1467"/>
        <w:gridCol w:w="1436"/>
      </w:tblGrid>
      <w:tr w:rsidR="00A933C6" w:rsidRPr="004C3994" w14:paraId="13F036A8" w14:textId="77777777" w:rsidTr="00E44991">
        <w:tc>
          <w:tcPr>
            <w:tcW w:w="3590" w:type="dxa"/>
            <w:shd w:val="clear" w:color="auto" w:fill="DBE5F1" w:themeFill="accent1" w:themeFillTint="33"/>
            <w:vAlign w:val="center"/>
          </w:tcPr>
          <w:p w14:paraId="60ECAE13" w14:textId="77777777" w:rsidR="00A933C6" w:rsidRPr="00760C35" w:rsidRDefault="00A933C6" w:rsidP="00FE1CFE">
            <w:pPr>
              <w:pStyle w:val="Normal-Table"/>
              <w:rPr>
                <w:rFonts w:cs="Arial"/>
                <w:b/>
                <w:bCs w:val="0"/>
                <w:sz w:val="20"/>
                <w:szCs w:val="20"/>
              </w:rPr>
            </w:pPr>
            <w:r w:rsidRPr="00760C35">
              <w:rPr>
                <w:rFonts w:cs="Arial"/>
                <w:b/>
                <w:bCs w:val="0"/>
                <w:color w:val="000000"/>
                <w:sz w:val="20"/>
                <w:szCs w:val="20"/>
              </w:rPr>
              <w:t>Feature</w:t>
            </w:r>
          </w:p>
        </w:tc>
        <w:tc>
          <w:tcPr>
            <w:tcW w:w="1435" w:type="dxa"/>
            <w:shd w:val="clear" w:color="auto" w:fill="DBE5F1" w:themeFill="accent1" w:themeFillTint="33"/>
            <w:vAlign w:val="center"/>
          </w:tcPr>
          <w:p w14:paraId="72DEECA3" w14:textId="77777777" w:rsidR="00A933C6" w:rsidRPr="00760C35" w:rsidRDefault="00A933C6" w:rsidP="00FE1CFE">
            <w:pPr>
              <w:pStyle w:val="Normal-Table"/>
              <w:jc w:val="right"/>
              <w:rPr>
                <w:rFonts w:cs="Arial"/>
                <w:b/>
                <w:bCs w:val="0"/>
                <w:sz w:val="20"/>
                <w:szCs w:val="20"/>
              </w:rPr>
            </w:pPr>
            <w:r w:rsidRPr="00760C35">
              <w:rPr>
                <w:rFonts w:cs="Arial"/>
                <w:b/>
                <w:bCs w:val="0"/>
                <w:color w:val="000000"/>
                <w:sz w:val="20"/>
                <w:szCs w:val="20"/>
              </w:rPr>
              <w:t>Coeff</w:t>
            </w:r>
          </w:p>
        </w:tc>
        <w:tc>
          <w:tcPr>
            <w:tcW w:w="1467" w:type="dxa"/>
            <w:shd w:val="clear" w:color="auto" w:fill="DBE5F1" w:themeFill="accent1" w:themeFillTint="33"/>
            <w:vAlign w:val="center"/>
          </w:tcPr>
          <w:p w14:paraId="6D290BF8" w14:textId="5A579FFD" w:rsidR="00A933C6" w:rsidRPr="00760C35" w:rsidRDefault="00A933C6" w:rsidP="00FE1CFE">
            <w:pPr>
              <w:pStyle w:val="Normal-Table"/>
              <w:jc w:val="right"/>
              <w:rPr>
                <w:rFonts w:cs="Arial"/>
                <w:b/>
                <w:bCs w:val="0"/>
                <w:sz w:val="20"/>
                <w:szCs w:val="20"/>
              </w:rPr>
            </w:pPr>
            <w:r w:rsidRPr="00760C35">
              <w:rPr>
                <w:rFonts w:cs="Arial"/>
                <w:b/>
                <w:bCs w:val="0"/>
                <w:color w:val="000000"/>
                <w:sz w:val="20"/>
                <w:szCs w:val="20"/>
              </w:rPr>
              <w:t>R-squared</w:t>
            </w:r>
          </w:p>
        </w:tc>
        <w:tc>
          <w:tcPr>
            <w:tcW w:w="1436" w:type="dxa"/>
            <w:shd w:val="clear" w:color="auto" w:fill="DBE5F1" w:themeFill="accent1" w:themeFillTint="33"/>
            <w:vAlign w:val="center"/>
          </w:tcPr>
          <w:p w14:paraId="5ABD1284" w14:textId="77777777" w:rsidR="00A933C6" w:rsidRPr="00760C35" w:rsidRDefault="00A933C6" w:rsidP="00FE1CFE">
            <w:pPr>
              <w:pStyle w:val="Normal-Table"/>
              <w:jc w:val="right"/>
              <w:rPr>
                <w:rFonts w:cs="Arial"/>
                <w:b/>
                <w:bCs w:val="0"/>
                <w:sz w:val="20"/>
                <w:szCs w:val="20"/>
              </w:rPr>
            </w:pPr>
            <w:r w:rsidRPr="00760C35">
              <w:rPr>
                <w:rFonts w:cs="Arial"/>
                <w:b/>
                <w:bCs w:val="0"/>
                <w:color w:val="000000"/>
                <w:sz w:val="20"/>
                <w:szCs w:val="20"/>
              </w:rPr>
              <w:t>p-value</w:t>
            </w:r>
          </w:p>
        </w:tc>
      </w:tr>
      <w:tr w:rsidR="00A933C6" w14:paraId="6E19F0E0" w14:textId="77777777" w:rsidTr="00760C35">
        <w:trPr>
          <w:trHeight w:val="242"/>
        </w:trPr>
        <w:tc>
          <w:tcPr>
            <w:tcW w:w="3590" w:type="dxa"/>
            <w:vAlign w:val="bottom"/>
          </w:tcPr>
          <w:p w14:paraId="016D9657" w14:textId="3DC6742E" w:rsidR="00A933C6" w:rsidRPr="00760C35" w:rsidRDefault="00A933C6" w:rsidP="00E44991">
            <w:pPr>
              <w:pStyle w:val="Normal-Table"/>
              <w:rPr>
                <w:rFonts w:cs="Arial"/>
                <w:sz w:val="20"/>
                <w:szCs w:val="20"/>
              </w:rPr>
            </w:pPr>
            <w:r w:rsidRPr="00760C35">
              <w:rPr>
                <w:rFonts w:cs="Arial"/>
                <w:color w:val="000000"/>
                <w:sz w:val="20"/>
                <w:szCs w:val="20"/>
              </w:rPr>
              <w:t>PER_HISPANIC_AND</w:t>
            </w:r>
          </w:p>
        </w:tc>
        <w:tc>
          <w:tcPr>
            <w:tcW w:w="1435" w:type="dxa"/>
            <w:vAlign w:val="bottom"/>
          </w:tcPr>
          <w:p w14:paraId="642D29C5" w14:textId="6C92F3F3" w:rsidR="00A933C6" w:rsidRPr="00760C35" w:rsidRDefault="00A933C6" w:rsidP="00E44991">
            <w:pPr>
              <w:pStyle w:val="Normal-Table"/>
              <w:jc w:val="right"/>
              <w:rPr>
                <w:rFonts w:cs="Arial"/>
                <w:sz w:val="20"/>
                <w:szCs w:val="20"/>
              </w:rPr>
            </w:pPr>
            <w:r w:rsidRPr="00760C35">
              <w:rPr>
                <w:rFonts w:cs="Arial"/>
                <w:color w:val="000000"/>
                <w:sz w:val="20"/>
                <w:szCs w:val="20"/>
              </w:rPr>
              <w:t>0.2242</w:t>
            </w:r>
          </w:p>
        </w:tc>
        <w:tc>
          <w:tcPr>
            <w:tcW w:w="1467" w:type="dxa"/>
            <w:vAlign w:val="bottom"/>
          </w:tcPr>
          <w:p w14:paraId="33A8642D" w14:textId="584F3EBB" w:rsidR="00A933C6" w:rsidRPr="00760C35" w:rsidRDefault="00A933C6" w:rsidP="00E44991">
            <w:pPr>
              <w:pStyle w:val="Normal-Table"/>
              <w:jc w:val="right"/>
              <w:rPr>
                <w:rFonts w:cs="Arial"/>
                <w:sz w:val="20"/>
                <w:szCs w:val="20"/>
              </w:rPr>
            </w:pPr>
            <w:r w:rsidRPr="00760C35">
              <w:rPr>
                <w:rFonts w:cs="Arial"/>
                <w:color w:val="000000"/>
                <w:sz w:val="20"/>
                <w:szCs w:val="20"/>
              </w:rPr>
              <w:t xml:space="preserve">        0.1687 </w:t>
            </w:r>
          </w:p>
        </w:tc>
        <w:tc>
          <w:tcPr>
            <w:tcW w:w="1436" w:type="dxa"/>
            <w:vAlign w:val="bottom"/>
          </w:tcPr>
          <w:p w14:paraId="5E17F015" w14:textId="26096CD9" w:rsidR="00A933C6" w:rsidRPr="00760C35" w:rsidRDefault="00A933C6" w:rsidP="00E44991">
            <w:pPr>
              <w:pStyle w:val="Normal-Table"/>
              <w:jc w:val="right"/>
              <w:rPr>
                <w:rFonts w:cs="Arial"/>
                <w:sz w:val="20"/>
                <w:szCs w:val="20"/>
              </w:rPr>
            </w:pPr>
            <w:r w:rsidRPr="00760C35">
              <w:rPr>
                <w:rFonts w:cs="Arial"/>
                <w:color w:val="000000"/>
                <w:sz w:val="20"/>
                <w:szCs w:val="20"/>
              </w:rPr>
              <w:t>0.0000</w:t>
            </w:r>
          </w:p>
        </w:tc>
      </w:tr>
      <w:tr w:rsidR="00A933C6" w14:paraId="2D3F8C0B" w14:textId="77777777" w:rsidTr="00760C35">
        <w:trPr>
          <w:trHeight w:val="233"/>
        </w:trPr>
        <w:tc>
          <w:tcPr>
            <w:tcW w:w="3590" w:type="dxa"/>
            <w:vAlign w:val="bottom"/>
          </w:tcPr>
          <w:p w14:paraId="743AA314" w14:textId="70C81C17" w:rsidR="00A933C6" w:rsidRPr="00760C35" w:rsidRDefault="00A933C6" w:rsidP="00E44991">
            <w:pPr>
              <w:pStyle w:val="Normal-Table"/>
              <w:rPr>
                <w:rFonts w:cs="Arial"/>
                <w:sz w:val="20"/>
                <w:szCs w:val="20"/>
              </w:rPr>
            </w:pPr>
            <w:r w:rsidRPr="00760C35">
              <w:rPr>
                <w:rFonts w:cs="Arial"/>
                <w:color w:val="000000"/>
                <w:sz w:val="20"/>
                <w:szCs w:val="20"/>
              </w:rPr>
              <w:t>PER_POP_BROADBAND</w:t>
            </w:r>
          </w:p>
        </w:tc>
        <w:tc>
          <w:tcPr>
            <w:tcW w:w="1435" w:type="dxa"/>
            <w:vAlign w:val="bottom"/>
          </w:tcPr>
          <w:p w14:paraId="088F3114" w14:textId="0DE03090" w:rsidR="00A933C6" w:rsidRPr="00760C35" w:rsidRDefault="00A933C6" w:rsidP="00E44991">
            <w:pPr>
              <w:pStyle w:val="Normal-Table"/>
              <w:jc w:val="right"/>
              <w:rPr>
                <w:rFonts w:cs="Arial"/>
                <w:sz w:val="20"/>
                <w:szCs w:val="20"/>
              </w:rPr>
            </w:pPr>
            <w:r w:rsidRPr="00760C35">
              <w:rPr>
                <w:rFonts w:cs="Arial"/>
                <w:color w:val="000000"/>
                <w:sz w:val="20"/>
                <w:szCs w:val="20"/>
              </w:rPr>
              <w:t>-0.5979</w:t>
            </w:r>
          </w:p>
        </w:tc>
        <w:tc>
          <w:tcPr>
            <w:tcW w:w="1467" w:type="dxa"/>
            <w:vAlign w:val="bottom"/>
          </w:tcPr>
          <w:p w14:paraId="785A74A6" w14:textId="46BB2540" w:rsidR="00A933C6" w:rsidRPr="00760C35" w:rsidRDefault="00A933C6" w:rsidP="00E44991">
            <w:pPr>
              <w:pStyle w:val="Normal-Table"/>
              <w:jc w:val="right"/>
              <w:rPr>
                <w:rFonts w:cs="Arial"/>
                <w:sz w:val="20"/>
                <w:szCs w:val="20"/>
              </w:rPr>
            </w:pPr>
            <w:r w:rsidRPr="00760C35">
              <w:rPr>
                <w:rFonts w:cs="Arial"/>
                <w:color w:val="000000"/>
                <w:sz w:val="20"/>
                <w:szCs w:val="20"/>
              </w:rPr>
              <w:t xml:space="preserve">        0.1521 </w:t>
            </w:r>
          </w:p>
        </w:tc>
        <w:tc>
          <w:tcPr>
            <w:tcW w:w="1436" w:type="dxa"/>
            <w:vAlign w:val="bottom"/>
          </w:tcPr>
          <w:p w14:paraId="413A00D6" w14:textId="1749867E" w:rsidR="00A933C6" w:rsidRPr="00760C35" w:rsidRDefault="00A933C6" w:rsidP="00E44991">
            <w:pPr>
              <w:pStyle w:val="Normal-Table"/>
              <w:jc w:val="right"/>
              <w:rPr>
                <w:rFonts w:cs="Arial"/>
                <w:sz w:val="20"/>
                <w:szCs w:val="20"/>
              </w:rPr>
            </w:pPr>
            <w:r w:rsidRPr="00760C35">
              <w:rPr>
                <w:rFonts w:cs="Arial"/>
                <w:color w:val="000000"/>
                <w:sz w:val="20"/>
                <w:szCs w:val="20"/>
              </w:rPr>
              <w:t>0.0000</w:t>
            </w:r>
          </w:p>
        </w:tc>
      </w:tr>
      <w:tr w:rsidR="00A933C6" w14:paraId="112511D4" w14:textId="77777777" w:rsidTr="00760C35">
        <w:trPr>
          <w:trHeight w:val="233"/>
        </w:trPr>
        <w:tc>
          <w:tcPr>
            <w:tcW w:w="3590" w:type="dxa"/>
            <w:vAlign w:val="bottom"/>
          </w:tcPr>
          <w:p w14:paraId="79EC5BFB" w14:textId="48E17903" w:rsidR="00A933C6" w:rsidRPr="00760C35" w:rsidRDefault="00A933C6" w:rsidP="00E44991">
            <w:pPr>
              <w:pStyle w:val="Normal-Table"/>
              <w:rPr>
                <w:rFonts w:cs="Arial"/>
                <w:sz w:val="20"/>
                <w:szCs w:val="20"/>
              </w:rPr>
            </w:pPr>
            <w:r w:rsidRPr="00760C35">
              <w:rPr>
                <w:rFonts w:cs="Arial"/>
                <w:color w:val="000000"/>
                <w:sz w:val="20"/>
                <w:szCs w:val="20"/>
              </w:rPr>
              <w:t>PER_FOREIGN_NONUS_CIT</w:t>
            </w:r>
          </w:p>
        </w:tc>
        <w:tc>
          <w:tcPr>
            <w:tcW w:w="1435" w:type="dxa"/>
            <w:vAlign w:val="bottom"/>
          </w:tcPr>
          <w:p w14:paraId="7B91B227" w14:textId="5DD562B4" w:rsidR="00A933C6" w:rsidRPr="00760C35" w:rsidRDefault="00A933C6" w:rsidP="00E44991">
            <w:pPr>
              <w:pStyle w:val="Normal-Table"/>
              <w:jc w:val="right"/>
              <w:rPr>
                <w:rFonts w:cs="Arial"/>
                <w:sz w:val="20"/>
                <w:szCs w:val="20"/>
              </w:rPr>
            </w:pPr>
            <w:r w:rsidRPr="00760C35">
              <w:rPr>
                <w:rFonts w:cs="Arial"/>
                <w:color w:val="000000"/>
                <w:sz w:val="20"/>
                <w:szCs w:val="20"/>
              </w:rPr>
              <w:t>0.2849</w:t>
            </w:r>
          </w:p>
        </w:tc>
        <w:tc>
          <w:tcPr>
            <w:tcW w:w="1467" w:type="dxa"/>
            <w:vAlign w:val="bottom"/>
          </w:tcPr>
          <w:p w14:paraId="1F6C79AE" w14:textId="3567463F" w:rsidR="00A933C6" w:rsidRPr="00760C35" w:rsidRDefault="00A933C6" w:rsidP="00E44991">
            <w:pPr>
              <w:pStyle w:val="Normal-Table"/>
              <w:jc w:val="right"/>
              <w:rPr>
                <w:rFonts w:cs="Arial"/>
                <w:sz w:val="20"/>
                <w:szCs w:val="20"/>
              </w:rPr>
            </w:pPr>
            <w:r w:rsidRPr="00760C35">
              <w:rPr>
                <w:rFonts w:cs="Arial"/>
                <w:color w:val="000000"/>
                <w:sz w:val="20"/>
                <w:szCs w:val="20"/>
              </w:rPr>
              <w:t xml:space="preserve">        0.0978 </w:t>
            </w:r>
          </w:p>
        </w:tc>
        <w:tc>
          <w:tcPr>
            <w:tcW w:w="1436" w:type="dxa"/>
            <w:vAlign w:val="bottom"/>
          </w:tcPr>
          <w:p w14:paraId="1F84D743" w14:textId="24B46F44" w:rsidR="00A933C6" w:rsidRPr="00760C35" w:rsidRDefault="00A933C6" w:rsidP="00E44991">
            <w:pPr>
              <w:pStyle w:val="Normal-Table"/>
              <w:jc w:val="right"/>
              <w:rPr>
                <w:rFonts w:cs="Arial"/>
                <w:sz w:val="20"/>
                <w:szCs w:val="20"/>
              </w:rPr>
            </w:pPr>
            <w:r w:rsidRPr="00760C35">
              <w:rPr>
                <w:rFonts w:cs="Arial"/>
                <w:color w:val="000000"/>
                <w:sz w:val="20"/>
                <w:szCs w:val="20"/>
              </w:rPr>
              <w:t>0.0000</w:t>
            </w:r>
          </w:p>
        </w:tc>
      </w:tr>
      <w:tr w:rsidR="00A933C6" w14:paraId="549BA3B6" w14:textId="77777777" w:rsidTr="00760C35">
        <w:trPr>
          <w:trHeight w:val="48"/>
        </w:trPr>
        <w:tc>
          <w:tcPr>
            <w:tcW w:w="3590" w:type="dxa"/>
            <w:vAlign w:val="bottom"/>
          </w:tcPr>
          <w:p w14:paraId="5629B0A8" w14:textId="2CD0BAB5" w:rsidR="00A933C6" w:rsidRPr="00760C35" w:rsidRDefault="00A933C6" w:rsidP="00E44991">
            <w:pPr>
              <w:pStyle w:val="Normal-Table"/>
              <w:rPr>
                <w:rFonts w:cs="Arial"/>
                <w:sz w:val="20"/>
                <w:szCs w:val="20"/>
              </w:rPr>
            </w:pPr>
            <w:r w:rsidRPr="00760C35">
              <w:rPr>
                <w:rFonts w:cs="Arial"/>
                <w:color w:val="000000"/>
                <w:sz w:val="20"/>
                <w:szCs w:val="20"/>
              </w:rPr>
              <w:t>MEDIAN_HOUSEHOLD_INCOME</w:t>
            </w:r>
          </w:p>
        </w:tc>
        <w:tc>
          <w:tcPr>
            <w:tcW w:w="1435" w:type="dxa"/>
            <w:vAlign w:val="bottom"/>
          </w:tcPr>
          <w:p w14:paraId="186AF12E" w14:textId="75D62345" w:rsidR="00A933C6" w:rsidRPr="00760C35" w:rsidRDefault="00A933C6" w:rsidP="00E44991">
            <w:pPr>
              <w:pStyle w:val="Normal-Table"/>
              <w:jc w:val="right"/>
              <w:rPr>
                <w:rFonts w:cs="Arial"/>
                <w:sz w:val="20"/>
                <w:szCs w:val="20"/>
              </w:rPr>
            </w:pPr>
            <w:r w:rsidRPr="00760C35">
              <w:rPr>
                <w:rFonts w:cs="Arial"/>
                <w:color w:val="000000"/>
                <w:sz w:val="20"/>
                <w:szCs w:val="20"/>
              </w:rPr>
              <w:t>-0.0001</w:t>
            </w:r>
          </w:p>
        </w:tc>
        <w:tc>
          <w:tcPr>
            <w:tcW w:w="1467" w:type="dxa"/>
            <w:vAlign w:val="bottom"/>
          </w:tcPr>
          <w:p w14:paraId="59B32483" w14:textId="203E23CD" w:rsidR="00A933C6" w:rsidRPr="00760C35" w:rsidRDefault="00A933C6" w:rsidP="00E44991">
            <w:pPr>
              <w:pStyle w:val="Normal-Table"/>
              <w:jc w:val="right"/>
              <w:rPr>
                <w:rFonts w:cs="Arial"/>
                <w:sz w:val="20"/>
                <w:szCs w:val="20"/>
              </w:rPr>
            </w:pPr>
            <w:r w:rsidRPr="00760C35">
              <w:rPr>
                <w:rFonts w:cs="Arial"/>
                <w:color w:val="000000"/>
                <w:sz w:val="20"/>
                <w:szCs w:val="20"/>
              </w:rPr>
              <w:t xml:space="preserve">        0.0891 </w:t>
            </w:r>
          </w:p>
        </w:tc>
        <w:tc>
          <w:tcPr>
            <w:tcW w:w="1436" w:type="dxa"/>
            <w:vAlign w:val="bottom"/>
          </w:tcPr>
          <w:p w14:paraId="488C9546" w14:textId="3E9B3AD9" w:rsidR="00A933C6" w:rsidRPr="00760C35" w:rsidRDefault="00A933C6" w:rsidP="00E44991">
            <w:pPr>
              <w:pStyle w:val="Normal-Table"/>
              <w:jc w:val="right"/>
              <w:rPr>
                <w:rFonts w:cs="Arial"/>
                <w:sz w:val="20"/>
                <w:szCs w:val="20"/>
              </w:rPr>
            </w:pPr>
            <w:r w:rsidRPr="00760C35">
              <w:rPr>
                <w:rFonts w:cs="Arial"/>
                <w:color w:val="000000"/>
                <w:sz w:val="20"/>
                <w:szCs w:val="20"/>
              </w:rPr>
              <w:t>0.0000</w:t>
            </w:r>
          </w:p>
        </w:tc>
      </w:tr>
      <w:tr w:rsidR="00A933C6" w14:paraId="464E1D0A" w14:textId="77777777" w:rsidTr="00760C35">
        <w:trPr>
          <w:trHeight w:val="48"/>
        </w:trPr>
        <w:tc>
          <w:tcPr>
            <w:tcW w:w="3590" w:type="dxa"/>
            <w:vAlign w:val="bottom"/>
          </w:tcPr>
          <w:p w14:paraId="71E46890" w14:textId="0A0E3437" w:rsidR="00A933C6" w:rsidRPr="00760C35" w:rsidRDefault="00A933C6" w:rsidP="00E44991">
            <w:pPr>
              <w:pStyle w:val="Normal-Table"/>
              <w:rPr>
                <w:rFonts w:cs="Arial"/>
                <w:sz w:val="20"/>
                <w:szCs w:val="20"/>
              </w:rPr>
            </w:pPr>
            <w:r w:rsidRPr="00760C35">
              <w:rPr>
                <w:rFonts w:cs="Arial"/>
                <w:color w:val="000000"/>
                <w:sz w:val="20"/>
                <w:szCs w:val="20"/>
              </w:rPr>
              <w:t>CIV_UNEMPLOYMENT_RATE</w:t>
            </w:r>
          </w:p>
        </w:tc>
        <w:tc>
          <w:tcPr>
            <w:tcW w:w="1435" w:type="dxa"/>
            <w:vAlign w:val="bottom"/>
          </w:tcPr>
          <w:p w14:paraId="628C4848" w14:textId="3DE7BA33" w:rsidR="00A933C6" w:rsidRPr="00760C35" w:rsidRDefault="00A933C6" w:rsidP="00E44991">
            <w:pPr>
              <w:pStyle w:val="Normal-Table"/>
              <w:jc w:val="right"/>
              <w:rPr>
                <w:rFonts w:cs="Arial"/>
                <w:sz w:val="20"/>
                <w:szCs w:val="20"/>
              </w:rPr>
            </w:pPr>
            <w:r w:rsidRPr="00760C35">
              <w:rPr>
                <w:rFonts w:cs="Arial"/>
                <w:color w:val="000000"/>
                <w:sz w:val="20"/>
                <w:szCs w:val="20"/>
              </w:rPr>
              <w:t>1.3134</w:t>
            </w:r>
          </w:p>
        </w:tc>
        <w:tc>
          <w:tcPr>
            <w:tcW w:w="1467" w:type="dxa"/>
            <w:vAlign w:val="bottom"/>
          </w:tcPr>
          <w:p w14:paraId="3ABDE89E" w14:textId="6F30B297" w:rsidR="00A933C6" w:rsidRPr="00760C35" w:rsidRDefault="00A933C6" w:rsidP="00E44991">
            <w:pPr>
              <w:pStyle w:val="Normal-Table"/>
              <w:jc w:val="right"/>
              <w:rPr>
                <w:rFonts w:cs="Arial"/>
                <w:sz w:val="20"/>
                <w:szCs w:val="20"/>
              </w:rPr>
            </w:pPr>
            <w:r w:rsidRPr="00760C35">
              <w:rPr>
                <w:rFonts w:cs="Arial"/>
                <w:color w:val="000000"/>
                <w:sz w:val="20"/>
                <w:szCs w:val="20"/>
              </w:rPr>
              <w:t xml:space="preserve">        0.0883 </w:t>
            </w:r>
          </w:p>
        </w:tc>
        <w:tc>
          <w:tcPr>
            <w:tcW w:w="1436" w:type="dxa"/>
            <w:vAlign w:val="bottom"/>
          </w:tcPr>
          <w:p w14:paraId="2291D5E8" w14:textId="4B1A0369" w:rsidR="00A933C6" w:rsidRPr="00760C35" w:rsidRDefault="00A933C6" w:rsidP="00E44991">
            <w:pPr>
              <w:pStyle w:val="Normal-Table"/>
              <w:jc w:val="right"/>
              <w:rPr>
                <w:rFonts w:cs="Arial"/>
                <w:sz w:val="20"/>
                <w:szCs w:val="20"/>
              </w:rPr>
            </w:pPr>
            <w:r w:rsidRPr="00760C35">
              <w:rPr>
                <w:rFonts w:cs="Arial"/>
                <w:color w:val="000000"/>
                <w:sz w:val="20"/>
                <w:szCs w:val="20"/>
              </w:rPr>
              <w:t>0.0000</w:t>
            </w:r>
          </w:p>
        </w:tc>
      </w:tr>
      <w:tr w:rsidR="00A933C6" w14:paraId="1A20358A" w14:textId="77777777" w:rsidTr="00760C35">
        <w:trPr>
          <w:trHeight w:val="48"/>
        </w:trPr>
        <w:tc>
          <w:tcPr>
            <w:tcW w:w="3590" w:type="dxa"/>
            <w:vAlign w:val="bottom"/>
          </w:tcPr>
          <w:p w14:paraId="3DBCD1D7" w14:textId="5DA3CE4F" w:rsidR="00A933C6" w:rsidRPr="00760C35" w:rsidRDefault="00A933C6" w:rsidP="00E44991">
            <w:pPr>
              <w:pStyle w:val="Normal-Table"/>
              <w:rPr>
                <w:rFonts w:cs="Arial"/>
                <w:color w:val="000000"/>
                <w:sz w:val="20"/>
                <w:szCs w:val="20"/>
              </w:rPr>
            </w:pPr>
            <w:r w:rsidRPr="00760C35">
              <w:rPr>
                <w:rFonts w:cs="Arial"/>
                <w:color w:val="000000"/>
                <w:sz w:val="20"/>
                <w:szCs w:val="20"/>
              </w:rPr>
              <w:t>PER_POP_BELOW_POVERTY</w:t>
            </w:r>
          </w:p>
        </w:tc>
        <w:tc>
          <w:tcPr>
            <w:tcW w:w="1435" w:type="dxa"/>
            <w:vAlign w:val="bottom"/>
          </w:tcPr>
          <w:p w14:paraId="0FCAEA58" w14:textId="45B5393E" w:rsidR="00A933C6" w:rsidRPr="00760C35" w:rsidRDefault="00A933C6" w:rsidP="00E44991">
            <w:pPr>
              <w:pStyle w:val="Normal-Table"/>
              <w:jc w:val="right"/>
              <w:rPr>
                <w:rFonts w:cs="Arial"/>
                <w:color w:val="000000"/>
                <w:sz w:val="20"/>
                <w:szCs w:val="20"/>
              </w:rPr>
            </w:pPr>
            <w:r w:rsidRPr="00760C35">
              <w:rPr>
                <w:rFonts w:cs="Arial"/>
                <w:color w:val="000000"/>
                <w:sz w:val="20"/>
                <w:szCs w:val="20"/>
              </w:rPr>
              <w:t>0.3975</w:t>
            </w:r>
          </w:p>
        </w:tc>
        <w:tc>
          <w:tcPr>
            <w:tcW w:w="1467" w:type="dxa"/>
            <w:vAlign w:val="bottom"/>
          </w:tcPr>
          <w:p w14:paraId="768CDF26" w14:textId="48585C68"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0.0625 </w:t>
            </w:r>
          </w:p>
        </w:tc>
        <w:tc>
          <w:tcPr>
            <w:tcW w:w="1436" w:type="dxa"/>
            <w:vAlign w:val="bottom"/>
          </w:tcPr>
          <w:p w14:paraId="1559A2F4" w14:textId="59D7B917"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0.0000</w:t>
            </w:r>
          </w:p>
        </w:tc>
      </w:tr>
      <w:tr w:rsidR="00A933C6" w14:paraId="238B3B49" w14:textId="77777777" w:rsidTr="00760C35">
        <w:trPr>
          <w:trHeight w:val="48"/>
        </w:trPr>
        <w:tc>
          <w:tcPr>
            <w:tcW w:w="3590" w:type="dxa"/>
            <w:vAlign w:val="bottom"/>
          </w:tcPr>
          <w:p w14:paraId="7BB38250" w14:textId="43FBC37B" w:rsidR="00A933C6" w:rsidRPr="00760C35" w:rsidRDefault="00A933C6" w:rsidP="00E44991">
            <w:pPr>
              <w:pStyle w:val="Normal-Table"/>
              <w:rPr>
                <w:rFonts w:cs="Arial"/>
                <w:color w:val="000000"/>
                <w:sz w:val="20"/>
                <w:szCs w:val="20"/>
              </w:rPr>
            </w:pPr>
            <w:r w:rsidRPr="00760C35">
              <w:rPr>
                <w:rFonts w:cs="Arial"/>
                <w:color w:val="000000"/>
                <w:sz w:val="20"/>
                <w:szCs w:val="20"/>
              </w:rPr>
              <w:t>PER_ASIAN</w:t>
            </w:r>
          </w:p>
        </w:tc>
        <w:tc>
          <w:tcPr>
            <w:tcW w:w="1435" w:type="dxa"/>
            <w:vAlign w:val="bottom"/>
          </w:tcPr>
          <w:p w14:paraId="309B2C78" w14:textId="2C872B5D" w:rsidR="00A933C6" w:rsidRPr="00760C35" w:rsidRDefault="00A933C6" w:rsidP="00E44991">
            <w:pPr>
              <w:pStyle w:val="Normal-Table"/>
              <w:jc w:val="right"/>
              <w:rPr>
                <w:rFonts w:cs="Arial"/>
                <w:color w:val="000000"/>
                <w:sz w:val="20"/>
                <w:szCs w:val="20"/>
              </w:rPr>
            </w:pPr>
            <w:r w:rsidRPr="00760C35">
              <w:rPr>
                <w:rFonts w:cs="Arial"/>
                <w:color w:val="000000"/>
                <w:sz w:val="20"/>
                <w:szCs w:val="20"/>
              </w:rPr>
              <w:t>-0.1798</w:t>
            </w:r>
          </w:p>
        </w:tc>
        <w:tc>
          <w:tcPr>
            <w:tcW w:w="1467" w:type="dxa"/>
            <w:vAlign w:val="bottom"/>
          </w:tcPr>
          <w:p w14:paraId="4C05B40F" w14:textId="589754EB"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0.0413 </w:t>
            </w:r>
          </w:p>
        </w:tc>
        <w:tc>
          <w:tcPr>
            <w:tcW w:w="1436" w:type="dxa"/>
            <w:vAlign w:val="bottom"/>
          </w:tcPr>
          <w:p w14:paraId="11D993B2" w14:textId="40A195CF"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0.0000</w:t>
            </w:r>
          </w:p>
        </w:tc>
      </w:tr>
      <w:tr w:rsidR="00A933C6" w14:paraId="09014347" w14:textId="77777777" w:rsidTr="00760C35">
        <w:trPr>
          <w:trHeight w:val="48"/>
        </w:trPr>
        <w:tc>
          <w:tcPr>
            <w:tcW w:w="3590" w:type="dxa"/>
            <w:vAlign w:val="bottom"/>
          </w:tcPr>
          <w:p w14:paraId="22C36597" w14:textId="3358E166" w:rsidR="00A933C6" w:rsidRPr="00760C35" w:rsidRDefault="00A933C6" w:rsidP="00E44991">
            <w:pPr>
              <w:pStyle w:val="Normal-Table"/>
              <w:rPr>
                <w:rFonts w:cs="Arial"/>
                <w:color w:val="000000"/>
                <w:sz w:val="20"/>
                <w:szCs w:val="20"/>
              </w:rPr>
            </w:pPr>
            <w:r w:rsidRPr="00760C35">
              <w:rPr>
                <w:rFonts w:cs="Arial"/>
                <w:color w:val="000000"/>
                <w:sz w:val="20"/>
                <w:szCs w:val="20"/>
              </w:rPr>
              <w:t>PER_AMERIND</w:t>
            </w:r>
          </w:p>
        </w:tc>
        <w:tc>
          <w:tcPr>
            <w:tcW w:w="1435" w:type="dxa"/>
            <w:vAlign w:val="bottom"/>
          </w:tcPr>
          <w:p w14:paraId="3D1D23D4" w14:textId="73CBD746" w:rsidR="00A933C6" w:rsidRPr="00760C35" w:rsidRDefault="00A933C6" w:rsidP="00E44991">
            <w:pPr>
              <w:pStyle w:val="Normal-Table"/>
              <w:jc w:val="right"/>
              <w:rPr>
                <w:rFonts w:cs="Arial"/>
                <w:color w:val="000000"/>
                <w:sz w:val="20"/>
                <w:szCs w:val="20"/>
              </w:rPr>
            </w:pPr>
            <w:r w:rsidRPr="00760C35">
              <w:rPr>
                <w:rFonts w:cs="Arial"/>
                <w:color w:val="000000"/>
                <w:sz w:val="20"/>
                <w:szCs w:val="20"/>
              </w:rPr>
              <w:t>1.4422</w:t>
            </w:r>
          </w:p>
        </w:tc>
        <w:tc>
          <w:tcPr>
            <w:tcW w:w="1467" w:type="dxa"/>
            <w:vAlign w:val="bottom"/>
          </w:tcPr>
          <w:p w14:paraId="21F44AEB" w14:textId="6E0E94BC"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0.0274 </w:t>
            </w:r>
          </w:p>
        </w:tc>
        <w:tc>
          <w:tcPr>
            <w:tcW w:w="1436" w:type="dxa"/>
            <w:vAlign w:val="bottom"/>
          </w:tcPr>
          <w:p w14:paraId="33EAD71D" w14:textId="406CD753"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0.0000</w:t>
            </w:r>
          </w:p>
        </w:tc>
      </w:tr>
      <w:tr w:rsidR="00A933C6" w14:paraId="63C2068E" w14:textId="77777777" w:rsidTr="00760C35">
        <w:trPr>
          <w:trHeight w:val="48"/>
        </w:trPr>
        <w:tc>
          <w:tcPr>
            <w:tcW w:w="3590" w:type="dxa"/>
            <w:vAlign w:val="bottom"/>
          </w:tcPr>
          <w:p w14:paraId="39BA6AF1" w14:textId="0C03C5FC" w:rsidR="00A933C6" w:rsidRPr="00760C35" w:rsidRDefault="00A933C6" w:rsidP="00E44991">
            <w:pPr>
              <w:pStyle w:val="Normal-Table"/>
              <w:rPr>
                <w:rFonts w:cs="Arial"/>
                <w:color w:val="000000"/>
                <w:sz w:val="20"/>
                <w:szCs w:val="20"/>
              </w:rPr>
            </w:pPr>
            <w:r w:rsidRPr="00760C35">
              <w:rPr>
                <w:rFonts w:cs="Arial"/>
                <w:color w:val="000000"/>
                <w:sz w:val="20"/>
                <w:szCs w:val="20"/>
              </w:rPr>
              <w:t>PER_POP_65+</w:t>
            </w:r>
          </w:p>
        </w:tc>
        <w:tc>
          <w:tcPr>
            <w:tcW w:w="1435" w:type="dxa"/>
            <w:vAlign w:val="bottom"/>
          </w:tcPr>
          <w:p w14:paraId="3FA5738C" w14:textId="07CF13DD" w:rsidR="00A933C6" w:rsidRPr="00760C35" w:rsidRDefault="00A933C6" w:rsidP="00E44991">
            <w:pPr>
              <w:pStyle w:val="Normal-Table"/>
              <w:jc w:val="right"/>
              <w:rPr>
                <w:rFonts w:cs="Arial"/>
                <w:color w:val="000000"/>
                <w:sz w:val="20"/>
                <w:szCs w:val="20"/>
              </w:rPr>
            </w:pPr>
            <w:r w:rsidRPr="00760C35">
              <w:rPr>
                <w:rFonts w:cs="Arial"/>
                <w:color w:val="000000"/>
                <w:sz w:val="20"/>
                <w:szCs w:val="20"/>
              </w:rPr>
              <w:t>-0.2769</w:t>
            </w:r>
          </w:p>
        </w:tc>
        <w:tc>
          <w:tcPr>
            <w:tcW w:w="1467" w:type="dxa"/>
            <w:vAlign w:val="bottom"/>
          </w:tcPr>
          <w:p w14:paraId="494E8D16" w14:textId="2E39CB6B"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0.0169 </w:t>
            </w:r>
          </w:p>
        </w:tc>
        <w:tc>
          <w:tcPr>
            <w:tcW w:w="1436" w:type="dxa"/>
            <w:vAlign w:val="bottom"/>
          </w:tcPr>
          <w:p w14:paraId="65876CEA" w14:textId="7A3DA24E"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0.0001</w:t>
            </w:r>
          </w:p>
        </w:tc>
      </w:tr>
      <w:tr w:rsidR="00A933C6" w14:paraId="156F4349" w14:textId="77777777" w:rsidTr="00760C35">
        <w:trPr>
          <w:trHeight w:val="48"/>
        </w:trPr>
        <w:tc>
          <w:tcPr>
            <w:tcW w:w="3590" w:type="dxa"/>
            <w:vAlign w:val="bottom"/>
          </w:tcPr>
          <w:p w14:paraId="2779C252" w14:textId="7799320B" w:rsidR="00A933C6" w:rsidRPr="00760C35" w:rsidRDefault="00A933C6" w:rsidP="00E44991">
            <w:pPr>
              <w:pStyle w:val="Normal-Table"/>
              <w:rPr>
                <w:rFonts w:cs="Arial"/>
                <w:color w:val="000000"/>
                <w:sz w:val="20"/>
                <w:szCs w:val="20"/>
              </w:rPr>
            </w:pPr>
            <w:r w:rsidRPr="00760C35">
              <w:rPr>
                <w:rFonts w:cs="Arial"/>
                <w:color w:val="000000"/>
                <w:sz w:val="20"/>
                <w:szCs w:val="20"/>
              </w:rPr>
              <w:t>PER_POP_FOREIGNBORN</w:t>
            </w:r>
          </w:p>
        </w:tc>
        <w:tc>
          <w:tcPr>
            <w:tcW w:w="1435" w:type="dxa"/>
            <w:vAlign w:val="bottom"/>
          </w:tcPr>
          <w:p w14:paraId="05208DD2" w14:textId="4B21D585"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0.0398</w:t>
            </w:r>
          </w:p>
        </w:tc>
        <w:tc>
          <w:tcPr>
            <w:tcW w:w="1467" w:type="dxa"/>
            <w:vAlign w:val="bottom"/>
          </w:tcPr>
          <w:p w14:paraId="4CED7673" w14:textId="6C091D2A"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0.0014 </w:t>
            </w:r>
          </w:p>
        </w:tc>
        <w:tc>
          <w:tcPr>
            <w:tcW w:w="1436" w:type="dxa"/>
            <w:vAlign w:val="bottom"/>
          </w:tcPr>
          <w:p w14:paraId="4CE5E65B" w14:textId="34B0C9E5" w:rsidR="00A933C6" w:rsidRPr="00760C35" w:rsidRDefault="00A933C6" w:rsidP="00E44991">
            <w:pPr>
              <w:pStyle w:val="Normal-Table"/>
              <w:jc w:val="right"/>
              <w:rPr>
                <w:rFonts w:cs="Arial"/>
                <w:color w:val="000000"/>
                <w:sz w:val="20"/>
                <w:szCs w:val="20"/>
              </w:rPr>
            </w:pPr>
            <w:r w:rsidRPr="00760C35">
              <w:rPr>
                <w:rFonts w:cs="Arial"/>
                <w:color w:val="000000"/>
                <w:sz w:val="20"/>
                <w:szCs w:val="20"/>
              </w:rPr>
              <w:t>0.2579</w:t>
            </w:r>
          </w:p>
        </w:tc>
      </w:tr>
      <w:tr w:rsidR="00A933C6" w14:paraId="1C10BA7B" w14:textId="77777777" w:rsidTr="00760C35">
        <w:trPr>
          <w:trHeight w:val="48"/>
        </w:trPr>
        <w:tc>
          <w:tcPr>
            <w:tcW w:w="3590" w:type="dxa"/>
            <w:vAlign w:val="bottom"/>
          </w:tcPr>
          <w:p w14:paraId="4BE96893" w14:textId="56CDE8AE" w:rsidR="00A933C6" w:rsidRPr="00760C35" w:rsidRDefault="00A933C6" w:rsidP="00E44991">
            <w:pPr>
              <w:pStyle w:val="Normal-Table"/>
              <w:rPr>
                <w:rFonts w:cs="Arial"/>
                <w:color w:val="000000"/>
                <w:sz w:val="20"/>
                <w:szCs w:val="20"/>
              </w:rPr>
            </w:pPr>
            <w:r w:rsidRPr="00760C35">
              <w:rPr>
                <w:rFonts w:cs="Arial"/>
                <w:color w:val="000000"/>
                <w:sz w:val="20"/>
                <w:szCs w:val="20"/>
              </w:rPr>
              <w:t>PER_WHITE</w:t>
            </w:r>
          </w:p>
        </w:tc>
        <w:tc>
          <w:tcPr>
            <w:tcW w:w="1435" w:type="dxa"/>
            <w:vAlign w:val="bottom"/>
          </w:tcPr>
          <w:p w14:paraId="545DB8AD" w14:textId="3464393F"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0.0235</w:t>
            </w:r>
          </w:p>
        </w:tc>
        <w:tc>
          <w:tcPr>
            <w:tcW w:w="1467" w:type="dxa"/>
            <w:vAlign w:val="bottom"/>
          </w:tcPr>
          <w:p w14:paraId="2A82A68E" w14:textId="03F4FE28"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0.0012 </w:t>
            </w:r>
          </w:p>
        </w:tc>
        <w:tc>
          <w:tcPr>
            <w:tcW w:w="1436" w:type="dxa"/>
            <w:vAlign w:val="bottom"/>
          </w:tcPr>
          <w:p w14:paraId="713C6A07" w14:textId="68C6F6F5" w:rsidR="00A933C6" w:rsidRPr="00760C35" w:rsidRDefault="00A933C6" w:rsidP="00E44991">
            <w:pPr>
              <w:pStyle w:val="Normal-Table"/>
              <w:jc w:val="right"/>
              <w:rPr>
                <w:rFonts w:cs="Arial"/>
                <w:color w:val="000000"/>
                <w:sz w:val="20"/>
                <w:szCs w:val="20"/>
              </w:rPr>
            </w:pPr>
            <w:r w:rsidRPr="00760C35">
              <w:rPr>
                <w:rFonts w:cs="Arial"/>
                <w:color w:val="000000"/>
                <w:sz w:val="20"/>
                <w:szCs w:val="20"/>
              </w:rPr>
              <w:t>0.2974</w:t>
            </w:r>
          </w:p>
        </w:tc>
      </w:tr>
      <w:tr w:rsidR="00A933C6" w14:paraId="29C124AB" w14:textId="77777777" w:rsidTr="00760C35">
        <w:trPr>
          <w:trHeight w:val="48"/>
        </w:trPr>
        <w:tc>
          <w:tcPr>
            <w:tcW w:w="3590" w:type="dxa"/>
            <w:vAlign w:val="bottom"/>
          </w:tcPr>
          <w:p w14:paraId="2EFEAED7" w14:textId="0ACAF5FA" w:rsidR="00A933C6" w:rsidRPr="00760C35" w:rsidRDefault="00A933C6" w:rsidP="00E44991">
            <w:pPr>
              <w:pStyle w:val="Normal-Table"/>
              <w:rPr>
                <w:rFonts w:cs="Arial"/>
                <w:color w:val="000000"/>
                <w:sz w:val="20"/>
                <w:szCs w:val="20"/>
              </w:rPr>
            </w:pPr>
            <w:r w:rsidRPr="00760C35">
              <w:rPr>
                <w:rFonts w:cs="Arial"/>
                <w:color w:val="000000"/>
                <w:sz w:val="20"/>
                <w:szCs w:val="20"/>
              </w:rPr>
              <w:t>PER_BLACK</w:t>
            </w:r>
          </w:p>
        </w:tc>
        <w:tc>
          <w:tcPr>
            <w:tcW w:w="1435" w:type="dxa"/>
            <w:vAlign w:val="bottom"/>
          </w:tcPr>
          <w:p w14:paraId="7B864C83" w14:textId="274B40CD" w:rsidR="00A933C6" w:rsidRPr="00760C35" w:rsidRDefault="00A933C6" w:rsidP="00E44991">
            <w:pPr>
              <w:pStyle w:val="Normal-Table"/>
              <w:jc w:val="right"/>
              <w:rPr>
                <w:rFonts w:cs="Arial"/>
                <w:color w:val="000000"/>
                <w:sz w:val="20"/>
                <w:szCs w:val="20"/>
              </w:rPr>
            </w:pPr>
            <w:r w:rsidRPr="00760C35">
              <w:rPr>
                <w:rFonts w:cs="Arial"/>
                <w:color w:val="000000"/>
                <w:sz w:val="20"/>
                <w:szCs w:val="20"/>
              </w:rPr>
              <w:t>-0.0564</w:t>
            </w:r>
          </w:p>
        </w:tc>
        <w:tc>
          <w:tcPr>
            <w:tcW w:w="1467" w:type="dxa"/>
            <w:vAlign w:val="bottom"/>
          </w:tcPr>
          <w:p w14:paraId="6A3238B2" w14:textId="0D01CF2B" w:rsidR="00A933C6" w:rsidRPr="00760C35" w:rsidRDefault="00A933C6" w:rsidP="00E44991">
            <w:pPr>
              <w:pStyle w:val="Normal-Table"/>
              <w:jc w:val="right"/>
              <w:rPr>
                <w:rFonts w:cs="Arial"/>
                <w:color w:val="000000"/>
                <w:sz w:val="20"/>
                <w:szCs w:val="20"/>
              </w:rPr>
            </w:pPr>
            <w:r w:rsidRPr="00760C35">
              <w:rPr>
                <w:rFonts w:cs="Arial"/>
                <w:color w:val="000000"/>
                <w:sz w:val="20"/>
                <w:szCs w:val="20"/>
              </w:rPr>
              <w:t xml:space="preserve">        0.0012 </w:t>
            </w:r>
          </w:p>
        </w:tc>
        <w:tc>
          <w:tcPr>
            <w:tcW w:w="1436" w:type="dxa"/>
            <w:vAlign w:val="bottom"/>
          </w:tcPr>
          <w:p w14:paraId="23B5EF4A" w14:textId="19755E2B" w:rsidR="00A933C6" w:rsidRPr="00760C35" w:rsidRDefault="00A933C6" w:rsidP="00E44991">
            <w:pPr>
              <w:pStyle w:val="Normal-Table"/>
              <w:jc w:val="right"/>
              <w:rPr>
                <w:rFonts w:cs="Arial"/>
                <w:color w:val="000000"/>
                <w:sz w:val="20"/>
                <w:szCs w:val="20"/>
              </w:rPr>
            </w:pPr>
            <w:r w:rsidRPr="00760C35">
              <w:rPr>
                <w:rFonts w:cs="Arial"/>
                <w:color w:val="000000"/>
                <w:sz w:val="20"/>
                <w:szCs w:val="20"/>
              </w:rPr>
              <w:t>0.3068</w:t>
            </w:r>
          </w:p>
        </w:tc>
      </w:tr>
    </w:tbl>
    <w:p w14:paraId="6771F3ED" w14:textId="77777777" w:rsidR="00D25404" w:rsidRDefault="00D25404" w:rsidP="00D25404">
      <w:pPr>
        <w:pStyle w:val="Normal-Table"/>
      </w:pPr>
    </w:p>
    <w:p w14:paraId="3F5DEBA4" w14:textId="6CED5F32" w:rsidR="00E44991" w:rsidRDefault="00D25404" w:rsidP="00314FC5">
      <w:r>
        <w:lastRenderedPageBreak/>
        <w:t>On their own, PER_WHITE and PER_BLACK have no explanatory power. A positive coefficient means that a percentage point increase in that variable is correlated with the amount of that coefficient increase in percentage points of site penetration (</w:t>
      </w:r>
      <w:proofErr w:type="gramStart"/>
      <w:r>
        <w:t>i.e.</w:t>
      </w:r>
      <w:proofErr w:type="gramEnd"/>
      <w:r w:rsidRPr="00E44991">
        <w:t xml:space="preserve"> </w:t>
      </w:r>
      <w:r>
        <w:t>for every 1 percentage point increase</w:t>
      </w:r>
      <w:r>
        <w:rPr>
          <w:i/>
          <w:iCs/>
        </w:rPr>
        <w:t xml:space="preserve"> PER_HISPANIC_AND</w:t>
      </w:r>
      <w:r>
        <w:t>, there is a corresponding increase of 0.2242 percentage points of site penetration).  PER_AMERIND has a positive correlation and PER_ASIAN has a slight negative correlation with participation rates.  PER_HISPANIC_AND has the most statistically significant effect, with a small positive correlation. PER_POP_BROADBAND has nearly as high an R-squared as PER_HISPANIC_</w:t>
      </w:r>
      <w:proofErr w:type="gramStart"/>
      <w:r>
        <w:t>AND, but</w:t>
      </w:r>
      <w:proofErr w:type="gramEnd"/>
      <w:r>
        <w:t xml:space="preserve"> is a difficult variable to interpret. Whereas income, poverty, and unemployment all have correlations that are counter to our hypothesis that these would indicate lower participation rates. </w:t>
      </w:r>
    </w:p>
    <w:p w14:paraId="6969EC62" w14:textId="35919FA2" w:rsidR="0009494E" w:rsidRDefault="0009494E" w:rsidP="00314FC5">
      <w:r>
        <w:t xml:space="preserve">Next, we used </w:t>
      </w:r>
      <w:proofErr w:type="gramStart"/>
      <w:r>
        <w:t>took</w:t>
      </w:r>
      <w:proofErr w:type="gramEnd"/>
      <w:r>
        <w:t xml:space="preserve"> the previous regression we developed that looked at firm size, CES3.0 score, and business density and controlled for the different demographic and socioeconomic variables identified in </w:t>
      </w:r>
      <w:r>
        <w:fldChar w:fldCharType="begin"/>
      </w:r>
      <w:r>
        <w:instrText xml:space="preserve"> REF _Ref74925302 \h </w:instrText>
      </w:r>
      <w:r>
        <w:fldChar w:fldCharType="separate"/>
      </w:r>
      <w:r w:rsidR="00A74C64">
        <w:t xml:space="preserve">Table </w:t>
      </w:r>
      <w:r w:rsidR="00A74C64">
        <w:rPr>
          <w:noProof/>
        </w:rPr>
        <w:t>14</w:t>
      </w:r>
      <w:r>
        <w:fldChar w:fldCharType="end"/>
      </w:r>
      <w:r>
        <w:t>. This led to many of the variables no longer being statistically significant, and through a feature trimming process we were able to arrive at the following regression that brings together all the features that we looked at for against site penetration.</w:t>
      </w:r>
    </w:p>
    <w:p w14:paraId="1756B140" w14:textId="7EFC90CD" w:rsidR="00E44991" w:rsidRDefault="00E44991" w:rsidP="00E44991">
      <w:pPr>
        <w:pStyle w:val="Caption"/>
      </w:pPr>
      <w:bookmarkStart w:id="48" w:name="_Toc76121108"/>
      <w:r>
        <w:t xml:space="preserve">Table </w:t>
      </w:r>
      <w:r w:rsidR="00DB1658">
        <w:fldChar w:fldCharType="begin"/>
      </w:r>
      <w:r w:rsidR="00DB1658">
        <w:instrText xml:space="preserve"> SEQ Table \* ARABIC </w:instrText>
      </w:r>
      <w:r w:rsidR="00DB1658">
        <w:fldChar w:fldCharType="separate"/>
      </w:r>
      <w:r w:rsidR="00A74C64">
        <w:rPr>
          <w:noProof/>
        </w:rPr>
        <w:t>15</w:t>
      </w:r>
      <w:r w:rsidR="00DB1658">
        <w:rPr>
          <w:noProof/>
        </w:rPr>
        <w:fldChar w:fldCharType="end"/>
      </w:r>
      <w:r>
        <w:t>. Site Penetration vs. Firm Size, CES3.0, Density, and Demographics</w:t>
      </w:r>
      <w:bookmarkEnd w:id="48"/>
    </w:p>
    <w:tbl>
      <w:tblPr>
        <w:tblStyle w:val="TableGrid"/>
        <w:tblW w:w="0" w:type="auto"/>
        <w:tblLook w:val="04A0" w:firstRow="1" w:lastRow="0" w:firstColumn="1" w:lastColumn="0" w:noHBand="0" w:noVBand="1"/>
      </w:tblPr>
      <w:tblGrid>
        <w:gridCol w:w="3591"/>
        <w:gridCol w:w="1474"/>
        <w:gridCol w:w="1451"/>
        <w:gridCol w:w="1405"/>
        <w:gridCol w:w="1429"/>
      </w:tblGrid>
      <w:tr w:rsidR="00314FC5" w:rsidRPr="004C3994" w14:paraId="4C90C823" w14:textId="77777777" w:rsidTr="00FE1CFE">
        <w:tc>
          <w:tcPr>
            <w:tcW w:w="7921" w:type="dxa"/>
            <w:gridSpan w:val="4"/>
            <w:tcBorders>
              <w:bottom w:val="nil"/>
              <w:right w:val="nil"/>
            </w:tcBorders>
            <w:shd w:val="clear" w:color="auto" w:fill="DBE5F1" w:themeFill="accent1" w:themeFillTint="33"/>
            <w:vAlign w:val="bottom"/>
          </w:tcPr>
          <w:p w14:paraId="73DAAD9A" w14:textId="0EE4AB44" w:rsidR="00314FC5" w:rsidRDefault="00314FC5" w:rsidP="00314FC5">
            <w:pPr>
              <w:pStyle w:val="Normal-Table"/>
              <w:jc w:val="right"/>
              <w:rPr>
                <w:rFonts w:cs="Arial"/>
                <w:b/>
                <w:bCs w:val="0"/>
                <w:color w:val="000000"/>
                <w:szCs w:val="22"/>
              </w:rPr>
            </w:pPr>
            <w:r>
              <w:rPr>
                <w:rFonts w:cs="Arial"/>
                <w:b/>
                <w:bCs w:val="0"/>
                <w:color w:val="000000"/>
                <w:szCs w:val="22"/>
              </w:rPr>
              <w:t>R-squared</w:t>
            </w:r>
          </w:p>
        </w:tc>
        <w:tc>
          <w:tcPr>
            <w:tcW w:w="1429" w:type="dxa"/>
            <w:tcBorders>
              <w:left w:val="nil"/>
              <w:bottom w:val="nil"/>
            </w:tcBorders>
            <w:shd w:val="clear" w:color="auto" w:fill="DBE5F1" w:themeFill="accent1" w:themeFillTint="33"/>
            <w:vAlign w:val="bottom"/>
          </w:tcPr>
          <w:p w14:paraId="2742E67B" w14:textId="5A75F072" w:rsidR="00314FC5" w:rsidRDefault="00314FC5" w:rsidP="00314FC5">
            <w:pPr>
              <w:pStyle w:val="Normal-Table"/>
              <w:jc w:val="right"/>
              <w:rPr>
                <w:rFonts w:cs="Arial"/>
                <w:b/>
                <w:bCs w:val="0"/>
                <w:color w:val="000000"/>
                <w:szCs w:val="22"/>
              </w:rPr>
            </w:pPr>
            <w:r>
              <w:rPr>
                <w:rFonts w:cs="Arial"/>
                <w:color w:val="000000"/>
                <w:szCs w:val="22"/>
              </w:rPr>
              <w:t>0.419</w:t>
            </w:r>
          </w:p>
        </w:tc>
      </w:tr>
      <w:tr w:rsidR="00314FC5" w:rsidRPr="004C3994" w14:paraId="1BCFF54A" w14:textId="77777777" w:rsidTr="00FE1CFE">
        <w:tc>
          <w:tcPr>
            <w:tcW w:w="7921" w:type="dxa"/>
            <w:gridSpan w:val="4"/>
            <w:tcBorders>
              <w:top w:val="nil"/>
              <w:right w:val="nil"/>
            </w:tcBorders>
            <w:shd w:val="clear" w:color="auto" w:fill="DBE5F1" w:themeFill="accent1" w:themeFillTint="33"/>
            <w:vAlign w:val="bottom"/>
          </w:tcPr>
          <w:p w14:paraId="695ABD2E" w14:textId="77777777" w:rsidR="00314FC5" w:rsidRDefault="00314FC5" w:rsidP="00314FC5">
            <w:pPr>
              <w:pStyle w:val="Normal-Table"/>
              <w:jc w:val="right"/>
              <w:rPr>
                <w:rFonts w:cs="Arial"/>
                <w:b/>
                <w:bCs w:val="0"/>
                <w:color w:val="000000"/>
                <w:szCs w:val="22"/>
              </w:rPr>
            </w:pPr>
            <w:r>
              <w:rPr>
                <w:rFonts w:cs="Arial"/>
                <w:b/>
                <w:bCs w:val="0"/>
                <w:color w:val="000000"/>
                <w:szCs w:val="22"/>
              </w:rPr>
              <w:t>Adjusted R-Squared:</w:t>
            </w:r>
          </w:p>
        </w:tc>
        <w:tc>
          <w:tcPr>
            <w:tcW w:w="1429" w:type="dxa"/>
            <w:tcBorders>
              <w:top w:val="nil"/>
              <w:left w:val="nil"/>
            </w:tcBorders>
            <w:shd w:val="clear" w:color="auto" w:fill="DBE5F1" w:themeFill="accent1" w:themeFillTint="33"/>
            <w:vAlign w:val="bottom"/>
          </w:tcPr>
          <w:p w14:paraId="59187F14" w14:textId="11A0F69D" w:rsidR="00314FC5" w:rsidRDefault="00314FC5" w:rsidP="00314FC5">
            <w:pPr>
              <w:pStyle w:val="Normal-Table"/>
              <w:jc w:val="right"/>
              <w:rPr>
                <w:rFonts w:cs="Arial"/>
                <w:b/>
                <w:bCs w:val="0"/>
                <w:color w:val="000000"/>
                <w:szCs w:val="22"/>
              </w:rPr>
            </w:pPr>
            <w:r>
              <w:rPr>
                <w:rFonts w:cs="Arial"/>
                <w:color w:val="000000"/>
                <w:szCs w:val="22"/>
              </w:rPr>
              <w:t>0.412</w:t>
            </w:r>
          </w:p>
        </w:tc>
      </w:tr>
      <w:tr w:rsidR="00E44991" w:rsidRPr="004C3994" w14:paraId="1D9F48D4" w14:textId="77777777" w:rsidTr="00FE1CFE">
        <w:trPr>
          <w:trHeight w:val="350"/>
        </w:trPr>
        <w:tc>
          <w:tcPr>
            <w:tcW w:w="3591" w:type="dxa"/>
            <w:shd w:val="clear" w:color="auto" w:fill="DBE5F1" w:themeFill="accent1" w:themeFillTint="33"/>
            <w:vAlign w:val="bottom"/>
          </w:tcPr>
          <w:p w14:paraId="1401D541" w14:textId="77777777" w:rsidR="00E44991" w:rsidRPr="004C3994" w:rsidRDefault="00E44991" w:rsidP="00FE1CFE">
            <w:pPr>
              <w:pStyle w:val="Normal-Table"/>
              <w:rPr>
                <w:b/>
                <w:bCs w:val="0"/>
              </w:rPr>
            </w:pPr>
            <w:r>
              <w:rPr>
                <w:rFonts w:cs="Arial"/>
                <w:b/>
                <w:bCs w:val="0"/>
                <w:color w:val="000000"/>
                <w:szCs w:val="22"/>
              </w:rPr>
              <w:t>Feature</w:t>
            </w:r>
          </w:p>
        </w:tc>
        <w:tc>
          <w:tcPr>
            <w:tcW w:w="1474" w:type="dxa"/>
            <w:shd w:val="clear" w:color="auto" w:fill="DBE5F1" w:themeFill="accent1" w:themeFillTint="33"/>
            <w:vAlign w:val="bottom"/>
          </w:tcPr>
          <w:p w14:paraId="255EC906" w14:textId="77777777" w:rsidR="00E44991" w:rsidRPr="004C3994" w:rsidRDefault="00E44991" w:rsidP="00FE1CFE">
            <w:pPr>
              <w:pStyle w:val="Normal-Table"/>
              <w:jc w:val="right"/>
              <w:rPr>
                <w:b/>
                <w:bCs w:val="0"/>
              </w:rPr>
            </w:pPr>
            <w:r>
              <w:rPr>
                <w:rFonts w:cs="Arial"/>
                <w:b/>
                <w:bCs w:val="0"/>
                <w:color w:val="000000"/>
                <w:szCs w:val="22"/>
              </w:rPr>
              <w:t>Coeff</w:t>
            </w:r>
          </w:p>
        </w:tc>
        <w:tc>
          <w:tcPr>
            <w:tcW w:w="1451" w:type="dxa"/>
            <w:shd w:val="clear" w:color="auto" w:fill="DBE5F1" w:themeFill="accent1" w:themeFillTint="33"/>
            <w:vAlign w:val="bottom"/>
          </w:tcPr>
          <w:p w14:paraId="4052BDAD" w14:textId="77777777" w:rsidR="00E44991" w:rsidRDefault="00E44991" w:rsidP="00FE1CFE">
            <w:pPr>
              <w:pStyle w:val="Normal-Table"/>
              <w:jc w:val="right"/>
              <w:rPr>
                <w:b/>
                <w:bCs w:val="0"/>
              </w:rPr>
            </w:pPr>
            <w:r>
              <w:rPr>
                <w:rFonts w:cs="Arial"/>
                <w:b/>
                <w:bCs w:val="0"/>
                <w:color w:val="000000"/>
                <w:szCs w:val="22"/>
              </w:rPr>
              <w:t>Std Err</w:t>
            </w:r>
          </w:p>
        </w:tc>
        <w:tc>
          <w:tcPr>
            <w:tcW w:w="1405" w:type="dxa"/>
            <w:shd w:val="clear" w:color="auto" w:fill="DBE5F1" w:themeFill="accent1" w:themeFillTint="33"/>
            <w:vAlign w:val="bottom"/>
          </w:tcPr>
          <w:p w14:paraId="41436F2A" w14:textId="77777777" w:rsidR="00E44991" w:rsidRDefault="00E44991" w:rsidP="00FE1CFE">
            <w:pPr>
              <w:pStyle w:val="Normal-Table"/>
              <w:jc w:val="right"/>
              <w:rPr>
                <w:b/>
                <w:bCs w:val="0"/>
              </w:rPr>
            </w:pPr>
            <w:r>
              <w:rPr>
                <w:rFonts w:cs="Arial"/>
                <w:b/>
                <w:bCs w:val="0"/>
                <w:color w:val="000000"/>
                <w:szCs w:val="22"/>
              </w:rPr>
              <w:t>t</w:t>
            </w:r>
          </w:p>
        </w:tc>
        <w:tc>
          <w:tcPr>
            <w:tcW w:w="1429" w:type="dxa"/>
            <w:shd w:val="clear" w:color="auto" w:fill="DBE5F1" w:themeFill="accent1" w:themeFillTint="33"/>
            <w:vAlign w:val="bottom"/>
          </w:tcPr>
          <w:p w14:paraId="530C6584" w14:textId="77777777" w:rsidR="00E44991" w:rsidRDefault="00E44991" w:rsidP="00FE1CFE">
            <w:pPr>
              <w:pStyle w:val="Normal-Table"/>
              <w:jc w:val="right"/>
              <w:rPr>
                <w:b/>
                <w:bCs w:val="0"/>
              </w:rPr>
            </w:pPr>
            <w:r>
              <w:rPr>
                <w:rFonts w:cs="Arial"/>
                <w:b/>
                <w:bCs w:val="0"/>
                <w:color w:val="000000"/>
                <w:szCs w:val="22"/>
              </w:rPr>
              <w:t>P&gt;|t|</w:t>
            </w:r>
          </w:p>
        </w:tc>
      </w:tr>
      <w:tr w:rsidR="00314FC5" w14:paraId="17CA15D6" w14:textId="77777777" w:rsidTr="00FE1CFE">
        <w:trPr>
          <w:trHeight w:val="350"/>
        </w:trPr>
        <w:tc>
          <w:tcPr>
            <w:tcW w:w="3591" w:type="dxa"/>
          </w:tcPr>
          <w:p w14:paraId="02B9B89F" w14:textId="080984CE" w:rsidR="00314FC5" w:rsidRDefault="00314FC5" w:rsidP="00314FC5">
            <w:pPr>
              <w:pStyle w:val="Normal-Table"/>
            </w:pPr>
            <w:r>
              <w:rPr>
                <w:rFonts w:cs="Arial"/>
                <w:color w:val="000000"/>
                <w:szCs w:val="22"/>
              </w:rPr>
              <w:t>Intercept</w:t>
            </w:r>
          </w:p>
        </w:tc>
        <w:tc>
          <w:tcPr>
            <w:tcW w:w="1474" w:type="dxa"/>
            <w:vAlign w:val="center"/>
          </w:tcPr>
          <w:p w14:paraId="29EC69CE" w14:textId="41ED4F19" w:rsidR="00314FC5" w:rsidRDefault="00314FC5" w:rsidP="00314FC5">
            <w:pPr>
              <w:pStyle w:val="Normal-Table"/>
              <w:jc w:val="right"/>
            </w:pPr>
            <w:r>
              <w:rPr>
                <w:rFonts w:cs="Arial"/>
                <w:color w:val="000000"/>
                <w:szCs w:val="22"/>
              </w:rPr>
              <w:t>243.5789</w:t>
            </w:r>
          </w:p>
        </w:tc>
        <w:tc>
          <w:tcPr>
            <w:tcW w:w="1451" w:type="dxa"/>
            <w:vAlign w:val="center"/>
          </w:tcPr>
          <w:p w14:paraId="6DA3C699" w14:textId="4FD1DE5F" w:rsidR="00314FC5" w:rsidRDefault="00314FC5" w:rsidP="00314FC5">
            <w:pPr>
              <w:pStyle w:val="Normal-Table"/>
              <w:jc w:val="right"/>
            </w:pPr>
            <w:r>
              <w:rPr>
                <w:rFonts w:cs="Arial"/>
                <w:color w:val="000000"/>
                <w:szCs w:val="22"/>
              </w:rPr>
              <w:t xml:space="preserve">      19.8620 </w:t>
            </w:r>
          </w:p>
        </w:tc>
        <w:tc>
          <w:tcPr>
            <w:tcW w:w="1405" w:type="dxa"/>
            <w:vAlign w:val="center"/>
          </w:tcPr>
          <w:p w14:paraId="3F06C65B" w14:textId="35F9F05A" w:rsidR="00314FC5" w:rsidRDefault="00314FC5" w:rsidP="00314FC5">
            <w:pPr>
              <w:pStyle w:val="Normal-Table"/>
              <w:jc w:val="right"/>
            </w:pPr>
            <w:r>
              <w:rPr>
                <w:rFonts w:cs="Arial"/>
                <w:color w:val="000000"/>
                <w:szCs w:val="22"/>
              </w:rPr>
              <w:t>12.26</w:t>
            </w:r>
          </w:p>
        </w:tc>
        <w:tc>
          <w:tcPr>
            <w:tcW w:w="1429" w:type="dxa"/>
            <w:vAlign w:val="center"/>
          </w:tcPr>
          <w:p w14:paraId="01F464C2" w14:textId="5553F6E3" w:rsidR="00314FC5" w:rsidRDefault="00314FC5" w:rsidP="00314FC5">
            <w:pPr>
              <w:pStyle w:val="Normal-Table"/>
              <w:jc w:val="right"/>
            </w:pPr>
            <w:r>
              <w:rPr>
                <w:rFonts w:cs="Arial"/>
                <w:color w:val="000000"/>
                <w:szCs w:val="22"/>
              </w:rPr>
              <w:t>0.0000</w:t>
            </w:r>
          </w:p>
        </w:tc>
      </w:tr>
      <w:tr w:rsidR="00314FC5" w14:paraId="20D6CEDD" w14:textId="77777777" w:rsidTr="00FE1CFE">
        <w:trPr>
          <w:trHeight w:val="350"/>
        </w:trPr>
        <w:tc>
          <w:tcPr>
            <w:tcW w:w="3591" w:type="dxa"/>
          </w:tcPr>
          <w:p w14:paraId="3EB45E6E" w14:textId="76FBFE3A" w:rsidR="00314FC5" w:rsidRDefault="00314FC5" w:rsidP="00314FC5">
            <w:pPr>
              <w:pStyle w:val="Normal-Table"/>
            </w:pPr>
            <w:r>
              <w:rPr>
                <w:rFonts w:cs="Arial"/>
                <w:color w:val="000000"/>
                <w:szCs w:val="22"/>
              </w:rPr>
              <w:t>PER_MICRO</w:t>
            </w:r>
          </w:p>
        </w:tc>
        <w:tc>
          <w:tcPr>
            <w:tcW w:w="1474" w:type="dxa"/>
            <w:vAlign w:val="center"/>
          </w:tcPr>
          <w:p w14:paraId="28976878" w14:textId="21F291F0" w:rsidR="00314FC5" w:rsidRDefault="00314FC5" w:rsidP="00314FC5">
            <w:pPr>
              <w:pStyle w:val="Normal-Table"/>
              <w:jc w:val="right"/>
            </w:pPr>
            <w:r>
              <w:rPr>
                <w:rFonts w:cs="Arial"/>
                <w:color w:val="000000"/>
                <w:szCs w:val="22"/>
              </w:rPr>
              <w:t>-2.2334</w:t>
            </w:r>
          </w:p>
        </w:tc>
        <w:tc>
          <w:tcPr>
            <w:tcW w:w="1451" w:type="dxa"/>
            <w:vAlign w:val="center"/>
          </w:tcPr>
          <w:p w14:paraId="538F9A82" w14:textId="241A5DB2" w:rsidR="00314FC5" w:rsidRDefault="00314FC5" w:rsidP="00314FC5">
            <w:pPr>
              <w:pStyle w:val="Normal-Table"/>
              <w:jc w:val="right"/>
            </w:pPr>
            <w:r>
              <w:rPr>
                <w:rFonts w:cs="Arial"/>
                <w:color w:val="000000"/>
                <w:szCs w:val="22"/>
              </w:rPr>
              <w:t xml:space="preserve">        0.1920 </w:t>
            </w:r>
          </w:p>
        </w:tc>
        <w:tc>
          <w:tcPr>
            <w:tcW w:w="1405" w:type="dxa"/>
            <w:vAlign w:val="center"/>
          </w:tcPr>
          <w:p w14:paraId="4727620A" w14:textId="03DC51AB" w:rsidR="00314FC5" w:rsidRDefault="00314FC5" w:rsidP="00314FC5">
            <w:pPr>
              <w:pStyle w:val="Normal-Table"/>
              <w:jc w:val="right"/>
            </w:pPr>
            <w:r>
              <w:rPr>
                <w:rFonts w:cs="Arial"/>
                <w:color w:val="000000"/>
                <w:szCs w:val="22"/>
              </w:rPr>
              <w:t>-11.64</w:t>
            </w:r>
          </w:p>
        </w:tc>
        <w:tc>
          <w:tcPr>
            <w:tcW w:w="1429" w:type="dxa"/>
            <w:vAlign w:val="center"/>
          </w:tcPr>
          <w:p w14:paraId="4CE8FA4A" w14:textId="44EB991E" w:rsidR="00314FC5" w:rsidRDefault="00314FC5" w:rsidP="00314FC5">
            <w:pPr>
              <w:pStyle w:val="Normal-Table"/>
              <w:jc w:val="right"/>
            </w:pPr>
            <w:r>
              <w:rPr>
                <w:rFonts w:cs="Arial"/>
                <w:color w:val="000000"/>
                <w:szCs w:val="22"/>
              </w:rPr>
              <w:t>0.0000</w:t>
            </w:r>
          </w:p>
        </w:tc>
      </w:tr>
      <w:tr w:rsidR="00314FC5" w14:paraId="5B8D5C8A" w14:textId="77777777" w:rsidTr="00FE1CFE">
        <w:trPr>
          <w:trHeight w:val="350"/>
        </w:trPr>
        <w:tc>
          <w:tcPr>
            <w:tcW w:w="3591" w:type="dxa"/>
          </w:tcPr>
          <w:p w14:paraId="6BCAAFED" w14:textId="3A2DDE09" w:rsidR="00314FC5" w:rsidRDefault="00314FC5" w:rsidP="00314FC5">
            <w:pPr>
              <w:pStyle w:val="Normal-Table"/>
            </w:pPr>
            <w:r>
              <w:rPr>
                <w:rFonts w:cs="Arial"/>
                <w:color w:val="000000"/>
                <w:szCs w:val="22"/>
              </w:rPr>
              <w:t>PER_SMALL</w:t>
            </w:r>
          </w:p>
        </w:tc>
        <w:tc>
          <w:tcPr>
            <w:tcW w:w="1474" w:type="dxa"/>
            <w:vAlign w:val="center"/>
          </w:tcPr>
          <w:p w14:paraId="59CC076A" w14:textId="37A9595D" w:rsidR="00314FC5" w:rsidRDefault="00314FC5" w:rsidP="00314FC5">
            <w:pPr>
              <w:pStyle w:val="Normal-Table"/>
              <w:jc w:val="right"/>
            </w:pPr>
            <w:r>
              <w:rPr>
                <w:rFonts w:cs="Arial"/>
                <w:color w:val="000000"/>
                <w:szCs w:val="22"/>
              </w:rPr>
              <w:t>-2.1387</w:t>
            </w:r>
          </w:p>
        </w:tc>
        <w:tc>
          <w:tcPr>
            <w:tcW w:w="1451" w:type="dxa"/>
            <w:vAlign w:val="center"/>
          </w:tcPr>
          <w:p w14:paraId="03455224" w14:textId="0C091857" w:rsidR="00314FC5" w:rsidRDefault="00314FC5" w:rsidP="00314FC5">
            <w:pPr>
              <w:pStyle w:val="Normal-Table"/>
              <w:jc w:val="right"/>
            </w:pPr>
            <w:r>
              <w:rPr>
                <w:rFonts w:cs="Arial"/>
                <w:color w:val="000000"/>
                <w:szCs w:val="22"/>
              </w:rPr>
              <w:t xml:space="preserve">        0.2050 </w:t>
            </w:r>
          </w:p>
        </w:tc>
        <w:tc>
          <w:tcPr>
            <w:tcW w:w="1405" w:type="dxa"/>
            <w:vAlign w:val="center"/>
          </w:tcPr>
          <w:p w14:paraId="156CE062" w14:textId="5753784D" w:rsidR="00314FC5" w:rsidRDefault="00314FC5" w:rsidP="00314FC5">
            <w:pPr>
              <w:pStyle w:val="Normal-Table"/>
              <w:jc w:val="right"/>
            </w:pPr>
            <w:r>
              <w:rPr>
                <w:rFonts w:cs="Arial"/>
                <w:color w:val="000000"/>
                <w:szCs w:val="22"/>
              </w:rPr>
              <w:t>-10.44</w:t>
            </w:r>
          </w:p>
        </w:tc>
        <w:tc>
          <w:tcPr>
            <w:tcW w:w="1429" w:type="dxa"/>
            <w:vAlign w:val="center"/>
          </w:tcPr>
          <w:p w14:paraId="0CE8D704" w14:textId="49C9ED03" w:rsidR="00314FC5" w:rsidRDefault="00314FC5" w:rsidP="00314FC5">
            <w:pPr>
              <w:pStyle w:val="Normal-Table"/>
              <w:jc w:val="right"/>
            </w:pPr>
            <w:r>
              <w:rPr>
                <w:rFonts w:cs="Arial"/>
                <w:color w:val="000000"/>
                <w:szCs w:val="22"/>
              </w:rPr>
              <w:t>0.0000</w:t>
            </w:r>
          </w:p>
        </w:tc>
      </w:tr>
      <w:tr w:rsidR="00314FC5" w14:paraId="136A56E2" w14:textId="77777777" w:rsidTr="00FE1CFE">
        <w:trPr>
          <w:trHeight w:val="350"/>
        </w:trPr>
        <w:tc>
          <w:tcPr>
            <w:tcW w:w="3591" w:type="dxa"/>
          </w:tcPr>
          <w:p w14:paraId="5923FACA" w14:textId="3CB4C572" w:rsidR="00314FC5" w:rsidRDefault="00314FC5" w:rsidP="00314FC5">
            <w:pPr>
              <w:pStyle w:val="Normal-Table"/>
            </w:pPr>
            <w:r>
              <w:rPr>
                <w:rFonts w:cs="Arial"/>
                <w:color w:val="000000"/>
                <w:szCs w:val="22"/>
              </w:rPr>
              <w:t>PER_MED</w:t>
            </w:r>
          </w:p>
        </w:tc>
        <w:tc>
          <w:tcPr>
            <w:tcW w:w="1474" w:type="dxa"/>
            <w:vAlign w:val="center"/>
          </w:tcPr>
          <w:p w14:paraId="5458FD5C" w14:textId="01DE4322" w:rsidR="00314FC5" w:rsidRDefault="00314FC5" w:rsidP="00314FC5">
            <w:pPr>
              <w:pStyle w:val="Normal-Table"/>
              <w:jc w:val="right"/>
            </w:pPr>
            <w:r>
              <w:rPr>
                <w:rFonts w:cs="Arial"/>
                <w:color w:val="000000"/>
                <w:szCs w:val="22"/>
              </w:rPr>
              <w:t>-2.5225</w:t>
            </w:r>
          </w:p>
        </w:tc>
        <w:tc>
          <w:tcPr>
            <w:tcW w:w="1451" w:type="dxa"/>
            <w:vAlign w:val="center"/>
          </w:tcPr>
          <w:p w14:paraId="74FC946D" w14:textId="201DF7EF" w:rsidR="00314FC5" w:rsidRDefault="00314FC5" w:rsidP="00314FC5">
            <w:pPr>
              <w:pStyle w:val="Normal-Table"/>
              <w:jc w:val="right"/>
            </w:pPr>
            <w:r>
              <w:rPr>
                <w:rFonts w:cs="Arial"/>
                <w:color w:val="000000"/>
                <w:szCs w:val="22"/>
              </w:rPr>
              <w:t xml:space="preserve">        0.2820 </w:t>
            </w:r>
          </w:p>
        </w:tc>
        <w:tc>
          <w:tcPr>
            <w:tcW w:w="1405" w:type="dxa"/>
            <w:vAlign w:val="center"/>
          </w:tcPr>
          <w:p w14:paraId="18D709EB" w14:textId="52AA76AF" w:rsidR="00314FC5" w:rsidRDefault="00314FC5" w:rsidP="00314FC5">
            <w:pPr>
              <w:pStyle w:val="Normal-Table"/>
              <w:jc w:val="right"/>
            </w:pPr>
            <w:r>
              <w:rPr>
                <w:rFonts w:cs="Arial"/>
                <w:color w:val="000000"/>
                <w:szCs w:val="22"/>
              </w:rPr>
              <w:t>-8.94</w:t>
            </w:r>
          </w:p>
        </w:tc>
        <w:tc>
          <w:tcPr>
            <w:tcW w:w="1429" w:type="dxa"/>
            <w:vAlign w:val="center"/>
          </w:tcPr>
          <w:p w14:paraId="0CA43AA4" w14:textId="0EE76EC3" w:rsidR="00314FC5" w:rsidRDefault="00314FC5" w:rsidP="00314FC5">
            <w:pPr>
              <w:pStyle w:val="Normal-Table"/>
              <w:jc w:val="right"/>
            </w:pPr>
            <w:r>
              <w:rPr>
                <w:rFonts w:cs="Arial"/>
                <w:color w:val="000000"/>
                <w:szCs w:val="22"/>
              </w:rPr>
              <w:t>0.0000</w:t>
            </w:r>
          </w:p>
        </w:tc>
      </w:tr>
      <w:tr w:rsidR="00314FC5" w14:paraId="748315F2" w14:textId="77777777" w:rsidTr="00FE1CFE">
        <w:trPr>
          <w:trHeight w:val="350"/>
        </w:trPr>
        <w:tc>
          <w:tcPr>
            <w:tcW w:w="3591" w:type="dxa"/>
          </w:tcPr>
          <w:p w14:paraId="7193E381" w14:textId="55D3BD40" w:rsidR="00314FC5" w:rsidRDefault="00314FC5" w:rsidP="00314FC5">
            <w:pPr>
              <w:pStyle w:val="Normal-Table"/>
            </w:pPr>
            <w:r>
              <w:rPr>
                <w:rFonts w:cs="Arial"/>
                <w:color w:val="000000"/>
                <w:szCs w:val="22"/>
              </w:rPr>
              <w:t>POP_WEIGHTED_CES3_SCORE</w:t>
            </w:r>
          </w:p>
        </w:tc>
        <w:tc>
          <w:tcPr>
            <w:tcW w:w="1474" w:type="dxa"/>
            <w:vAlign w:val="center"/>
          </w:tcPr>
          <w:p w14:paraId="518BD009" w14:textId="00B72B2B" w:rsidR="00314FC5" w:rsidRDefault="00314FC5" w:rsidP="00314FC5">
            <w:pPr>
              <w:pStyle w:val="Normal-Table"/>
              <w:jc w:val="right"/>
            </w:pPr>
            <w:r>
              <w:rPr>
                <w:rFonts w:cs="Arial"/>
                <w:color w:val="000000"/>
                <w:szCs w:val="22"/>
              </w:rPr>
              <w:t>-0.0903</w:t>
            </w:r>
          </w:p>
        </w:tc>
        <w:tc>
          <w:tcPr>
            <w:tcW w:w="1451" w:type="dxa"/>
            <w:vAlign w:val="center"/>
          </w:tcPr>
          <w:p w14:paraId="7BB8D2FD" w14:textId="27DF0716" w:rsidR="00314FC5" w:rsidRDefault="00314FC5" w:rsidP="00314FC5">
            <w:pPr>
              <w:pStyle w:val="Normal-Table"/>
              <w:jc w:val="right"/>
            </w:pPr>
            <w:r>
              <w:rPr>
                <w:rFonts w:cs="Arial"/>
                <w:color w:val="000000"/>
                <w:szCs w:val="22"/>
              </w:rPr>
              <w:t xml:space="preserve">        0.0430 </w:t>
            </w:r>
          </w:p>
        </w:tc>
        <w:tc>
          <w:tcPr>
            <w:tcW w:w="1405" w:type="dxa"/>
            <w:vAlign w:val="center"/>
          </w:tcPr>
          <w:p w14:paraId="7C833F6C" w14:textId="00563097" w:rsidR="00314FC5" w:rsidRDefault="00314FC5" w:rsidP="00314FC5">
            <w:pPr>
              <w:pStyle w:val="Normal-Table"/>
              <w:jc w:val="right"/>
            </w:pPr>
            <w:r>
              <w:rPr>
                <w:rFonts w:cs="Arial"/>
                <w:color w:val="000000"/>
                <w:szCs w:val="22"/>
              </w:rPr>
              <w:t>-2.12</w:t>
            </w:r>
          </w:p>
        </w:tc>
        <w:tc>
          <w:tcPr>
            <w:tcW w:w="1429" w:type="dxa"/>
            <w:vAlign w:val="center"/>
          </w:tcPr>
          <w:p w14:paraId="52251AD4" w14:textId="6C363EF5" w:rsidR="00314FC5" w:rsidRDefault="00314FC5" w:rsidP="00314FC5">
            <w:pPr>
              <w:pStyle w:val="Normal-Table"/>
              <w:jc w:val="right"/>
            </w:pPr>
            <w:r>
              <w:rPr>
                <w:rFonts w:cs="Arial"/>
                <w:color w:val="000000"/>
                <w:szCs w:val="22"/>
              </w:rPr>
              <w:t>0.0340</w:t>
            </w:r>
          </w:p>
        </w:tc>
      </w:tr>
      <w:tr w:rsidR="00314FC5" w14:paraId="0EDD56E0" w14:textId="77777777" w:rsidTr="00FE1CFE">
        <w:trPr>
          <w:trHeight w:val="350"/>
        </w:trPr>
        <w:tc>
          <w:tcPr>
            <w:tcW w:w="3591" w:type="dxa"/>
          </w:tcPr>
          <w:p w14:paraId="63EDEA6F" w14:textId="1F4D4D3F" w:rsidR="00314FC5" w:rsidRDefault="00314FC5" w:rsidP="00314FC5">
            <w:pPr>
              <w:pStyle w:val="Normal-Table"/>
              <w:rPr>
                <w:rFonts w:cs="Arial"/>
                <w:color w:val="000000"/>
                <w:szCs w:val="22"/>
              </w:rPr>
            </w:pPr>
            <w:proofErr w:type="spellStart"/>
            <w:r>
              <w:rPr>
                <w:rFonts w:cs="Arial"/>
                <w:color w:val="000000"/>
                <w:szCs w:val="22"/>
              </w:rPr>
              <w:t>log_BIZ_DENSITY_NORM</w:t>
            </w:r>
            <w:proofErr w:type="spellEnd"/>
          </w:p>
        </w:tc>
        <w:tc>
          <w:tcPr>
            <w:tcW w:w="1474" w:type="dxa"/>
            <w:vAlign w:val="center"/>
          </w:tcPr>
          <w:p w14:paraId="3947988A" w14:textId="55B7770F" w:rsidR="00314FC5" w:rsidRDefault="00314FC5" w:rsidP="00314FC5">
            <w:pPr>
              <w:pStyle w:val="Normal-Table"/>
              <w:jc w:val="right"/>
              <w:rPr>
                <w:rFonts w:cs="Arial"/>
                <w:color w:val="000000"/>
                <w:szCs w:val="22"/>
              </w:rPr>
            </w:pPr>
            <w:r>
              <w:rPr>
                <w:rFonts w:cs="Arial"/>
                <w:color w:val="000000"/>
                <w:szCs w:val="22"/>
              </w:rPr>
              <w:t>-3.9255</w:t>
            </w:r>
          </w:p>
        </w:tc>
        <w:tc>
          <w:tcPr>
            <w:tcW w:w="1451" w:type="dxa"/>
            <w:vAlign w:val="center"/>
          </w:tcPr>
          <w:p w14:paraId="0AB3B569" w14:textId="357974D5" w:rsidR="00314FC5" w:rsidRDefault="00314FC5" w:rsidP="00314FC5">
            <w:pPr>
              <w:pStyle w:val="Normal-Table"/>
              <w:jc w:val="right"/>
              <w:rPr>
                <w:rFonts w:cs="Arial"/>
                <w:color w:val="000000"/>
                <w:szCs w:val="22"/>
              </w:rPr>
            </w:pPr>
            <w:r>
              <w:rPr>
                <w:rFonts w:cs="Arial"/>
                <w:color w:val="000000"/>
                <w:szCs w:val="22"/>
              </w:rPr>
              <w:t xml:space="preserve">        0.4800 </w:t>
            </w:r>
          </w:p>
        </w:tc>
        <w:tc>
          <w:tcPr>
            <w:tcW w:w="1405" w:type="dxa"/>
            <w:vAlign w:val="center"/>
          </w:tcPr>
          <w:p w14:paraId="2B43375E" w14:textId="51D363CF" w:rsidR="00314FC5" w:rsidRDefault="00314FC5" w:rsidP="00314FC5">
            <w:pPr>
              <w:pStyle w:val="Normal-Table"/>
              <w:jc w:val="right"/>
              <w:rPr>
                <w:rFonts w:cs="Arial"/>
                <w:color w:val="000000"/>
                <w:szCs w:val="22"/>
              </w:rPr>
            </w:pPr>
            <w:r>
              <w:rPr>
                <w:rFonts w:cs="Arial"/>
                <w:color w:val="000000"/>
                <w:szCs w:val="22"/>
              </w:rPr>
              <w:t>-8.18</w:t>
            </w:r>
          </w:p>
        </w:tc>
        <w:tc>
          <w:tcPr>
            <w:tcW w:w="1429" w:type="dxa"/>
            <w:vAlign w:val="center"/>
          </w:tcPr>
          <w:p w14:paraId="4CAFC9CB" w14:textId="2AD73BE8" w:rsidR="00314FC5" w:rsidRDefault="00314FC5" w:rsidP="00314FC5">
            <w:pPr>
              <w:pStyle w:val="Normal-Table"/>
              <w:jc w:val="right"/>
              <w:rPr>
                <w:rFonts w:cs="Arial"/>
                <w:color w:val="000000"/>
                <w:szCs w:val="22"/>
              </w:rPr>
            </w:pPr>
            <w:r>
              <w:rPr>
                <w:rFonts w:cs="Arial"/>
                <w:color w:val="000000"/>
                <w:szCs w:val="22"/>
              </w:rPr>
              <w:t>0.0000</w:t>
            </w:r>
          </w:p>
        </w:tc>
      </w:tr>
      <w:tr w:rsidR="00314FC5" w14:paraId="0D424A3A" w14:textId="77777777" w:rsidTr="00FE1CFE">
        <w:trPr>
          <w:trHeight w:val="350"/>
        </w:trPr>
        <w:tc>
          <w:tcPr>
            <w:tcW w:w="3591" w:type="dxa"/>
          </w:tcPr>
          <w:p w14:paraId="5C5A98F4" w14:textId="1AA63837" w:rsidR="00314FC5" w:rsidRDefault="00314FC5" w:rsidP="00314FC5">
            <w:pPr>
              <w:pStyle w:val="Normal-Table"/>
              <w:rPr>
                <w:rFonts w:cs="Arial"/>
                <w:color w:val="000000"/>
                <w:szCs w:val="22"/>
              </w:rPr>
            </w:pPr>
            <w:r>
              <w:rPr>
                <w:rFonts w:cs="Arial"/>
                <w:color w:val="000000"/>
                <w:szCs w:val="22"/>
              </w:rPr>
              <w:t>PER_AMERIND</w:t>
            </w:r>
          </w:p>
        </w:tc>
        <w:tc>
          <w:tcPr>
            <w:tcW w:w="1474" w:type="dxa"/>
            <w:vAlign w:val="center"/>
          </w:tcPr>
          <w:p w14:paraId="1AAAB0B8" w14:textId="7890A83A" w:rsidR="00314FC5" w:rsidRDefault="00314FC5" w:rsidP="00314FC5">
            <w:pPr>
              <w:pStyle w:val="Normal-Table"/>
              <w:jc w:val="right"/>
              <w:rPr>
                <w:rFonts w:cs="Arial"/>
                <w:color w:val="000000"/>
                <w:szCs w:val="22"/>
              </w:rPr>
            </w:pPr>
            <w:r>
              <w:rPr>
                <w:rFonts w:cs="Arial"/>
                <w:color w:val="000000"/>
                <w:szCs w:val="22"/>
              </w:rPr>
              <w:t>-0.2815</w:t>
            </w:r>
          </w:p>
        </w:tc>
        <w:tc>
          <w:tcPr>
            <w:tcW w:w="1451" w:type="dxa"/>
            <w:vAlign w:val="center"/>
          </w:tcPr>
          <w:p w14:paraId="214A41C9" w14:textId="750624C3" w:rsidR="00314FC5" w:rsidRDefault="00314FC5" w:rsidP="00314FC5">
            <w:pPr>
              <w:pStyle w:val="Normal-Table"/>
              <w:jc w:val="right"/>
              <w:rPr>
                <w:rFonts w:cs="Arial"/>
                <w:color w:val="000000"/>
                <w:szCs w:val="22"/>
              </w:rPr>
            </w:pPr>
            <w:r>
              <w:rPr>
                <w:rFonts w:cs="Arial"/>
                <w:color w:val="000000"/>
                <w:szCs w:val="22"/>
              </w:rPr>
              <w:t xml:space="preserve">        0.2400 </w:t>
            </w:r>
          </w:p>
        </w:tc>
        <w:tc>
          <w:tcPr>
            <w:tcW w:w="1405" w:type="dxa"/>
            <w:vAlign w:val="center"/>
          </w:tcPr>
          <w:p w14:paraId="38CA85AD" w14:textId="05A300EA" w:rsidR="00314FC5" w:rsidRDefault="00314FC5" w:rsidP="00314FC5">
            <w:pPr>
              <w:pStyle w:val="Normal-Table"/>
              <w:jc w:val="right"/>
              <w:rPr>
                <w:rFonts w:cs="Arial"/>
                <w:color w:val="000000"/>
                <w:szCs w:val="22"/>
              </w:rPr>
            </w:pPr>
            <w:r>
              <w:rPr>
                <w:rFonts w:cs="Arial"/>
                <w:color w:val="000000"/>
                <w:szCs w:val="22"/>
              </w:rPr>
              <w:t>-1.17</w:t>
            </w:r>
          </w:p>
        </w:tc>
        <w:tc>
          <w:tcPr>
            <w:tcW w:w="1429" w:type="dxa"/>
            <w:vAlign w:val="center"/>
          </w:tcPr>
          <w:p w14:paraId="4C770687" w14:textId="5758B189" w:rsidR="00314FC5" w:rsidRDefault="00314FC5" w:rsidP="00314FC5">
            <w:pPr>
              <w:pStyle w:val="Normal-Table"/>
              <w:jc w:val="right"/>
              <w:rPr>
                <w:rFonts w:cs="Arial"/>
                <w:color w:val="000000"/>
                <w:szCs w:val="22"/>
              </w:rPr>
            </w:pPr>
            <w:r>
              <w:rPr>
                <w:rFonts w:cs="Arial"/>
                <w:color w:val="000000"/>
                <w:szCs w:val="22"/>
              </w:rPr>
              <w:t>0.2410</w:t>
            </w:r>
          </w:p>
        </w:tc>
      </w:tr>
      <w:tr w:rsidR="00314FC5" w14:paraId="42FEBF74" w14:textId="77777777" w:rsidTr="00FE1CFE">
        <w:trPr>
          <w:trHeight w:val="350"/>
        </w:trPr>
        <w:tc>
          <w:tcPr>
            <w:tcW w:w="3591" w:type="dxa"/>
          </w:tcPr>
          <w:p w14:paraId="43265D19" w14:textId="0B0E306C" w:rsidR="00314FC5" w:rsidRDefault="00314FC5" w:rsidP="00314FC5">
            <w:pPr>
              <w:pStyle w:val="Normal-Table"/>
              <w:rPr>
                <w:rFonts w:cs="Arial"/>
                <w:color w:val="000000"/>
                <w:szCs w:val="22"/>
              </w:rPr>
            </w:pPr>
            <w:r>
              <w:rPr>
                <w:rFonts w:cs="Arial"/>
                <w:color w:val="000000"/>
                <w:szCs w:val="22"/>
              </w:rPr>
              <w:t>PER_ASIAN</w:t>
            </w:r>
          </w:p>
        </w:tc>
        <w:tc>
          <w:tcPr>
            <w:tcW w:w="1474" w:type="dxa"/>
            <w:vAlign w:val="center"/>
          </w:tcPr>
          <w:p w14:paraId="31CE739B" w14:textId="366F85A9" w:rsidR="00314FC5" w:rsidRDefault="00314FC5" w:rsidP="00314FC5">
            <w:pPr>
              <w:pStyle w:val="Normal-Table"/>
              <w:jc w:val="right"/>
              <w:rPr>
                <w:rFonts w:cs="Arial"/>
                <w:color w:val="000000"/>
                <w:szCs w:val="22"/>
              </w:rPr>
            </w:pPr>
            <w:r>
              <w:rPr>
                <w:rFonts w:cs="Arial"/>
                <w:color w:val="000000"/>
                <w:szCs w:val="22"/>
              </w:rPr>
              <w:t>0.0517</w:t>
            </w:r>
          </w:p>
        </w:tc>
        <w:tc>
          <w:tcPr>
            <w:tcW w:w="1451" w:type="dxa"/>
            <w:vAlign w:val="center"/>
          </w:tcPr>
          <w:p w14:paraId="5835CDE2" w14:textId="70937344" w:rsidR="00314FC5" w:rsidRDefault="00314FC5" w:rsidP="00314FC5">
            <w:pPr>
              <w:pStyle w:val="Normal-Table"/>
              <w:jc w:val="right"/>
              <w:rPr>
                <w:rFonts w:cs="Arial"/>
                <w:color w:val="000000"/>
                <w:szCs w:val="22"/>
              </w:rPr>
            </w:pPr>
            <w:r>
              <w:rPr>
                <w:rFonts w:cs="Arial"/>
                <w:color w:val="000000"/>
                <w:szCs w:val="22"/>
              </w:rPr>
              <w:t xml:space="preserve">        0.0260 </w:t>
            </w:r>
          </w:p>
        </w:tc>
        <w:tc>
          <w:tcPr>
            <w:tcW w:w="1405" w:type="dxa"/>
            <w:vAlign w:val="center"/>
          </w:tcPr>
          <w:p w14:paraId="2328495F" w14:textId="7159C629" w:rsidR="00314FC5" w:rsidRDefault="00314FC5" w:rsidP="00314FC5">
            <w:pPr>
              <w:pStyle w:val="Normal-Table"/>
              <w:jc w:val="right"/>
              <w:rPr>
                <w:rFonts w:cs="Arial"/>
                <w:color w:val="000000"/>
                <w:szCs w:val="22"/>
              </w:rPr>
            </w:pPr>
            <w:r>
              <w:rPr>
                <w:rFonts w:cs="Arial"/>
                <w:color w:val="000000"/>
                <w:szCs w:val="22"/>
              </w:rPr>
              <w:t>1.96</w:t>
            </w:r>
          </w:p>
        </w:tc>
        <w:tc>
          <w:tcPr>
            <w:tcW w:w="1429" w:type="dxa"/>
            <w:vAlign w:val="center"/>
          </w:tcPr>
          <w:p w14:paraId="5B937510" w14:textId="4A050E34" w:rsidR="00314FC5" w:rsidRDefault="00314FC5" w:rsidP="00314FC5">
            <w:pPr>
              <w:pStyle w:val="Normal-Table"/>
              <w:jc w:val="right"/>
              <w:rPr>
                <w:rFonts w:cs="Arial"/>
                <w:color w:val="000000"/>
                <w:szCs w:val="22"/>
              </w:rPr>
            </w:pPr>
            <w:r>
              <w:rPr>
                <w:rFonts w:cs="Arial"/>
                <w:color w:val="000000"/>
                <w:szCs w:val="22"/>
              </w:rPr>
              <w:t>0.0510</w:t>
            </w:r>
          </w:p>
        </w:tc>
      </w:tr>
      <w:tr w:rsidR="00314FC5" w14:paraId="2CB2863C" w14:textId="77777777" w:rsidTr="00FE1CFE">
        <w:trPr>
          <w:trHeight w:val="350"/>
        </w:trPr>
        <w:tc>
          <w:tcPr>
            <w:tcW w:w="3591" w:type="dxa"/>
          </w:tcPr>
          <w:p w14:paraId="42039A69" w14:textId="4F007614" w:rsidR="00314FC5" w:rsidRDefault="00314FC5" w:rsidP="00314FC5">
            <w:pPr>
              <w:pStyle w:val="Normal-Table"/>
              <w:rPr>
                <w:rFonts w:cs="Arial"/>
                <w:color w:val="000000"/>
                <w:szCs w:val="22"/>
              </w:rPr>
            </w:pPr>
            <w:r>
              <w:rPr>
                <w:rFonts w:cs="Arial"/>
                <w:color w:val="000000"/>
                <w:szCs w:val="22"/>
              </w:rPr>
              <w:t>PER_HISPANIC_AND</w:t>
            </w:r>
          </w:p>
        </w:tc>
        <w:tc>
          <w:tcPr>
            <w:tcW w:w="1474" w:type="dxa"/>
            <w:vAlign w:val="center"/>
          </w:tcPr>
          <w:p w14:paraId="1F477CBF" w14:textId="312D47DF" w:rsidR="00314FC5" w:rsidRDefault="00314FC5" w:rsidP="00314FC5">
            <w:pPr>
              <w:pStyle w:val="Normal-Table"/>
              <w:jc w:val="right"/>
              <w:rPr>
                <w:rFonts w:cs="Arial"/>
                <w:color w:val="000000"/>
                <w:szCs w:val="22"/>
              </w:rPr>
            </w:pPr>
            <w:r>
              <w:rPr>
                <w:rFonts w:cs="Arial"/>
                <w:color w:val="000000"/>
                <w:szCs w:val="22"/>
              </w:rPr>
              <w:t>0.1850</w:t>
            </w:r>
          </w:p>
        </w:tc>
        <w:tc>
          <w:tcPr>
            <w:tcW w:w="1451" w:type="dxa"/>
            <w:vAlign w:val="center"/>
          </w:tcPr>
          <w:p w14:paraId="1489739F" w14:textId="5ABB9EFF" w:rsidR="00314FC5" w:rsidRDefault="00314FC5" w:rsidP="00314FC5">
            <w:pPr>
              <w:pStyle w:val="Normal-Table"/>
              <w:jc w:val="right"/>
              <w:rPr>
                <w:rFonts w:cs="Arial"/>
                <w:color w:val="000000"/>
                <w:szCs w:val="22"/>
              </w:rPr>
            </w:pPr>
            <w:r>
              <w:rPr>
                <w:rFonts w:cs="Arial"/>
                <w:color w:val="000000"/>
                <w:szCs w:val="22"/>
              </w:rPr>
              <w:t xml:space="preserve">        0.0230 </w:t>
            </w:r>
          </w:p>
        </w:tc>
        <w:tc>
          <w:tcPr>
            <w:tcW w:w="1405" w:type="dxa"/>
            <w:vAlign w:val="center"/>
          </w:tcPr>
          <w:p w14:paraId="78255221" w14:textId="37343323" w:rsidR="00314FC5" w:rsidRDefault="00314FC5" w:rsidP="00314FC5">
            <w:pPr>
              <w:pStyle w:val="Normal-Table"/>
              <w:jc w:val="right"/>
              <w:rPr>
                <w:rFonts w:cs="Arial"/>
                <w:color w:val="000000"/>
                <w:szCs w:val="22"/>
              </w:rPr>
            </w:pPr>
            <w:r>
              <w:rPr>
                <w:rFonts w:cs="Arial"/>
                <w:color w:val="000000"/>
                <w:szCs w:val="22"/>
              </w:rPr>
              <w:t>7.98</w:t>
            </w:r>
          </w:p>
        </w:tc>
        <w:tc>
          <w:tcPr>
            <w:tcW w:w="1429" w:type="dxa"/>
            <w:vAlign w:val="center"/>
          </w:tcPr>
          <w:p w14:paraId="4ACCC51B" w14:textId="0B5005A5" w:rsidR="00314FC5" w:rsidRDefault="00314FC5" w:rsidP="00314FC5">
            <w:pPr>
              <w:pStyle w:val="Normal-Table"/>
              <w:jc w:val="right"/>
              <w:rPr>
                <w:rFonts w:cs="Arial"/>
                <w:color w:val="000000"/>
                <w:szCs w:val="22"/>
              </w:rPr>
            </w:pPr>
            <w:r>
              <w:rPr>
                <w:rFonts w:cs="Arial"/>
                <w:color w:val="000000"/>
                <w:szCs w:val="22"/>
              </w:rPr>
              <w:t>0.0000</w:t>
            </w:r>
          </w:p>
        </w:tc>
      </w:tr>
      <w:tr w:rsidR="00314FC5" w14:paraId="76C19E95" w14:textId="77777777" w:rsidTr="00FE1CFE">
        <w:trPr>
          <w:trHeight w:val="350"/>
        </w:trPr>
        <w:tc>
          <w:tcPr>
            <w:tcW w:w="3591" w:type="dxa"/>
          </w:tcPr>
          <w:p w14:paraId="57D47513" w14:textId="387F087D" w:rsidR="00314FC5" w:rsidRDefault="00314FC5" w:rsidP="00314FC5">
            <w:pPr>
              <w:pStyle w:val="Normal-Table"/>
              <w:rPr>
                <w:rFonts w:cs="Arial"/>
                <w:color w:val="000000"/>
                <w:szCs w:val="22"/>
              </w:rPr>
            </w:pPr>
            <w:r>
              <w:rPr>
                <w:rFonts w:cs="Arial"/>
                <w:color w:val="000000"/>
                <w:szCs w:val="22"/>
              </w:rPr>
              <w:t>PER_POP_BROADBAND</w:t>
            </w:r>
          </w:p>
        </w:tc>
        <w:tc>
          <w:tcPr>
            <w:tcW w:w="1474" w:type="dxa"/>
            <w:vAlign w:val="center"/>
          </w:tcPr>
          <w:p w14:paraId="0C9C4C79" w14:textId="425E5168" w:rsidR="00314FC5" w:rsidRDefault="00314FC5" w:rsidP="00314FC5">
            <w:pPr>
              <w:pStyle w:val="Normal-Table"/>
              <w:jc w:val="right"/>
              <w:rPr>
                <w:rFonts w:cs="Arial"/>
                <w:color w:val="000000"/>
                <w:szCs w:val="22"/>
              </w:rPr>
            </w:pPr>
            <w:r>
              <w:rPr>
                <w:rFonts w:cs="Arial"/>
                <w:color w:val="000000"/>
                <w:szCs w:val="22"/>
              </w:rPr>
              <w:t>-0.2616</w:t>
            </w:r>
          </w:p>
        </w:tc>
        <w:tc>
          <w:tcPr>
            <w:tcW w:w="1451" w:type="dxa"/>
            <w:vAlign w:val="center"/>
          </w:tcPr>
          <w:p w14:paraId="632E6704" w14:textId="5749AE67" w:rsidR="00314FC5" w:rsidRDefault="00314FC5" w:rsidP="00314FC5">
            <w:pPr>
              <w:pStyle w:val="Normal-Table"/>
              <w:jc w:val="right"/>
              <w:rPr>
                <w:rFonts w:cs="Arial"/>
                <w:color w:val="000000"/>
                <w:szCs w:val="22"/>
              </w:rPr>
            </w:pPr>
            <w:r>
              <w:rPr>
                <w:rFonts w:cs="Arial"/>
                <w:color w:val="000000"/>
                <w:szCs w:val="22"/>
              </w:rPr>
              <w:t xml:space="preserve">        0.0730 </w:t>
            </w:r>
          </w:p>
        </w:tc>
        <w:tc>
          <w:tcPr>
            <w:tcW w:w="1405" w:type="dxa"/>
            <w:vAlign w:val="center"/>
          </w:tcPr>
          <w:p w14:paraId="0632F2FA" w14:textId="67CD9549" w:rsidR="00314FC5" w:rsidRDefault="00314FC5" w:rsidP="00314FC5">
            <w:pPr>
              <w:pStyle w:val="Normal-Table"/>
              <w:jc w:val="right"/>
              <w:rPr>
                <w:rFonts w:cs="Arial"/>
                <w:color w:val="000000"/>
                <w:szCs w:val="22"/>
              </w:rPr>
            </w:pPr>
            <w:r>
              <w:rPr>
                <w:rFonts w:cs="Arial"/>
                <w:color w:val="000000"/>
                <w:szCs w:val="22"/>
              </w:rPr>
              <w:t>-3.58</w:t>
            </w:r>
          </w:p>
        </w:tc>
        <w:tc>
          <w:tcPr>
            <w:tcW w:w="1429" w:type="dxa"/>
            <w:vAlign w:val="center"/>
          </w:tcPr>
          <w:p w14:paraId="6BA01139" w14:textId="6E456D29" w:rsidR="00314FC5" w:rsidRDefault="00314FC5" w:rsidP="00314FC5">
            <w:pPr>
              <w:pStyle w:val="Normal-Table"/>
              <w:jc w:val="right"/>
              <w:rPr>
                <w:rFonts w:cs="Arial"/>
                <w:color w:val="000000"/>
                <w:szCs w:val="22"/>
              </w:rPr>
            </w:pPr>
            <w:r>
              <w:rPr>
                <w:rFonts w:cs="Arial"/>
                <w:color w:val="000000"/>
                <w:szCs w:val="22"/>
              </w:rPr>
              <w:t>0.0000</w:t>
            </w:r>
          </w:p>
        </w:tc>
      </w:tr>
      <w:tr w:rsidR="00314FC5" w14:paraId="33260446" w14:textId="77777777" w:rsidTr="00314FC5">
        <w:trPr>
          <w:trHeight w:val="269"/>
        </w:trPr>
        <w:tc>
          <w:tcPr>
            <w:tcW w:w="3591" w:type="dxa"/>
          </w:tcPr>
          <w:p w14:paraId="7CEDA31A" w14:textId="6D2908BF" w:rsidR="00314FC5" w:rsidRDefault="00314FC5" w:rsidP="00314FC5">
            <w:pPr>
              <w:pStyle w:val="Normal-Table"/>
              <w:rPr>
                <w:rFonts w:cs="Arial"/>
                <w:color w:val="000000"/>
                <w:szCs w:val="22"/>
              </w:rPr>
            </w:pPr>
            <w:r>
              <w:rPr>
                <w:rFonts w:cs="Arial"/>
                <w:color w:val="000000"/>
                <w:szCs w:val="22"/>
              </w:rPr>
              <w:t>PER_POP_BELOW_POVERTY</w:t>
            </w:r>
          </w:p>
        </w:tc>
        <w:tc>
          <w:tcPr>
            <w:tcW w:w="1474" w:type="dxa"/>
            <w:vAlign w:val="center"/>
          </w:tcPr>
          <w:p w14:paraId="439708B8" w14:textId="1CE4D5A9" w:rsidR="00314FC5" w:rsidRDefault="00314FC5" w:rsidP="00314FC5">
            <w:pPr>
              <w:pStyle w:val="Normal-Table"/>
              <w:jc w:val="right"/>
              <w:rPr>
                <w:rFonts w:cs="Arial"/>
                <w:color w:val="000000"/>
                <w:szCs w:val="22"/>
              </w:rPr>
            </w:pPr>
            <w:r>
              <w:rPr>
                <w:rFonts w:cs="Arial"/>
                <w:color w:val="000000"/>
                <w:szCs w:val="22"/>
              </w:rPr>
              <w:t>-0.0945</w:t>
            </w:r>
          </w:p>
        </w:tc>
        <w:tc>
          <w:tcPr>
            <w:tcW w:w="1451" w:type="dxa"/>
            <w:vAlign w:val="center"/>
          </w:tcPr>
          <w:p w14:paraId="14364075" w14:textId="29ABFDBA" w:rsidR="00314FC5" w:rsidRDefault="00314FC5" w:rsidP="00314FC5">
            <w:pPr>
              <w:pStyle w:val="Normal-Table"/>
              <w:jc w:val="right"/>
              <w:rPr>
                <w:rFonts w:cs="Arial"/>
                <w:color w:val="000000"/>
                <w:szCs w:val="22"/>
              </w:rPr>
            </w:pPr>
            <w:r>
              <w:rPr>
                <w:rFonts w:cs="Arial"/>
                <w:color w:val="000000"/>
                <w:szCs w:val="22"/>
              </w:rPr>
              <w:t xml:space="preserve">        0.0690 </w:t>
            </w:r>
          </w:p>
        </w:tc>
        <w:tc>
          <w:tcPr>
            <w:tcW w:w="1405" w:type="dxa"/>
            <w:vAlign w:val="center"/>
          </w:tcPr>
          <w:p w14:paraId="0053722B" w14:textId="778F9A91" w:rsidR="00314FC5" w:rsidRDefault="00314FC5" w:rsidP="00314FC5">
            <w:pPr>
              <w:pStyle w:val="Normal-Table"/>
              <w:jc w:val="right"/>
              <w:rPr>
                <w:rFonts w:cs="Arial"/>
                <w:color w:val="000000"/>
                <w:szCs w:val="22"/>
              </w:rPr>
            </w:pPr>
            <w:r>
              <w:rPr>
                <w:rFonts w:cs="Arial"/>
                <w:color w:val="000000"/>
                <w:szCs w:val="22"/>
              </w:rPr>
              <w:t>-1.37</w:t>
            </w:r>
          </w:p>
        </w:tc>
        <w:tc>
          <w:tcPr>
            <w:tcW w:w="1429" w:type="dxa"/>
            <w:vAlign w:val="center"/>
          </w:tcPr>
          <w:p w14:paraId="1C4F8ECD" w14:textId="6659023F" w:rsidR="00314FC5" w:rsidRDefault="00314FC5" w:rsidP="00314FC5">
            <w:pPr>
              <w:pStyle w:val="Normal-Table"/>
              <w:jc w:val="right"/>
              <w:rPr>
                <w:rFonts w:cs="Arial"/>
                <w:color w:val="000000"/>
                <w:szCs w:val="22"/>
              </w:rPr>
            </w:pPr>
            <w:r>
              <w:rPr>
                <w:rFonts w:cs="Arial"/>
                <w:color w:val="000000"/>
                <w:szCs w:val="22"/>
              </w:rPr>
              <w:t>0.1720</w:t>
            </w:r>
          </w:p>
        </w:tc>
      </w:tr>
    </w:tbl>
    <w:p w14:paraId="65F4CDEE" w14:textId="4E511E1C" w:rsidR="00E44991" w:rsidRDefault="00E44991" w:rsidP="0009494E">
      <w:pPr>
        <w:pStyle w:val="Normal-Table"/>
      </w:pPr>
    </w:p>
    <w:p w14:paraId="3DF6C80A" w14:textId="377A7F68" w:rsidR="00FD3062" w:rsidRDefault="0009494E" w:rsidP="00FD3062">
      <w:r>
        <w:t xml:space="preserve">The first thing to note from this regression is that the R-squared is now around 41.2%, meaning that approximately 41.2% of the variance in the data set is explained by the regression. This is large for such noisy data. We also see that the coefficients for firm size and business density have barely changed, and are still statistically significant, which shows how robust these features are. Next, we see that the coefficient for CES3.0 score has flipped slightly negative after controlling for ethnic and socioeconomic factors. This indicates that the underlying positive correlation we initially observed was probably due to the factors we </w:t>
      </w:r>
      <w:r w:rsidR="00302E4D">
        <w:t xml:space="preserve">now </w:t>
      </w:r>
      <w:r>
        <w:t xml:space="preserve">control for, and that the </w:t>
      </w:r>
      <w:r>
        <w:lastRenderedPageBreak/>
        <w:t>environmental justice aspect of the CES3.0 score is correlated with slightly lower program participation.</w:t>
      </w:r>
    </w:p>
    <w:p w14:paraId="3CA8FAD2" w14:textId="1570D1E4" w:rsidR="00FD3062" w:rsidRDefault="00302E4D" w:rsidP="00FD3062">
      <w:r>
        <w:t>One noticeable change from the bivariate results is that with the full set of determinants included in the model,</w:t>
      </w:r>
      <w:r w:rsidR="00FD3062">
        <w:t xml:space="preserve"> </w:t>
      </w:r>
      <w:r w:rsidR="0009494E">
        <w:t>PER_</w:t>
      </w:r>
      <w:proofErr w:type="gramStart"/>
      <w:r w:rsidR="0009494E">
        <w:t xml:space="preserve">AMERIND </w:t>
      </w:r>
      <w:r w:rsidR="00FD3062">
        <w:t xml:space="preserve"> seems</w:t>
      </w:r>
      <w:proofErr w:type="gramEnd"/>
      <w:r w:rsidR="00FD3062">
        <w:t xml:space="preserve"> to be showing a </w:t>
      </w:r>
      <w:r w:rsidR="0009494E">
        <w:t>negative</w:t>
      </w:r>
      <w:r w:rsidR="00FD3062">
        <w:t xml:space="preserve"> effect</w:t>
      </w:r>
      <w:r>
        <w:t xml:space="preserve">.  </w:t>
      </w:r>
      <w:r w:rsidR="00FD3062">
        <w:t xml:space="preserve">. This probably means that the positive effect seen in the stand-alone feature regression may be due </w:t>
      </w:r>
      <w:r w:rsidR="0009494E">
        <w:t>more to</w:t>
      </w:r>
      <w:r w:rsidR="00FD3062">
        <w:t xml:space="preserve"> positive rurality effects. </w:t>
      </w:r>
      <w:r w:rsidR="0009494E">
        <w:t>However, t</w:t>
      </w:r>
      <w:r w:rsidR="00FD3062">
        <w:t xml:space="preserve">he precision the of the </w:t>
      </w:r>
      <w:r w:rsidR="0009494E">
        <w:t>coefficient for PER_AMERIND</w:t>
      </w:r>
      <w:r w:rsidR="00FD3062">
        <w:t xml:space="preserve">. does not lend itself to accurate inference about the role </w:t>
      </w:r>
      <w:r w:rsidR="0009494E">
        <w:t>of American Indian</w:t>
      </w:r>
      <w:r w:rsidR="00FD3062">
        <w:t xml:space="preserve"> population.</w:t>
      </w:r>
    </w:p>
    <w:p w14:paraId="1D597AF8" w14:textId="69ADD6AA" w:rsidR="0009494E" w:rsidRDefault="0009494E" w:rsidP="00FD3062">
      <w:r>
        <w:t xml:space="preserve">Similarly, we observe the effect higher poverty rates now leading to a slightly negative correlation with participation rates, more in line with what we would expect to see. The switch from a positive effect as a standalone variable may also be due in part to the density factor, but </w:t>
      </w:r>
      <w:r w:rsidR="00302E4D">
        <w:t xml:space="preserve">again </w:t>
      </w:r>
      <w:r>
        <w:t xml:space="preserve">the precision of the result does not lend complete confidence to the observed outcome. </w:t>
      </w:r>
    </w:p>
    <w:p w14:paraId="18FD01AC" w14:textId="7E676757" w:rsidR="00FD3062" w:rsidRDefault="0009494E" w:rsidP="00E44991">
      <w:r>
        <w:t>We also observe a small positive correlation between Asian population and a site uptake, but the effect is much smaller than the positive correlation between Hispanic population and program participation. As before, the Black population percentage had no statistically significant correlation with program participation. This may indicate that program administrators are seeing success in reaching businesses in both Asian and Hispanic communities.</w:t>
      </w:r>
    </w:p>
    <w:p w14:paraId="10D9CB5D" w14:textId="1517C87D" w:rsidR="0009494E" w:rsidRDefault="0009494E" w:rsidP="00E44991">
      <w:r>
        <w:t>Finally, we found a consistent, statistically significant effect from PER_BROADBAND across all the regression analysis we performed. The effect was always negative, and, in the final regression showed a 0.26 percentage point drop in site penetration for every 1 percentage point increase in broadband penetration. PER_BROADBAND may represent a combination of factors that relate to infrastructure, such as urbanity, age and status of telecom infrastructure, and affluence of the neighborhood. Ultimately, it appears that this may indicate that these programs got higher participation in programs with lower levels of infrastructure and wealth as measured by broadband penetration rates.</w:t>
      </w:r>
    </w:p>
    <w:p w14:paraId="6114B4C6" w14:textId="01EE6DB9" w:rsidR="00A54EA8" w:rsidRDefault="00A54EA8" w:rsidP="00A54EA8">
      <w:pPr>
        <w:pStyle w:val="Heading2"/>
      </w:pPr>
      <w:bookmarkStart w:id="49" w:name="_Toc76121058"/>
      <w:r>
        <w:t xml:space="preserve">Conclusions on </w:t>
      </w:r>
      <w:r w:rsidR="007F0F14">
        <w:t>S</w:t>
      </w:r>
      <w:r>
        <w:t>ite</w:t>
      </w:r>
      <w:r w:rsidR="007F0F14">
        <w:t xml:space="preserve"> P</w:t>
      </w:r>
      <w:r>
        <w:t>enetration</w:t>
      </w:r>
      <w:bookmarkEnd w:id="49"/>
    </w:p>
    <w:p w14:paraId="14A66F4C" w14:textId="77777777" w:rsidR="0009494E" w:rsidRDefault="00A54EA8" w:rsidP="00A54EA8">
      <w:pPr>
        <w:rPr>
          <w:rFonts w:cs="Arial"/>
          <w:szCs w:val="22"/>
        </w:rPr>
      </w:pPr>
      <w:r>
        <w:rPr>
          <w:rFonts w:cs="Arial"/>
          <w:szCs w:val="22"/>
        </w:rPr>
        <w:t xml:space="preserve">The result of our investigation into the determination of site penetration has yielded several findings of interest.  </w:t>
      </w:r>
    </w:p>
    <w:p w14:paraId="6A8C8799" w14:textId="77777777" w:rsidR="0009494E" w:rsidRPr="0009494E" w:rsidRDefault="00A54EA8" w:rsidP="0009494E">
      <w:pPr>
        <w:pStyle w:val="ListParagraph"/>
        <w:numPr>
          <w:ilvl w:val="0"/>
          <w:numId w:val="26"/>
        </w:numPr>
        <w:rPr>
          <w:rFonts w:cs="Arial"/>
          <w:szCs w:val="22"/>
        </w:rPr>
      </w:pPr>
      <w:r w:rsidRPr="0009494E">
        <w:rPr>
          <w:rFonts w:cs="Arial"/>
          <w:szCs w:val="22"/>
        </w:rPr>
        <w:t>First, it is almost certain that the presence of large firms increases take up rates, even by neighboring small firms.  Higher shares, as such, of smaller sized firms lower site penetration.</w:t>
      </w:r>
    </w:p>
    <w:p w14:paraId="1673D8DE" w14:textId="77777777" w:rsidR="007C2BFB" w:rsidRDefault="007C2BFB" w:rsidP="0009494E">
      <w:pPr>
        <w:pStyle w:val="ListParagraph"/>
        <w:numPr>
          <w:ilvl w:val="0"/>
          <w:numId w:val="26"/>
        </w:numPr>
        <w:rPr>
          <w:rFonts w:cs="Arial"/>
          <w:szCs w:val="22"/>
        </w:rPr>
      </w:pPr>
      <w:r>
        <w:rPr>
          <w:rFonts w:cs="Arial"/>
          <w:szCs w:val="22"/>
        </w:rPr>
        <w:t>Second, t</w:t>
      </w:r>
      <w:r w:rsidR="00A54EA8" w:rsidRPr="0009494E">
        <w:rPr>
          <w:rFonts w:cs="Arial"/>
          <w:szCs w:val="22"/>
        </w:rPr>
        <w:t xml:space="preserve">his is not a result of density, per </w:t>
      </w:r>
      <w:proofErr w:type="gramStart"/>
      <w:r w:rsidR="00A54EA8" w:rsidRPr="0009494E">
        <w:rPr>
          <w:rFonts w:cs="Arial"/>
          <w:szCs w:val="22"/>
        </w:rPr>
        <w:t>se;  it</w:t>
      </w:r>
      <w:proofErr w:type="gramEnd"/>
      <w:r w:rsidR="00A54EA8" w:rsidRPr="0009494E">
        <w:rPr>
          <w:rFonts w:cs="Arial"/>
          <w:szCs w:val="22"/>
        </w:rPr>
        <w:t xml:space="preserve"> is the lower density areas that have higher site penetrations. </w:t>
      </w:r>
    </w:p>
    <w:p w14:paraId="4A0EC288" w14:textId="264AA646" w:rsidR="0009494E" w:rsidRPr="0009494E" w:rsidRDefault="007C2BFB" w:rsidP="0009494E">
      <w:pPr>
        <w:pStyle w:val="ListParagraph"/>
        <w:numPr>
          <w:ilvl w:val="0"/>
          <w:numId w:val="26"/>
        </w:numPr>
        <w:rPr>
          <w:rFonts w:cs="Arial"/>
          <w:szCs w:val="22"/>
        </w:rPr>
      </w:pPr>
      <w:r>
        <w:rPr>
          <w:rFonts w:cs="Arial"/>
          <w:szCs w:val="22"/>
        </w:rPr>
        <w:t xml:space="preserve">CES3.0 </w:t>
      </w:r>
      <w:proofErr w:type="gramStart"/>
      <w:r>
        <w:rPr>
          <w:rFonts w:cs="Arial"/>
          <w:szCs w:val="22"/>
        </w:rPr>
        <w:t>Scores</w:t>
      </w:r>
      <w:proofErr w:type="gramEnd"/>
      <w:r>
        <w:rPr>
          <w:rFonts w:cs="Arial"/>
          <w:szCs w:val="22"/>
        </w:rPr>
        <w:t xml:space="preserve"> show low correlation with uptake rates, with some slightly negative effects </w:t>
      </w:r>
      <w:r w:rsidR="00760C35">
        <w:rPr>
          <w:rFonts w:cs="Arial"/>
          <w:szCs w:val="22"/>
        </w:rPr>
        <w:t>observed</w:t>
      </w:r>
      <w:r>
        <w:rPr>
          <w:rFonts w:cs="Arial"/>
          <w:szCs w:val="22"/>
        </w:rPr>
        <w:t xml:space="preserve"> from the environmental justice factors. </w:t>
      </w:r>
      <w:r w:rsidR="00A54EA8" w:rsidRPr="0009494E">
        <w:rPr>
          <w:rFonts w:cs="Arial"/>
          <w:szCs w:val="22"/>
        </w:rPr>
        <w:t xml:space="preserve"> </w:t>
      </w:r>
    </w:p>
    <w:p w14:paraId="423771F5" w14:textId="48949366" w:rsidR="0009494E" w:rsidRPr="0009494E" w:rsidRDefault="00A54EA8" w:rsidP="0009494E">
      <w:pPr>
        <w:pStyle w:val="ListParagraph"/>
        <w:numPr>
          <w:ilvl w:val="0"/>
          <w:numId w:val="26"/>
        </w:numPr>
        <w:rPr>
          <w:rFonts w:cs="Arial"/>
          <w:szCs w:val="22"/>
        </w:rPr>
      </w:pPr>
      <w:r w:rsidRPr="0009494E">
        <w:rPr>
          <w:rFonts w:cs="Arial"/>
          <w:szCs w:val="22"/>
        </w:rPr>
        <w:t>The role of ethnicity is unexpected.  Areas with higher Asian and Hispanic populations have more take-up</w:t>
      </w:r>
      <w:r w:rsidR="007C2BFB">
        <w:rPr>
          <w:rFonts w:cs="Arial"/>
          <w:szCs w:val="22"/>
        </w:rPr>
        <w:t xml:space="preserve">, while no meaningful </w:t>
      </w:r>
      <w:r w:rsidR="00760C35">
        <w:rPr>
          <w:rFonts w:cs="Arial"/>
          <w:szCs w:val="22"/>
        </w:rPr>
        <w:t>conclusions</w:t>
      </w:r>
      <w:r w:rsidR="007C2BFB">
        <w:rPr>
          <w:rFonts w:cs="Arial"/>
          <w:szCs w:val="22"/>
        </w:rPr>
        <w:t xml:space="preserve"> can be drawn from Black or Native American populations. </w:t>
      </w:r>
    </w:p>
    <w:p w14:paraId="0FA6963F" w14:textId="02449953" w:rsidR="00A54EA8" w:rsidRPr="00A54EA8" w:rsidRDefault="007C2BFB" w:rsidP="0009494E">
      <w:pPr>
        <w:pStyle w:val="ListParagraph"/>
        <w:numPr>
          <w:ilvl w:val="0"/>
          <w:numId w:val="26"/>
        </w:numPr>
      </w:pPr>
      <w:r>
        <w:rPr>
          <w:rFonts w:cs="Arial"/>
          <w:szCs w:val="22"/>
        </w:rPr>
        <w:lastRenderedPageBreak/>
        <w:t>Communities with higher broadband rates (</w:t>
      </w:r>
      <w:r w:rsidR="00A54EA8" w:rsidRPr="0009494E">
        <w:rPr>
          <w:rFonts w:cs="Arial"/>
          <w:szCs w:val="22"/>
        </w:rPr>
        <w:t>which, note, are normally urban</w:t>
      </w:r>
      <w:r>
        <w:rPr>
          <w:rFonts w:cs="Arial"/>
          <w:szCs w:val="22"/>
        </w:rPr>
        <w:t>, affluent</w:t>
      </w:r>
      <w:r w:rsidR="00A54EA8" w:rsidRPr="0009494E">
        <w:rPr>
          <w:rFonts w:cs="Arial"/>
          <w:szCs w:val="22"/>
        </w:rPr>
        <w:t xml:space="preserve"> and dense in character) do not have </w:t>
      </w:r>
      <w:r>
        <w:rPr>
          <w:rFonts w:cs="Arial"/>
          <w:szCs w:val="22"/>
        </w:rPr>
        <w:t xml:space="preserve">as </w:t>
      </w:r>
      <w:r w:rsidR="00A54EA8" w:rsidRPr="0009494E">
        <w:rPr>
          <w:rFonts w:cs="Arial"/>
          <w:szCs w:val="22"/>
        </w:rPr>
        <w:t xml:space="preserve">high take up rates.  </w:t>
      </w:r>
    </w:p>
    <w:p w14:paraId="28541E2F" w14:textId="6E5B3B95" w:rsidR="00984939" w:rsidRDefault="00984939" w:rsidP="00984939">
      <w:pPr>
        <w:pStyle w:val="Heading1"/>
      </w:pPr>
      <w:bookmarkStart w:id="50" w:name="_Toc76121059"/>
      <w:r>
        <w:t>Extension to Other Outcomes</w:t>
      </w:r>
      <w:bookmarkEnd w:id="50"/>
    </w:p>
    <w:p w14:paraId="3D09A2E3" w14:textId="083C8CE1" w:rsidR="00CC41F7" w:rsidRPr="00CC41F7" w:rsidRDefault="00CC41F7" w:rsidP="00CC41F7">
      <w:r>
        <w:t>While program participation as measured through site penetration was the primary metric used to analyze gaps in EE Services to SMBs, our initial work scope identified a few other EE metrics to explore. In particular, we looked to see if there were gaps in savings and investment. We also received feedback from CAEECC members that it might make sense to examine rurality from at a county level, which we also did.</w:t>
      </w:r>
    </w:p>
    <w:p w14:paraId="3E16AA65" w14:textId="3EF6882D" w:rsidR="00984939" w:rsidRDefault="00E6046B" w:rsidP="00984939">
      <w:pPr>
        <w:pStyle w:val="Heading2"/>
      </w:pPr>
      <w:bookmarkStart w:id="51" w:name="_Toc76121060"/>
      <w:r>
        <w:t>Savings</w:t>
      </w:r>
      <w:bookmarkEnd w:id="51"/>
    </w:p>
    <w:p w14:paraId="15B12EA6" w14:textId="3F4D3796" w:rsidR="00283109" w:rsidRDefault="004D7435" w:rsidP="004F12E7">
      <w:r>
        <w:t>The</w:t>
      </w:r>
      <w:r w:rsidR="00CC41F7">
        <w:t xml:space="preserve"> primary goal for EE programs is</w:t>
      </w:r>
      <w:r>
        <w:t xml:space="preserve"> usually</w:t>
      </w:r>
      <w:r w:rsidR="00CC41F7">
        <w:t xml:space="preserve"> achieving energy savings, so we believed that it was important to see if there are any identifiable gaps in energy savings for SMBs. The data we had covered both electric and natural gas programs, so natural gas savings were converted to kWh and added to electric savings in order to count all savings together.</w:t>
      </w:r>
    </w:p>
    <w:p w14:paraId="71245369" w14:textId="165205B1" w:rsidR="00CC41F7" w:rsidRDefault="00CC41F7" w:rsidP="004F12E7">
      <w:r>
        <w:t xml:space="preserve">Unfortunately, we had no relative measure of savings for this analysis, such as savings potential by customer type, or customer usage, so we had to use other ways to compare savings results. To this end, we looked at the total amount of savings, mean, and median savings for a given ZIP Code. Appendix </w:t>
      </w:r>
      <w:r>
        <w:fldChar w:fldCharType="begin"/>
      </w:r>
      <w:r>
        <w:instrText xml:space="preserve"> REF _Ref74947393 \r \h </w:instrText>
      </w:r>
      <w:r>
        <w:fldChar w:fldCharType="separate"/>
      </w:r>
      <w:r w:rsidR="00A74C64">
        <w:t>8.2</w:t>
      </w:r>
      <w:r>
        <w:fldChar w:fldCharType="end"/>
      </w:r>
      <w:r>
        <w:t xml:space="preserve"> has a full table of the individual regression results for the same set of features used to analyze the site penetration variable, but instead regressed against the first year and lifecycle energy savings. These tables also have the results for site penetration as a comparison. </w:t>
      </w:r>
    </w:p>
    <w:p w14:paraId="6FC84BE0" w14:textId="0D6314D3" w:rsidR="008437B0" w:rsidRDefault="00CC41F7" w:rsidP="008437B0">
      <w:r>
        <w:t>In general, the savings measures did not have nearly as much explanatory power as site penetration</w:t>
      </w:r>
    </w:p>
    <w:p w14:paraId="2D22887E" w14:textId="16562607" w:rsidR="008437B0" w:rsidRDefault="008437B0" w:rsidP="008437B0">
      <w:pPr>
        <w:pStyle w:val="Heading3"/>
      </w:pPr>
      <w:bookmarkStart w:id="52" w:name="_Toc74951665"/>
      <w:bookmarkStart w:id="53" w:name="_Toc75210350"/>
      <w:bookmarkStart w:id="54" w:name="_Toc76121061"/>
      <w:r>
        <w:t>Firm Size</w:t>
      </w:r>
      <w:bookmarkEnd w:id="52"/>
      <w:bookmarkEnd w:id="53"/>
      <w:bookmarkEnd w:id="54"/>
    </w:p>
    <w:p w14:paraId="61B27FD1" w14:textId="21E1DEA1" w:rsidR="008437B0" w:rsidRDefault="008437B0" w:rsidP="008437B0">
      <w:r>
        <w:t>For firm size, the main variable that was correlated were the totals, which were all significant at the 99% confidence level. The following table shows the coefficients and R-squared values for the first year and lifecycle savings totals.</w:t>
      </w:r>
    </w:p>
    <w:p w14:paraId="71268DD1" w14:textId="4739D944" w:rsidR="008437B0" w:rsidRDefault="008437B0" w:rsidP="008437B0">
      <w:pPr>
        <w:pStyle w:val="Caption"/>
      </w:pPr>
      <w:bookmarkStart w:id="55" w:name="_Toc76121109"/>
      <w:r>
        <w:t xml:space="preserve">Table </w:t>
      </w:r>
      <w:r w:rsidR="00DB1658">
        <w:fldChar w:fldCharType="begin"/>
      </w:r>
      <w:r w:rsidR="00DB1658">
        <w:instrText xml:space="preserve"> SEQ Table \* ARABIC </w:instrText>
      </w:r>
      <w:r w:rsidR="00DB1658">
        <w:fldChar w:fldCharType="separate"/>
      </w:r>
      <w:r w:rsidR="00A74C64">
        <w:rPr>
          <w:noProof/>
        </w:rPr>
        <w:t>16</w:t>
      </w:r>
      <w:r w:rsidR="00DB1658">
        <w:rPr>
          <w:noProof/>
        </w:rPr>
        <w:fldChar w:fldCharType="end"/>
      </w:r>
      <w:r>
        <w:t>. Regression Results for Savings Totals vs. Firm Size</w:t>
      </w:r>
      <w:bookmarkEnd w:id="55"/>
      <w:r>
        <w:t xml:space="preserve"> </w:t>
      </w:r>
    </w:p>
    <w:tbl>
      <w:tblPr>
        <w:tblW w:w="8500" w:type="dxa"/>
        <w:tblLook w:val="04A0" w:firstRow="1" w:lastRow="0" w:firstColumn="1" w:lastColumn="0" w:noHBand="0" w:noVBand="1"/>
      </w:tblPr>
      <w:tblGrid>
        <w:gridCol w:w="3120"/>
        <w:gridCol w:w="1335"/>
        <w:gridCol w:w="1445"/>
        <w:gridCol w:w="1347"/>
        <w:gridCol w:w="1253"/>
      </w:tblGrid>
      <w:tr w:rsidR="008437B0" w:rsidRPr="008437B0" w14:paraId="0D7AEF54" w14:textId="77777777" w:rsidTr="008437B0">
        <w:trPr>
          <w:trHeight w:val="320"/>
        </w:trPr>
        <w:tc>
          <w:tcPr>
            <w:tcW w:w="3120" w:type="dxa"/>
            <w:vMerge w:val="restart"/>
            <w:tcBorders>
              <w:top w:val="nil"/>
              <w:left w:val="nil"/>
              <w:bottom w:val="nil"/>
              <w:right w:val="single" w:sz="4" w:space="0" w:color="auto"/>
            </w:tcBorders>
            <w:shd w:val="clear" w:color="000000" w:fill="AEAAAA"/>
            <w:noWrap/>
            <w:vAlign w:val="bottom"/>
            <w:hideMark/>
          </w:tcPr>
          <w:p w14:paraId="61698B5A" w14:textId="77777777" w:rsidR="008437B0" w:rsidRPr="008437B0" w:rsidRDefault="008437B0" w:rsidP="008437B0">
            <w:pPr>
              <w:spacing w:after="0" w:line="240" w:lineRule="auto"/>
              <w:rPr>
                <w:rFonts w:ascii="Calibri" w:eastAsia="Times New Roman" w:hAnsi="Calibri"/>
                <w:b/>
                <w:bCs/>
                <w:color w:val="000000"/>
                <w:sz w:val="24"/>
              </w:rPr>
            </w:pPr>
            <w:r w:rsidRPr="008437B0">
              <w:rPr>
                <w:rFonts w:ascii="Calibri" w:eastAsia="Times New Roman" w:hAnsi="Calibri"/>
                <w:b/>
                <w:bCs/>
                <w:color w:val="000000"/>
                <w:sz w:val="24"/>
              </w:rPr>
              <w:t>Feature</w:t>
            </w:r>
          </w:p>
        </w:tc>
        <w:tc>
          <w:tcPr>
            <w:tcW w:w="2780" w:type="dxa"/>
            <w:gridSpan w:val="2"/>
            <w:tcBorders>
              <w:top w:val="single" w:sz="4" w:space="0" w:color="auto"/>
              <w:left w:val="nil"/>
              <w:bottom w:val="single" w:sz="4" w:space="0" w:color="auto"/>
              <w:right w:val="single" w:sz="4" w:space="0" w:color="000000"/>
            </w:tcBorders>
            <w:shd w:val="clear" w:color="000000" w:fill="AEAAAA"/>
            <w:noWrap/>
            <w:vAlign w:val="center"/>
            <w:hideMark/>
          </w:tcPr>
          <w:p w14:paraId="2913E81E" w14:textId="77777777" w:rsidR="008437B0" w:rsidRPr="008437B0" w:rsidRDefault="008437B0" w:rsidP="008437B0">
            <w:pPr>
              <w:spacing w:after="0" w:line="240" w:lineRule="auto"/>
              <w:jc w:val="center"/>
              <w:rPr>
                <w:rFonts w:eastAsia="Times New Roman" w:cs="Arial"/>
                <w:b/>
                <w:bCs/>
                <w:color w:val="000000"/>
                <w:sz w:val="20"/>
                <w:szCs w:val="20"/>
              </w:rPr>
            </w:pPr>
            <w:r w:rsidRPr="008437B0">
              <w:rPr>
                <w:rFonts w:eastAsia="Times New Roman" w:cs="Arial"/>
                <w:b/>
                <w:bCs/>
                <w:color w:val="000000"/>
                <w:sz w:val="20"/>
                <w:szCs w:val="20"/>
              </w:rPr>
              <w:t>Coefficient</w:t>
            </w:r>
          </w:p>
        </w:tc>
        <w:tc>
          <w:tcPr>
            <w:tcW w:w="2600" w:type="dxa"/>
            <w:gridSpan w:val="2"/>
            <w:tcBorders>
              <w:top w:val="single" w:sz="4" w:space="0" w:color="auto"/>
              <w:left w:val="nil"/>
              <w:bottom w:val="single" w:sz="4" w:space="0" w:color="auto"/>
              <w:right w:val="single" w:sz="4" w:space="0" w:color="000000"/>
            </w:tcBorders>
            <w:shd w:val="clear" w:color="000000" w:fill="AEAAAA"/>
            <w:noWrap/>
            <w:vAlign w:val="center"/>
            <w:hideMark/>
          </w:tcPr>
          <w:p w14:paraId="7BBC9A5E" w14:textId="77777777" w:rsidR="008437B0" w:rsidRPr="008437B0" w:rsidRDefault="008437B0" w:rsidP="008437B0">
            <w:pPr>
              <w:spacing w:after="0" w:line="240" w:lineRule="auto"/>
              <w:jc w:val="center"/>
              <w:rPr>
                <w:rFonts w:eastAsia="Times New Roman" w:cs="Arial"/>
                <w:b/>
                <w:bCs/>
                <w:color w:val="000000"/>
                <w:sz w:val="20"/>
                <w:szCs w:val="20"/>
              </w:rPr>
            </w:pPr>
            <w:r w:rsidRPr="008437B0">
              <w:rPr>
                <w:rFonts w:eastAsia="Times New Roman" w:cs="Arial"/>
                <w:b/>
                <w:bCs/>
                <w:color w:val="000000"/>
                <w:sz w:val="20"/>
                <w:szCs w:val="20"/>
              </w:rPr>
              <w:t>R-squared</w:t>
            </w:r>
          </w:p>
        </w:tc>
      </w:tr>
      <w:tr w:rsidR="008437B0" w:rsidRPr="008437B0" w14:paraId="35BB4818" w14:textId="77777777" w:rsidTr="008437B0">
        <w:trPr>
          <w:trHeight w:val="320"/>
        </w:trPr>
        <w:tc>
          <w:tcPr>
            <w:tcW w:w="3120" w:type="dxa"/>
            <w:vMerge/>
            <w:tcBorders>
              <w:top w:val="nil"/>
              <w:left w:val="nil"/>
              <w:bottom w:val="nil"/>
              <w:right w:val="single" w:sz="4" w:space="0" w:color="auto"/>
            </w:tcBorders>
            <w:vAlign w:val="center"/>
            <w:hideMark/>
          </w:tcPr>
          <w:p w14:paraId="403C21A3" w14:textId="77777777" w:rsidR="008437B0" w:rsidRPr="008437B0" w:rsidRDefault="008437B0" w:rsidP="008437B0">
            <w:pPr>
              <w:spacing w:after="0" w:line="240" w:lineRule="auto"/>
              <w:rPr>
                <w:rFonts w:ascii="Calibri" w:eastAsia="Times New Roman" w:hAnsi="Calibri"/>
                <w:b/>
                <w:bCs/>
                <w:color w:val="000000"/>
                <w:sz w:val="24"/>
              </w:rPr>
            </w:pPr>
          </w:p>
        </w:tc>
        <w:tc>
          <w:tcPr>
            <w:tcW w:w="1335" w:type="dxa"/>
            <w:tcBorders>
              <w:top w:val="nil"/>
              <w:left w:val="nil"/>
              <w:bottom w:val="nil"/>
              <w:right w:val="single" w:sz="4" w:space="0" w:color="auto"/>
            </w:tcBorders>
            <w:shd w:val="clear" w:color="000000" w:fill="AEAAAA"/>
            <w:noWrap/>
            <w:vAlign w:val="center"/>
            <w:hideMark/>
          </w:tcPr>
          <w:p w14:paraId="5DE345ED" w14:textId="77777777" w:rsidR="008437B0" w:rsidRPr="008437B0" w:rsidRDefault="008437B0" w:rsidP="008437B0">
            <w:pPr>
              <w:spacing w:after="0" w:line="240" w:lineRule="auto"/>
              <w:jc w:val="right"/>
              <w:rPr>
                <w:rFonts w:eastAsia="Times New Roman" w:cs="Arial"/>
                <w:b/>
                <w:bCs/>
                <w:color w:val="000000"/>
                <w:sz w:val="20"/>
                <w:szCs w:val="20"/>
              </w:rPr>
            </w:pPr>
            <w:r w:rsidRPr="008437B0">
              <w:rPr>
                <w:rFonts w:eastAsia="Times New Roman" w:cs="Arial"/>
                <w:b/>
                <w:bCs/>
                <w:color w:val="000000"/>
                <w:sz w:val="20"/>
                <w:szCs w:val="20"/>
              </w:rPr>
              <w:t>First Year</w:t>
            </w:r>
          </w:p>
        </w:tc>
        <w:tc>
          <w:tcPr>
            <w:tcW w:w="1445" w:type="dxa"/>
            <w:tcBorders>
              <w:top w:val="nil"/>
              <w:left w:val="nil"/>
              <w:bottom w:val="nil"/>
              <w:right w:val="single" w:sz="4" w:space="0" w:color="auto"/>
            </w:tcBorders>
            <w:shd w:val="clear" w:color="000000" w:fill="AEAAAA"/>
            <w:noWrap/>
            <w:vAlign w:val="center"/>
            <w:hideMark/>
          </w:tcPr>
          <w:p w14:paraId="72FE7B86" w14:textId="77777777" w:rsidR="008437B0" w:rsidRPr="008437B0" w:rsidRDefault="008437B0" w:rsidP="008437B0">
            <w:pPr>
              <w:spacing w:after="0" w:line="240" w:lineRule="auto"/>
              <w:jc w:val="right"/>
              <w:rPr>
                <w:rFonts w:eastAsia="Times New Roman" w:cs="Arial"/>
                <w:b/>
                <w:bCs/>
                <w:color w:val="000000"/>
                <w:sz w:val="20"/>
                <w:szCs w:val="20"/>
              </w:rPr>
            </w:pPr>
            <w:r w:rsidRPr="008437B0">
              <w:rPr>
                <w:rFonts w:eastAsia="Times New Roman" w:cs="Arial"/>
                <w:b/>
                <w:bCs/>
                <w:color w:val="000000"/>
                <w:sz w:val="20"/>
                <w:szCs w:val="20"/>
              </w:rPr>
              <w:t>Lifecycle</w:t>
            </w:r>
          </w:p>
        </w:tc>
        <w:tc>
          <w:tcPr>
            <w:tcW w:w="1347" w:type="dxa"/>
            <w:tcBorders>
              <w:top w:val="nil"/>
              <w:left w:val="nil"/>
              <w:bottom w:val="nil"/>
              <w:right w:val="single" w:sz="4" w:space="0" w:color="auto"/>
            </w:tcBorders>
            <w:shd w:val="clear" w:color="000000" w:fill="AEAAAA"/>
            <w:noWrap/>
            <w:vAlign w:val="center"/>
            <w:hideMark/>
          </w:tcPr>
          <w:p w14:paraId="27D5A922" w14:textId="77777777" w:rsidR="008437B0" w:rsidRPr="008437B0" w:rsidRDefault="008437B0" w:rsidP="008437B0">
            <w:pPr>
              <w:spacing w:after="0" w:line="240" w:lineRule="auto"/>
              <w:jc w:val="right"/>
              <w:rPr>
                <w:rFonts w:eastAsia="Times New Roman" w:cs="Arial"/>
                <w:b/>
                <w:bCs/>
                <w:color w:val="000000"/>
                <w:sz w:val="20"/>
                <w:szCs w:val="20"/>
              </w:rPr>
            </w:pPr>
            <w:r w:rsidRPr="008437B0">
              <w:rPr>
                <w:rFonts w:eastAsia="Times New Roman" w:cs="Arial"/>
                <w:b/>
                <w:bCs/>
                <w:color w:val="000000"/>
                <w:sz w:val="20"/>
                <w:szCs w:val="20"/>
              </w:rPr>
              <w:t>First Year</w:t>
            </w:r>
          </w:p>
        </w:tc>
        <w:tc>
          <w:tcPr>
            <w:tcW w:w="1253" w:type="dxa"/>
            <w:tcBorders>
              <w:top w:val="nil"/>
              <w:left w:val="nil"/>
              <w:bottom w:val="nil"/>
              <w:right w:val="single" w:sz="4" w:space="0" w:color="auto"/>
            </w:tcBorders>
            <w:shd w:val="clear" w:color="000000" w:fill="AEAAAA"/>
            <w:noWrap/>
            <w:vAlign w:val="center"/>
            <w:hideMark/>
          </w:tcPr>
          <w:p w14:paraId="4AC65518" w14:textId="77777777" w:rsidR="008437B0" w:rsidRPr="008437B0" w:rsidRDefault="008437B0" w:rsidP="008437B0">
            <w:pPr>
              <w:spacing w:after="0" w:line="240" w:lineRule="auto"/>
              <w:jc w:val="right"/>
              <w:rPr>
                <w:rFonts w:eastAsia="Times New Roman" w:cs="Arial"/>
                <w:b/>
                <w:bCs/>
                <w:color w:val="000000"/>
                <w:sz w:val="20"/>
                <w:szCs w:val="20"/>
              </w:rPr>
            </w:pPr>
            <w:r w:rsidRPr="008437B0">
              <w:rPr>
                <w:rFonts w:eastAsia="Times New Roman" w:cs="Arial"/>
                <w:b/>
                <w:bCs/>
                <w:color w:val="000000"/>
                <w:sz w:val="20"/>
                <w:szCs w:val="20"/>
              </w:rPr>
              <w:t>Lifecycle</w:t>
            </w:r>
          </w:p>
        </w:tc>
      </w:tr>
      <w:tr w:rsidR="008437B0" w:rsidRPr="008437B0" w14:paraId="6CE68993" w14:textId="77777777" w:rsidTr="008437B0">
        <w:trPr>
          <w:trHeight w:val="320"/>
        </w:trPr>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9A68" w14:textId="77777777" w:rsidR="008437B0" w:rsidRPr="008437B0" w:rsidRDefault="008437B0" w:rsidP="008437B0">
            <w:pPr>
              <w:spacing w:after="0" w:line="240" w:lineRule="auto"/>
              <w:rPr>
                <w:rFonts w:eastAsia="Times New Roman" w:cs="Arial"/>
                <w:color w:val="000000"/>
                <w:sz w:val="20"/>
                <w:szCs w:val="20"/>
              </w:rPr>
            </w:pPr>
            <w:r w:rsidRPr="008437B0">
              <w:rPr>
                <w:rFonts w:eastAsia="Times New Roman" w:cs="Arial"/>
                <w:color w:val="000000"/>
                <w:sz w:val="20"/>
                <w:szCs w:val="20"/>
              </w:rPr>
              <w:t>PER_MICRO</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14:paraId="0D3571E2"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-112,157</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565EA65E"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-1,143,994</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14:paraId="082157FE"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0.074</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023957B6"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0.068</w:t>
            </w:r>
          </w:p>
        </w:tc>
      </w:tr>
      <w:tr w:rsidR="008437B0" w:rsidRPr="008437B0" w14:paraId="4002FAAB" w14:textId="77777777" w:rsidTr="008437B0">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338CFE7" w14:textId="77777777" w:rsidR="008437B0" w:rsidRPr="008437B0" w:rsidRDefault="008437B0" w:rsidP="008437B0">
            <w:pPr>
              <w:spacing w:after="0" w:line="240" w:lineRule="auto"/>
              <w:rPr>
                <w:rFonts w:eastAsia="Times New Roman" w:cs="Arial"/>
                <w:color w:val="000000"/>
                <w:sz w:val="20"/>
                <w:szCs w:val="20"/>
              </w:rPr>
            </w:pPr>
            <w:r w:rsidRPr="008437B0">
              <w:rPr>
                <w:rFonts w:eastAsia="Times New Roman" w:cs="Arial"/>
                <w:color w:val="000000"/>
                <w:sz w:val="20"/>
                <w:szCs w:val="20"/>
              </w:rPr>
              <w:t>PER_SMALL</w:t>
            </w:r>
          </w:p>
        </w:tc>
        <w:tc>
          <w:tcPr>
            <w:tcW w:w="1335" w:type="dxa"/>
            <w:tcBorders>
              <w:top w:val="nil"/>
              <w:left w:val="nil"/>
              <w:bottom w:val="single" w:sz="4" w:space="0" w:color="auto"/>
              <w:right w:val="single" w:sz="4" w:space="0" w:color="auto"/>
            </w:tcBorders>
            <w:shd w:val="clear" w:color="auto" w:fill="auto"/>
            <w:noWrap/>
            <w:vAlign w:val="bottom"/>
            <w:hideMark/>
          </w:tcPr>
          <w:p w14:paraId="158CB94C"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133,866</w:t>
            </w:r>
          </w:p>
        </w:tc>
        <w:tc>
          <w:tcPr>
            <w:tcW w:w="1445" w:type="dxa"/>
            <w:tcBorders>
              <w:top w:val="nil"/>
              <w:left w:val="nil"/>
              <w:bottom w:val="single" w:sz="4" w:space="0" w:color="auto"/>
              <w:right w:val="single" w:sz="4" w:space="0" w:color="auto"/>
            </w:tcBorders>
            <w:shd w:val="clear" w:color="auto" w:fill="auto"/>
            <w:noWrap/>
            <w:vAlign w:val="bottom"/>
            <w:hideMark/>
          </w:tcPr>
          <w:p w14:paraId="52AD4D0F"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1,340,541</w:t>
            </w:r>
          </w:p>
        </w:tc>
        <w:tc>
          <w:tcPr>
            <w:tcW w:w="1347" w:type="dxa"/>
            <w:tcBorders>
              <w:top w:val="nil"/>
              <w:left w:val="nil"/>
              <w:bottom w:val="single" w:sz="4" w:space="0" w:color="auto"/>
              <w:right w:val="single" w:sz="4" w:space="0" w:color="auto"/>
            </w:tcBorders>
            <w:shd w:val="clear" w:color="auto" w:fill="auto"/>
            <w:noWrap/>
            <w:vAlign w:val="bottom"/>
            <w:hideMark/>
          </w:tcPr>
          <w:p w14:paraId="5D7217FB"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0.058</w:t>
            </w:r>
          </w:p>
        </w:tc>
        <w:tc>
          <w:tcPr>
            <w:tcW w:w="1253" w:type="dxa"/>
            <w:tcBorders>
              <w:top w:val="nil"/>
              <w:left w:val="nil"/>
              <w:bottom w:val="single" w:sz="4" w:space="0" w:color="auto"/>
              <w:right w:val="single" w:sz="4" w:space="0" w:color="auto"/>
            </w:tcBorders>
            <w:shd w:val="clear" w:color="auto" w:fill="auto"/>
            <w:noWrap/>
            <w:vAlign w:val="bottom"/>
            <w:hideMark/>
          </w:tcPr>
          <w:p w14:paraId="7D0EE8B9"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0.051</w:t>
            </w:r>
          </w:p>
        </w:tc>
      </w:tr>
      <w:tr w:rsidR="008437B0" w:rsidRPr="008437B0" w14:paraId="47EB3081" w14:textId="77777777" w:rsidTr="008437B0">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D573688" w14:textId="77777777" w:rsidR="008437B0" w:rsidRPr="008437B0" w:rsidRDefault="008437B0" w:rsidP="008437B0">
            <w:pPr>
              <w:spacing w:after="0" w:line="240" w:lineRule="auto"/>
              <w:rPr>
                <w:rFonts w:eastAsia="Times New Roman" w:cs="Arial"/>
                <w:color w:val="000000"/>
                <w:sz w:val="20"/>
                <w:szCs w:val="20"/>
              </w:rPr>
            </w:pPr>
            <w:r w:rsidRPr="008437B0">
              <w:rPr>
                <w:rFonts w:eastAsia="Times New Roman" w:cs="Arial"/>
                <w:color w:val="000000"/>
                <w:sz w:val="20"/>
                <w:szCs w:val="20"/>
              </w:rPr>
              <w:t>PER_MED</w:t>
            </w:r>
          </w:p>
        </w:tc>
        <w:tc>
          <w:tcPr>
            <w:tcW w:w="1335" w:type="dxa"/>
            <w:tcBorders>
              <w:top w:val="nil"/>
              <w:left w:val="nil"/>
              <w:bottom w:val="single" w:sz="4" w:space="0" w:color="auto"/>
              <w:right w:val="single" w:sz="4" w:space="0" w:color="auto"/>
            </w:tcBorders>
            <w:shd w:val="clear" w:color="auto" w:fill="auto"/>
            <w:noWrap/>
            <w:vAlign w:val="bottom"/>
            <w:hideMark/>
          </w:tcPr>
          <w:p w14:paraId="25D3D307"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376,180</w:t>
            </w:r>
          </w:p>
        </w:tc>
        <w:tc>
          <w:tcPr>
            <w:tcW w:w="1445" w:type="dxa"/>
            <w:tcBorders>
              <w:top w:val="nil"/>
              <w:left w:val="nil"/>
              <w:bottom w:val="single" w:sz="4" w:space="0" w:color="auto"/>
              <w:right w:val="single" w:sz="4" w:space="0" w:color="auto"/>
            </w:tcBorders>
            <w:shd w:val="clear" w:color="auto" w:fill="auto"/>
            <w:noWrap/>
            <w:vAlign w:val="bottom"/>
            <w:hideMark/>
          </w:tcPr>
          <w:p w14:paraId="4A53824B"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3,852,545</w:t>
            </w:r>
          </w:p>
        </w:tc>
        <w:tc>
          <w:tcPr>
            <w:tcW w:w="1347" w:type="dxa"/>
            <w:tcBorders>
              <w:top w:val="nil"/>
              <w:left w:val="nil"/>
              <w:bottom w:val="single" w:sz="4" w:space="0" w:color="auto"/>
              <w:right w:val="single" w:sz="4" w:space="0" w:color="auto"/>
            </w:tcBorders>
            <w:shd w:val="clear" w:color="auto" w:fill="auto"/>
            <w:noWrap/>
            <w:vAlign w:val="bottom"/>
            <w:hideMark/>
          </w:tcPr>
          <w:p w14:paraId="00BA4D6B"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0.086</w:t>
            </w:r>
          </w:p>
        </w:tc>
        <w:tc>
          <w:tcPr>
            <w:tcW w:w="1253" w:type="dxa"/>
            <w:tcBorders>
              <w:top w:val="nil"/>
              <w:left w:val="nil"/>
              <w:bottom w:val="single" w:sz="4" w:space="0" w:color="auto"/>
              <w:right w:val="single" w:sz="4" w:space="0" w:color="auto"/>
            </w:tcBorders>
            <w:shd w:val="clear" w:color="auto" w:fill="auto"/>
            <w:noWrap/>
            <w:vAlign w:val="bottom"/>
            <w:hideMark/>
          </w:tcPr>
          <w:p w14:paraId="0638B101"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0.080</w:t>
            </w:r>
          </w:p>
        </w:tc>
      </w:tr>
      <w:tr w:rsidR="008437B0" w:rsidRPr="008437B0" w14:paraId="4F5D546D" w14:textId="77777777" w:rsidTr="008437B0">
        <w:trPr>
          <w:trHeight w:val="32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4B0B298" w14:textId="77777777" w:rsidR="008437B0" w:rsidRPr="008437B0" w:rsidRDefault="008437B0" w:rsidP="008437B0">
            <w:pPr>
              <w:spacing w:after="0" w:line="240" w:lineRule="auto"/>
              <w:rPr>
                <w:rFonts w:eastAsia="Times New Roman" w:cs="Arial"/>
                <w:color w:val="000000"/>
                <w:sz w:val="20"/>
                <w:szCs w:val="20"/>
              </w:rPr>
            </w:pPr>
            <w:r w:rsidRPr="008437B0">
              <w:rPr>
                <w:rFonts w:eastAsia="Times New Roman" w:cs="Arial"/>
                <w:color w:val="000000"/>
                <w:sz w:val="20"/>
                <w:szCs w:val="20"/>
              </w:rPr>
              <w:t>PER_LARGE</w:t>
            </w:r>
          </w:p>
        </w:tc>
        <w:tc>
          <w:tcPr>
            <w:tcW w:w="1335" w:type="dxa"/>
            <w:tcBorders>
              <w:top w:val="nil"/>
              <w:left w:val="nil"/>
              <w:bottom w:val="single" w:sz="4" w:space="0" w:color="auto"/>
              <w:right w:val="single" w:sz="4" w:space="0" w:color="auto"/>
            </w:tcBorders>
            <w:shd w:val="clear" w:color="auto" w:fill="auto"/>
            <w:noWrap/>
            <w:vAlign w:val="bottom"/>
            <w:hideMark/>
          </w:tcPr>
          <w:p w14:paraId="29C030C2"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938,341</w:t>
            </w:r>
          </w:p>
        </w:tc>
        <w:tc>
          <w:tcPr>
            <w:tcW w:w="1445" w:type="dxa"/>
            <w:tcBorders>
              <w:top w:val="nil"/>
              <w:left w:val="nil"/>
              <w:bottom w:val="single" w:sz="4" w:space="0" w:color="auto"/>
              <w:right w:val="single" w:sz="4" w:space="0" w:color="auto"/>
            </w:tcBorders>
            <w:shd w:val="clear" w:color="auto" w:fill="auto"/>
            <w:noWrap/>
            <w:vAlign w:val="bottom"/>
            <w:hideMark/>
          </w:tcPr>
          <w:p w14:paraId="4D1B5D84"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10,339,960</w:t>
            </w:r>
          </w:p>
        </w:tc>
        <w:tc>
          <w:tcPr>
            <w:tcW w:w="1347" w:type="dxa"/>
            <w:tcBorders>
              <w:top w:val="nil"/>
              <w:left w:val="nil"/>
              <w:bottom w:val="single" w:sz="4" w:space="0" w:color="auto"/>
              <w:right w:val="single" w:sz="4" w:space="0" w:color="auto"/>
            </w:tcBorders>
            <w:shd w:val="clear" w:color="auto" w:fill="auto"/>
            <w:noWrap/>
            <w:vAlign w:val="bottom"/>
            <w:hideMark/>
          </w:tcPr>
          <w:p w14:paraId="2DDF5F08"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0.045</w:t>
            </w:r>
          </w:p>
        </w:tc>
        <w:tc>
          <w:tcPr>
            <w:tcW w:w="1253" w:type="dxa"/>
            <w:tcBorders>
              <w:top w:val="nil"/>
              <w:left w:val="nil"/>
              <w:bottom w:val="single" w:sz="4" w:space="0" w:color="auto"/>
              <w:right w:val="single" w:sz="4" w:space="0" w:color="auto"/>
            </w:tcBorders>
            <w:shd w:val="clear" w:color="auto" w:fill="auto"/>
            <w:noWrap/>
            <w:vAlign w:val="bottom"/>
            <w:hideMark/>
          </w:tcPr>
          <w:p w14:paraId="6D4D73B8" w14:textId="77777777" w:rsidR="008437B0" w:rsidRPr="008437B0" w:rsidRDefault="008437B0" w:rsidP="008437B0">
            <w:pPr>
              <w:spacing w:after="0" w:line="240" w:lineRule="auto"/>
              <w:jc w:val="right"/>
              <w:rPr>
                <w:rFonts w:eastAsia="Times New Roman" w:cs="Arial"/>
                <w:color w:val="000000"/>
                <w:sz w:val="20"/>
                <w:szCs w:val="20"/>
              </w:rPr>
            </w:pPr>
            <w:r w:rsidRPr="008437B0">
              <w:rPr>
                <w:rFonts w:eastAsia="Times New Roman" w:cs="Arial"/>
                <w:color w:val="000000"/>
                <w:sz w:val="20"/>
                <w:szCs w:val="20"/>
              </w:rPr>
              <w:t>0.048</w:t>
            </w:r>
          </w:p>
        </w:tc>
      </w:tr>
    </w:tbl>
    <w:p w14:paraId="467AC722" w14:textId="77777777" w:rsidR="008437B0" w:rsidRDefault="008437B0" w:rsidP="008437B0">
      <w:pPr>
        <w:pStyle w:val="Normal-Table"/>
      </w:pPr>
    </w:p>
    <w:p w14:paraId="1F5ADCA9" w14:textId="3FF0DA17" w:rsidR="00CC41F7" w:rsidRDefault="008437B0" w:rsidP="008437B0">
      <w:r>
        <w:lastRenderedPageBreak/>
        <w:t xml:space="preserve">We can see that they all have a respectable R-square of around 5% to 9%. The coefficient for PER_MICRO is negative, while the coefficients for the other measures are all positive and get increasingly larger. This shows a further gap between micro businesses and the small medium and large business. This gap is one that makes sense, since the measures installed by the larger business will probably have much larger savings than those installed by the smaller businesses. While it is not possible to determine, without context, whether the micro businesses are suffering from seeing lower total and mean savings investment, it does show that a gap exists in how much total savings are flowing to this group of customers. </w:t>
      </w:r>
    </w:p>
    <w:p w14:paraId="4B8889B6" w14:textId="5017E674" w:rsidR="008437B0" w:rsidRDefault="008437B0" w:rsidP="008437B0">
      <w:r>
        <w:t>This trend of a negative coefficient for PER_MICRO and increasingly large positive coefficients for ever larger business sizes continues for the mean savings measures but has little to no statistical significance. Interestingly, the opposite holds for the median savings, with a positive coefficient for micro and negative coefficients for small and medium businesses. This probably means that large individual projects are skewing results upwards for the non-micro firm sizes.</w:t>
      </w:r>
    </w:p>
    <w:p w14:paraId="1426147B" w14:textId="5AF2FA7E" w:rsidR="008437B0" w:rsidRDefault="008437B0" w:rsidP="008437B0">
      <w:pPr>
        <w:pStyle w:val="Heading3"/>
      </w:pPr>
      <w:bookmarkStart w:id="56" w:name="_Toc74951666"/>
      <w:bookmarkStart w:id="57" w:name="_Toc75210351"/>
      <w:bookmarkStart w:id="58" w:name="_Toc76121062"/>
      <w:r>
        <w:t>CES3.0</w:t>
      </w:r>
      <w:bookmarkEnd w:id="56"/>
      <w:bookmarkEnd w:id="57"/>
      <w:bookmarkEnd w:id="58"/>
    </w:p>
    <w:p w14:paraId="3680A524" w14:textId="3F7FE013" w:rsidR="008437B0" w:rsidRPr="008437B0" w:rsidRDefault="008437B0" w:rsidP="008437B0">
      <w:r>
        <w:t xml:space="preserve">The CES3.0 score has a consistent positive correlation across savings measures, but with very little explanatory power. This would continue to imply that the main issue with participation is environmental factors, and that the socioeconomic factors used in the CES3.0 are </w:t>
      </w:r>
      <w:proofErr w:type="gramStart"/>
      <w:r>
        <w:t>confounding  any</w:t>
      </w:r>
      <w:proofErr w:type="gramEnd"/>
      <w:r>
        <w:t xml:space="preserve"> correlations.</w:t>
      </w:r>
    </w:p>
    <w:p w14:paraId="568348BD" w14:textId="6E92E347" w:rsidR="008437B0" w:rsidRDefault="008437B0" w:rsidP="008437B0">
      <w:pPr>
        <w:pStyle w:val="Heading3"/>
      </w:pPr>
      <w:bookmarkStart w:id="59" w:name="_Toc74951667"/>
      <w:bookmarkStart w:id="60" w:name="_Toc75210352"/>
      <w:bookmarkStart w:id="61" w:name="_Toc76121063"/>
      <w:r>
        <w:t>Density</w:t>
      </w:r>
      <w:bookmarkEnd w:id="59"/>
      <w:bookmarkEnd w:id="60"/>
      <w:bookmarkEnd w:id="61"/>
    </w:p>
    <w:p w14:paraId="093FB674" w14:textId="42A04A90" w:rsidR="008437B0" w:rsidRDefault="008437B0" w:rsidP="008437B0">
      <w:r>
        <w:t>Business density has much less correlation with savings than it does with site penetration. The R-squared for site penetration is 19%, but for the maximum effect seen for savings measures is 0.8%. This seems to indicate that density has no major effect on the size of savings being achieved by the SMB programs.</w:t>
      </w:r>
    </w:p>
    <w:p w14:paraId="6687EE17" w14:textId="7B002A54" w:rsidR="008437B0" w:rsidRDefault="008437B0" w:rsidP="008437B0">
      <w:pPr>
        <w:pStyle w:val="Heading3"/>
      </w:pPr>
      <w:bookmarkStart w:id="62" w:name="_Toc74951668"/>
      <w:bookmarkStart w:id="63" w:name="_Toc75210353"/>
      <w:bookmarkStart w:id="64" w:name="_Toc76121064"/>
      <w:r>
        <w:t>Demographics</w:t>
      </w:r>
      <w:bookmarkEnd w:id="62"/>
      <w:bookmarkEnd w:id="63"/>
      <w:bookmarkEnd w:id="64"/>
    </w:p>
    <w:p w14:paraId="5064D485" w14:textId="0FB10D76" w:rsidR="008437B0" w:rsidRPr="008437B0" w:rsidRDefault="008437B0" w:rsidP="008437B0">
      <w:r>
        <w:t>Compared to site penetration, very little demographic data is correlated with the investment measures. PER_HISPANIC continues to have a positive effect on total and mean savings, with a slightly negative effect on median savings, suggesting some sort of skew from a few larger projects, with Hispanic ZIP Codes seeing generally smaller measure savings. Again, without context it is hard to say if this is actually a gap in service or, more likely that Hispanic communities see higher participation rates, as shown by site penetration, which drives medians down due to many smaller measures.</w:t>
      </w:r>
    </w:p>
    <w:p w14:paraId="0693BCD0" w14:textId="40EF7F61" w:rsidR="00984939" w:rsidRDefault="00E6046B" w:rsidP="00984939">
      <w:pPr>
        <w:pStyle w:val="Heading2"/>
      </w:pPr>
      <w:bookmarkStart w:id="65" w:name="_Toc76121065"/>
      <w:r>
        <w:t>Investment</w:t>
      </w:r>
      <w:bookmarkEnd w:id="65"/>
    </w:p>
    <w:p w14:paraId="479244F6" w14:textId="4A998316" w:rsidR="004F12E7" w:rsidRDefault="004D7435" w:rsidP="004F12E7">
      <w:r>
        <w:t xml:space="preserve">When examining EE </w:t>
      </w:r>
      <w:proofErr w:type="gramStart"/>
      <w:r>
        <w:t>programs</w:t>
      </w:r>
      <w:proofErr w:type="gramEnd"/>
      <w:r>
        <w:t xml:space="preserve"> it is important to understand, not just participation and savings, but how </w:t>
      </w:r>
      <w:r w:rsidR="00D0057C">
        <w:t>investment</w:t>
      </w:r>
      <w:r>
        <w:t xml:space="preserve"> flow</w:t>
      </w:r>
      <w:r w:rsidR="00D0057C">
        <w:t xml:space="preserve">s </w:t>
      </w:r>
      <w:r>
        <w:t xml:space="preserve">to communities. </w:t>
      </w:r>
      <w:r w:rsidR="00D0057C">
        <w:t>Often</w:t>
      </w:r>
      <w:r>
        <w:t xml:space="preserve"> investment levels in energy efficiency have </w:t>
      </w:r>
      <w:r w:rsidR="00D0057C">
        <w:t xml:space="preserve">a </w:t>
      </w:r>
      <w:r>
        <w:t xml:space="preserve">multiplier effects and making sure that there are no gaps in investment was a key metric identified in the development of this analysis. </w:t>
      </w:r>
    </w:p>
    <w:p w14:paraId="53875066" w14:textId="7B473474" w:rsidR="004D7435" w:rsidRDefault="004D7435" w:rsidP="004F12E7">
      <w:r>
        <w:lastRenderedPageBreak/>
        <w:t xml:space="preserve">We </w:t>
      </w:r>
      <w:r w:rsidR="00D0057C">
        <w:t>examined</w:t>
      </w:r>
      <w:r>
        <w:t xml:space="preserve"> two measures of investment</w:t>
      </w:r>
      <w:r w:rsidR="00D0057C">
        <w:t>:</w:t>
      </w:r>
      <w:r>
        <w:t xml:space="preserve"> investment from the perspective of the program administrators through incentives, and investment from the participant </w:t>
      </w:r>
      <w:r w:rsidR="00D0057C">
        <w:t>through</w:t>
      </w:r>
      <w:r>
        <w:t xml:space="preserve"> the gross measure cost. Since costs and savings are closely related, there were </w:t>
      </w:r>
      <w:r w:rsidR="00D0057C">
        <w:t>some similarities in results but also some important differences.</w:t>
      </w:r>
    </w:p>
    <w:p w14:paraId="47E5DB80" w14:textId="699C01E9" w:rsidR="004D7435" w:rsidRDefault="004D7435" w:rsidP="004D7435">
      <w:pPr>
        <w:pStyle w:val="Heading3"/>
      </w:pPr>
      <w:bookmarkStart w:id="66" w:name="_Toc74951670"/>
      <w:bookmarkStart w:id="67" w:name="_Toc75210355"/>
      <w:bookmarkStart w:id="68" w:name="_Toc76121066"/>
      <w:r>
        <w:t>Firm Size</w:t>
      </w:r>
      <w:bookmarkEnd w:id="66"/>
      <w:bookmarkEnd w:id="67"/>
      <w:bookmarkEnd w:id="68"/>
    </w:p>
    <w:p w14:paraId="21022B27" w14:textId="7912EBA4" w:rsidR="00D0057C" w:rsidRDefault="00A9466C" w:rsidP="00D0057C">
      <w:r>
        <w:t xml:space="preserve">The results for investment and firm size were very similar to the findings for savings as shown in </w:t>
      </w:r>
      <w:r>
        <w:fldChar w:fldCharType="begin"/>
      </w:r>
      <w:r>
        <w:instrText xml:space="preserve"> REF _Ref74950932 \h </w:instrText>
      </w:r>
      <w:r>
        <w:fldChar w:fldCharType="separate"/>
      </w:r>
      <w:r w:rsidR="00A74C64">
        <w:t xml:space="preserve">Table </w:t>
      </w:r>
      <w:r w:rsidR="00A74C64">
        <w:rPr>
          <w:noProof/>
        </w:rPr>
        <w:t>17</w:t>
      </w:r>
      <w:r>
        <w:fldChar w:fldCharType="end"/>
      </w:r>
      <w:r>
        <w:t xml:space="preserve"> and </w:t>
      </w:r>
      <w:r w:rsidR="00C56A76">
        <w:fldChar w:fldCharType="begin"/>
      </w:r>
      <w:r w:rsidR="00C56A76">
        <w:instrText xml:space="preserve"> REF _Ref74950990 \h </w:instrText>
      </w:r>
      <w:r w:rsidR="00C56A76">
        <w:fldChar w:fldCharType="separate"/>
      </w:r>
      <w:r w:rsidR="00A74C64">
        <w:t xml:space="preserve">Table </w:t>
      </w:r>
      <w:r w:rsidR="00A74C64">
        <w:rPr>
          <w:noProof/>
        </w:rPr>
        <w:t>18</w:t>
      </w:r>
      <w:r w:rsidR="00C56A76">
        <w:fldChar w:fldCharType="end"/>
      </w:r>
      <w:r>
        <w:t xml:space="preserve">. For </w:t>
      </w:r>
      <w:r w:rsidR="00C56A76">
        <w:t>investment totals and investment mean</w:t>
      </w:r>
      <w:r>
        <w:t xml:space="preserve">, all </w:t>
      </w:r>
      <w:r w:rsidR="00C56A76">
        <w:t>firm size features</w:t>
      </w:r>
      <w:r>
        <w:t xml:space="preserve"> were very statistically significant and had decent explanatory power, </w:t>
      </w:r>
      <w:r w:rsidR="00C56A76">
        <w:t>especially for investment totals. We also observed the same negative coefficient for PER_MICRO, switching to positive for PER_SMALL and getting progressively larger as the firm size increased. This continues to confirm the gap for micro businesses.</w:t>
      </w:r>
    </w:p>
    <w:p w14:paraId="22FACF85" w14:textId="010786CC" w:rsidR="00D0057C" w:rsidRDefault="00D0057C" w:rsidP="00D0057C">
      <w:pPr>
        <w:pStyle w:val="Caption"/>
      </w:pPr>
      <w:bookmarkStart w:id="69" w:name="_Ref74950932"/>
      <w:bookmarkStart w:id="70" w:name="_Toc76121110"/>
      <w:r>
        <w:t xml:space="preserve">Table </w:t>
      </w:r>
      <w:r w:rsidR="00DB1658">
        <w:fldChar w:fldCharType="begin"/>
      </w:r>
      <w:r w:rsidR="00DB1658">
        <w:instrText xml:space="preserve"> SEQ Table \* ARABIC </w:instrText>
      </w:r>
      <w:r w:rsidR="00DB1658">
        <w:fldChar w:fldCharType="separate"/>
      </w:r>
      <w:r w:rsidR="00A74C64">
        <w:rPr>
          <w:noProof/>
        </w:rPr>
        <w:t>17</w:t>
      </w:r>
      <w:r w:rsidR="00DB1658">
        <w:rPr>
          <w:noProof/>
        </w:rPr>
        <w:fldChar w:fldCharType="end"/>
      </w:r>
      <w:bookmarkEnd w:id="69"/>
      <w:r>
        <w:t>. Regression Results for Investment Totals vs. Firm Size</w:t>
      </w:r>
      <w:bookmarkEnd w:id="70"/>
    </w:p>
    <w:tbl>
      <w:tblPr>
        <w:tblStyle w:val="TableGrid"/>
        <w:tblW w:w="0" w:type="auto"/>
        <w:tblLook w:val="04A0" w:firstRow="1" w:lastRow="0" w:firstColumn="1" w:lastColumn="0" w:noHBand="0" w:noVBand="1"/>
      </w:tblPr>
      <w:tblGrid>
        <w:gridCol w:w="3120"/>
        <w:gridCol w:w="1293"/>
        <w:gridCol w:w="1487"/>
        <w:gridCol w:w="1210"/>
        <w:gridCol w:w="1390"/>
      </w:tblGrid>
      <w:tr w:rsidR="00880B91" w:rsidRPr="00880B91" w14:paraId="26503616" w14:textId="77777777" w:rsidTr="00880B91">
        <w:trPr>
          <w:trHeight w:val="320"/>
        </w:trPr>
        <w:tc>
          <w:tcPr>
            <w:tcW w:w="3120" w:type="dxa"/>
            <w:vMerge w:val="restart"/>
            <w:shd w:val="clear" w:color="auto" w:fill="A6A6A6" w:themeFill="background1" w:themeFillShade="A6"/>
            <w:noWrap/>
            <w:vAlign w:val="bottom"/>
            <w:hideMark/>
          </w:tcPr>
          <w:p w14:paraId="00879852" w14:textId="77777777" w:rsidR="00880B91" w:rsidRPr="00880B91" w:rsidRDefault="00880B91" w:rsidP="00880B91">
            <w:pPr>
              <w:pStyle w:val="Normal-Table"/>
              <w:jc w:val="center"/>
              <w:rPr>
                <w:b/>
                <w:bCs w:val="0"/>
              </w:rPr>
            </w:pPr>
            <w:r w:rsidRPr="00880B91">
              <w:rPr>
                <w:b/>
                <w:bCs w:val="0"/>
              </w:rPr>
              <w:t>Feature</w:t>
            </w:r>
          </w:p>
        </w:tc>
        <w:tc>
          <w:tcPr>
            <w:tcW w:w="2780" w:type="dxa"/>
            <w:gridSpan w:val="2"/>
            <w:shd w:val="clear" w:color="auto" w:fill="A6A6A6" w:themeFill="background1" w:themeFillShade="A6"/>
            <w:noWrap/>
            <w:vAlign w:val="bottom"/>
            <w:hideMark/>
          </w:tcPr>
          <w:p w14:paraId="6CEB3304" w14:textId="77777777" w:rsidR="00880B91" w:rsidRPr="00880B91" w:rsidRDefault="00880B91" w:rsidP="00880B91">
            <w:pPr>
              <w:pStyle w:val="Normal-Table"/>
              <w:jc w:val="center"/>
              <w:rPr>
                <w:b/>
                <w:bCs w:val="0"/>
              </w:rPr>
            </w:pPr>
            <w:r w:rsidRPr="00880B91">
              <w:rPr>
                <w:b/>
                <w:bCs w:val="0"/>
              </w:rPr>
              <w:t>Coefficient</w:t>
            </w:r>
          </w:p>
        </w:tc>
        <w:tc>
          <w:tcPr>
            <w:tcW w:w="2600" w:type="dxa"/>
            <w:gridSpan w:val="2"/>
            <w:shd w:val="clear" w:color="auto" w:fill="A6A6A6" w:themeFill="background1" w:themeFillShade="A6"/>
            <w:noWrap/>
            <w:vAlign w:val="bottom"/>
            <w:hideMark/>
          </w:tcPr>
          <w:p w14:paraId="16110742" w14:textId="77777777" w:rsidR="00880B91" w:rsidRPr="00880B91" w:rsidRDefault="00880B91" w:rsidP="00880B91">
            <w:pPr>
              <w:pStyle w:val="Normal-Table"/>
              <w:jc w:val="center"/>
              <w:rPr>
                <w:b/>
                <w:bCs w:val="0"/>
              </w:rPr>
            </w:pPr>
            <w:r w:rsidRPr="00880B91">
              <w:rPr>
                <w:b/>
                <w:bCs w:val="0"/>
              </w:rPr>
              <w:t>R-squared</w:t>
            </w:r>
          </w:p>
        </w:tc>
      </w:tr>
      <w:tr w:rsidR="00880B91" w:rsidRPr="00880B91" w14:paraId="56719E3E" w14:textId="77777777" w:rsidTr="00880B91">
        <w:trPr>
          <w:trHeight w:val="320"/>
        </w:trPr>
        <w:tc>
          <w:tcPr>
            <w:tcW w:w="3120" w:type="dxa"/>
            <w:vMerge/>
            <w:shd w:val="clear" w:color="auto" w:fill="A6A6A6" w:themeFill="background1" w:themeFillShade="A6"/>
            <w:vAlign w:val="bottom"/>
            <w:hideMark/>
          </w:tcPr>
          <w:p w14:paraId="6E37ABED" w14:textId="77777777" w:rsidR="00880B91" w:rsidRPr="00880B91" w:rsidRDefault="00880B91" w:rsidP="00880B91">
            <w:pPr>
              <w:pStyle w:val="Normal-Table"/>
              <w:jc w:val="center"/>
              <w:rPr>
                <w:b/>
                <w:bCs w:val="0"/>
              </w:rPr>
            </w:pPr>
          </w:p>
        </w:tc>
        <w:tc>
          <w:tcPr>
            <w:tcW w:w="1293" w:type="dxa"/>
            <w:shd w:val="clear" w:color="auto" w:fill="A6A6A6" w:themeFill="background1" w:themeFillShade="A6"/>
            <w:noWrap/>
            <w:vAlign w:val="bottom"/>
            <w:hideMark/>
          </w:tcPr>
          <w:p w14:paraId="68CB9D4E" w14:textId="77777777" w:rsidR="00880B91" w:rsidRPr="00880B91" w:rsidRDefault="00880B91" w:rsidP="00880B91">
            <w:pPr>
              <w:pStyle w:val="Normal-Table"/>
              <w:jc w:val="right"/>
              <w:rPr>
                <w:b/>
                <w:bCs w:val="0"/>
              </w:rPr>
            </w:pPr>
            <w:r w:rsidRPr="00880B91">
              <w:rPr>
                <w:b/>
                <w:bCs w:val="0"/>
              </w:rPr>
              <w:t>Incentive</w:t>
            </w:r>
          </w:p>
        </w:tc>
        <w:tc>
          <w:tcPr>
            <w:tcW w:w="1487" w:type="dxa"/>
            <w:shd w:val="clear" w:color="auto" w:fill="A6A6A6" w:themeFill="background1" w:themeFillShade="A6"/>
            <w:noWrap/>
            <w:vAlign w:val="bottom"/>
            <w:hideMark/>
          </w:tcPr>
          <w:p w14:paraId="665E9D10" w14:textId="77777777" w:rsidR="00880B91" w:rsidRPr="00880B91" w:rsidRDefault="00880B91" w:rsidP="00880B91">
            <w:pPr>
              <w:pStyle w:val="Normal-Table"/>
              <w:jc w:val="right"/>
              <w:rPr>
                <w:b/>
                <w:bCs w:val="0"/>
              </w:rPr>
            </w:pPr>
            <w:r w:rsidRPr="00880B91">
              <w:rPr>
                <w:b/>
                <w:bCs w:val="0"/>
              </w:rPr>
              <w:t>Meas Cost</w:t>
            </w:r>
          </w:p>
        </w:tc>
        <w:tc>
          <w:tcPr>
            <w:tcW w:w="1210" w:type="dxa"/>
            <w:shd w:val="clear" w:color="auto" w:fill="A6A6A6" w:themeFill="background1" w:themeFillShade="A6"/>
            <w:noWrap/>
            <w:vAlign w:val="bottom"/>
            <w:hideMark/>
          </w:tcPr>
          <w:p w14:paraId="56BC65F3" w14:textId="77777777" w:rsidR="00880B91" w:rsidRPr="00880B91" w:rsidRDefault="00880B91" w:rsidP="00880B91">
            <w:pPr>
              <w:pStyle w:val="Normal-Table"/>
              <w:jc w:val="right"/>
              <w:rPr>
                <w:b/>
                <w:bCs w:val="0"/>
              </w:rPr>
            </w:pPr>
            <w:r w:rsidRPr="00880B91">
              <w:rPr>
                <w:b/>
                <w:bCs w:val="0"/>
              </w:rPr>
              <w:t>Incentive</w:t>
            </w:r>
          </w:p>
        </w:tc>
        <w:tc>
          <w:tcPr>
            <w:tcW w:w="1390" w:type="dxa"/>
            <w:shd w:val="clear" w:color="auto" w:fill="A6A6A6" w:themeFill="background1" w:themeFillShade="A6"/>
            <w:noWrap/>
            <w:vAlign w:val="bottom"/>
            <w:hideMark/>
          </w:tcPr>
          <w:p w14:paraId="149FEDC7" w14:textId="77777777" w:rsidR="00880B91" w:rsidRPr="00880B91" w:rsidRDefault="00880B91" w:rsidP="00880B91">
            <w:pPr>
              <w:pStyle w:val="Normal-Table"/>
              <w:jc w:val="right"/>
              <w:rPr>
                <w:b/>
                <w:bCs w:val="0"/>
              </w:rPr>
            </w:pPr>
            <w:r w:rsidRPr="00880B91">
              <w:rPr>
                <w:b/>
                <w:bCs w:val="0"/>
              </w:rPr>
              <w:t>Meas Cost</w:t>
            </w:r>
          </w:p>
        </w:tc>
      </w:tr>
      <w:tr w:rsidR="00880B91" w:rsidRPr="00880B91" w14:paraId="08B3587B" w14:textId="77777777" w:rsidTr="00880B91">
        <w:trPr>
          <w:trHeight w:val="320"/>
        </w:trPr>
        <w:tc>
          <w:tcPr>
            <w:tcW w:w="3120" w:type="dxa"/>
            <w:noWrap/>
            <w:hideMark/>
          </w:tcPr>
          <w:p w14:paraId="5FD09E24" w14:textId="77777777" w:rsidR="00880B91" w:rsidRPr="00880B91" w:rsidRDefault="00880B91" w:rsidP="00880B91">
            <w:pPr>
              <w:pStyle w:val="Normal-Table"/>
            </w:pPr>
            <w:r w:rsidRPr="00880B91">
              <w:t>PER_MICRO</w:t>
            </w:r>
          </w:p>
        </w:tc>
        <w:tc>
          <w:tcPr>
            <w:tcW w:w="1293" w:type="dxa"/>
            <w:noWrap/>
            <w:hideMark/>
          </w:tcPr>
          <w:p w14:paraId="614FC150" w14:textId="77777777" w:rsidR="00880B91" w:rsidRPr="00880B91" w:rsidRDefault="00880B91" w:rsidP="00880B91">
            <w:pPr>
              <w:pStyle w:val="Normal-Table"/>
              <w:jc w:val="right"/>
            </w:pPr>
            <w:r w:rsidRPr="00880B91">
              <w:t>-14,249</w:t>
            </w:r>
          </w:p>
        </w:tc>
        <w:tc>
          <w:tcPr>
            <w:tcW w:w="1487" w:type="dxa"/>
            <w:noWrap/>
            <w:hideMark/>
          </w:tcPr>
          <w:p w14:paraId="4BB80C07" w14:textId="77777777" w:rsidR="00880B91" w:rsidRPr="00880B91" w:rsidRDefault="00880B91" w:rsidP="00880B91">
            <w:pPr>
              <w:pStyle w:val="Normal-Table"/>
              <w:jc w:val="right"/>
            </w:pPr>
            <w:r w:rsidRPr="00880B91">
              <w:t>-43,960</w:t>
            </w:r>
          </w:p>
        </w:tc>
        <w:tc>
          <w:tcPr>
            <w:tcW w:w="1210" w:type="dxa"/>
            <w:noWrap/>
            <w:hideMark/>
          </w:tcPr>
          <w:p w14:paraId="6EB24CF2" w14:textId="77777777" w:rsidR="00880B91" w:rsidRPr="00880B91" w:rsidRDefault="00880B91" w:rsidP="00880B91">
            <w:pPr>
              <w:pStyle w:val="Normal-Table"/>
              <w:jc w:val="right"/>
            </w:pPr>
            <w:r w:rsidRPr="00880B91">
              <w:t>0.123</w:t>
            </w:r>
          </w:p>
        </w:tc>
        <w:tc>
          <w:tcPr>
            <w:tcW w:w="1390" w:type="dxa"/>
            <w:noWrap/>
            <w:hideMark/>
          </w:tcPr>
          <w:p w14:paraId="493EC90A" w14:textId="77777777" w:rsidR="00880B91" w:rsidRPr="00880B91" w:rsidRDefault="00880B91" w:rsidP="00880B91">
            <w:pPr>
              <w:pStyle w:val="Normal-Table"/>
              <w:jc w:val="right"/>
            </w:pPr>
            <w:r w:rsidRPr="00880B91">
              <w:t>0.069</w:t>
            </w:r>
          </w:p>
        </w:tc>
      </w:tr>
      <w:tr w:rsidR="00880B91" w:rsidRPr="00880B91" w14:paraId="4C7A85B4" w14:textId="77777777" w:rsidTr="00880B91">
        <w:trPr>
          <w:trHeight w:val="320"/>
        </w:trPr>
        <w:tc>
          <w:tcPr>
            <w:tcW w:w="3120" w:type="dxa"/>
            <w:noWrap/>
            <w:hideMark/>
          </w:tcPr>
          <w:p w14:paraId="635623F9" w14:textId="77777777" w:rsidR="00880B91" w:rsidRPr="00880B91" w:rsidRDefault="00880B91" w:rsidP="00880B91">
            <w:pPr>
              <w:pStyle w:val="Normal-Table"/>
            </w:pPr>
            <w:r w:rsidRPr="00880B91">
              <w:t>PER_SMALL</w:t>
            </w:r>
          </w:p>
        </w:tc>
        <w:tc>
          <w:tcPr>
            <w:tcW w:w="1293" w:type="dxa"/>
            <w:noWrap/>
            <w:hideMark/>
          </w:tcPr>
          <w:p w14:paraId="7AAEF79F" w14:textId="77777777" w:rsidR="00880B91" w:rsidRPr="00880B91" w:rsidRDefault="00880B91" w:rsidP="00880B91">
            <w:pPr>
              <w:pStyle w:val="Normal-Table"/>
              <w:jc w:val="right"/>
            </w:pPr>
            <w:r w:rsidRPr="00880B91">
              <w:t>17,155</w:t>
            </w:r>
          </w:p>
        </w:tc>
        <w:tc>
          <w:tcPr>
            <w:tcW w:w="1487" w:type="dxa"/>
            <w:noWrap/>
            <w:hideMark/>
          </w:tcPr>
          <w:p w14:paraId="255E8BBE" w14:textId="77777777" w:rsidR="00880B91" w:rsidRPr="00880B91" w:rsidRDefault="00880B91" w:rsidP="00880B91">
            <w:pPr>
              <w:pStyle w:val="Normal-Table"/>
              <w:jc w:val="right"/>
            </w:pPr>
            <w:r w:rsidRPr="00880B91">
              <w:t>50,079</w:t>
            </w:r>
          </w:p>
        </w:tc>
        <w:tc>
          <w:tcPr>
            <w:tcW w:w="1210" w:type="dxa"/>
            <w:noWrap/>
            <w:hideMark/>
          </w:tcPr>
          <w:p w14:paraId="3723D0F7" w14:textId="77777777" w:rsidR="00880B91" w:rsidRPr="00880B91" w:rsidRDefault="00880B91" w:rsidP="00880B91">
            <w:pPr>
              <w:pStyle w:val="Normal-Table"/>
              <w:jc w:val="right"/>
            </w:pPr>
            <w:r w:rsidRPr="00880B91">
              <w:t>0.099</w:t>
            </w:r>
          </w:p>
        </w:tc>
        <w:tc>
          <w:tcPr>
            <w:tcW w:w="1390" w:type="dxa"/>
            <w:noWrap/>
            <w:hideMark/>
          </w:tcPr>
          <w:p w14:paraId="74145E82" w14:textId="77777777" w:rsidR="00880B91" w:rsidRPr="00880B91" w:rsidRDefault="00880B91" w:rsidP="00880B91">
            <w:pPr>
              <w:pStyle w:val="Normal-Table"/>
              <w:jc w:val="right"/>
            </w:pPr>
            <w:r w:rsidRPr="00880B91">
              <w:t>0.049</w:t>
            </w:r>
          </w:p>
        </w:tc>
      </w:tr>
      <w:tr w:rsidR="00880B91" w:rsidRPr="00880B91" w14:paraId="3184CCBD" w14:textId="77777777" w:rsidTr="00880B91">
        <w:trPr>
          <w:trHeight w:val="320"/>
        </w:trPr>
        <w:tc>
          <w:tcPr>
            <w:tcW w:w="3120" w:type="dxa"/>
            <w:noWrap/>
            <w:hideMark/>
          </w:tcPr>
          <w:p w14:paraId="13683A90" w14:textId="77777777" w:rsidR="00880B91" w:rsidRPr="00880B91" w:rsidRDefault="00880B91" w:rsidP="00880B91">
            <w:pPr>
              <w:pStyle w:val="Normal-Table"/>
            </w:pPr>
            <w:r w:rsidRPr="00880B91">
              <w:t>PER_MED</w:t>
            </w:r>
          </w:p>
        </w:tc>
        <w:tc>
          <w:tcPr>
            <w:tcW w:w="1293" w:type="dxa"/>
            <w:noWrap/>
            <w:hideMark/>
          </w:tcPr>
          <w:p w14:paraId="209B5692" w14:textId="77777777" w:rsidR="00880B91" w:rsidRPr="00880B91" w:rsidRDefault="00880B91" w:rsidP="00880B91">
            <w:pPr>
              <w:pStyle w:val="Normal-Table"/>
              <w:jc w:val="right"/>
            </w:pPr>
            <w:r w:rsidRPr="00880B91">
              <w:t>47,278</w:t>
            </w:r>
          </w:p>
        </w:tc>
        <w:tc>
          <w:tcPr>
            <w:tcW w:w="1487" w:type="dxa"/>
            <w:noWrap/>
            <w:hideMark/>
          </w:tcPr>
          <w:p w14:paraId="0254D19F" w14:textId="77777777" w:rsidR="00880B91" w:rsidRPr="00880B91" w:rsidRDefault="00880B91" w:rsidP="00880B91">
            <w:pPr>
              <w:pStyle w:val="Normal-Table"/>
              <w:jc w:val="right"/>
            </w:pPr>
            <w:r w:rsidRPr="00880B91">
              <w:t>142,191</w:t>
            </w:r>
          </w:p>
        </w:tc>
        <w:tc>
          <w:tcPr>
            <w:tcW w:w="1210" w:type="dxa"/>
            <w:noWrap/>
            <w:hideMark/>
          </w:tcPr>
          <w:p w14:paraId="0AFA652E" w14:textId="77777777" w:rsidR="00880B91" w:rsidRPr="00880B91" w:rsidRDefault="00880B91" w:rsidP="00880B91">
            <w:pPr>
              <w:pStyle w:val="Normal-Table"/>
              <w:jc w:val="right"/>
            </w:pPr>
            <w:r w:rsidRPr="00880B91">
              <w:t>0.141</w:t>
            </w:r>
          </w:p>
        </w:tc>
        <w:tc>
          <w:tcPr>
            <w:tcW w:w="1390" w:type="dxa"/>
            <w:noWrap/>
            <w:hideMark/>
          </w:tcPr>
          <w:p w14:paraId="430853D4" w14:textId="77777777" w:rsidR="00880B91" w:rsidRPr="00880B91" w:rsidRDefault="00880B91" w:rsidP="00880B91">
            <w:pPr>
              <w:pStyle w:val="Normal-Table"/>
              <w:jc w:val="right"/>
            </w:pPr>
            <w:r w:rsidRPr="00880B91">
              <w:t>0.075</w:t>
            </w:r>
          </w:p>
        </w:tc>
      </w:tr>
      <w:tr w:rsidR="00880B91" w:rsidRPr="00880B91" w14:paraId="223F67BC" w14:textId="77777777" w:rsidTr="00880B91">
        <w:trPr>
          <w:trHeight w:val="320"/>
        </w:trPr>
        <w:tc>
          <w:tcPr>
            <w:tcW w:w="3120" w:type="dxa"/>
            <w:noWrap/>
            <w:hideMark/>
          </w:tcPr>
          <w:p w14:paraId="4EAF4C52" w14:textId="77777777" w:rsidR="00880B91" w:rsidRPr="00880B91" w:rsidRDefault="00880B91" w:rsidP="00880B91">
            <w:pPr>
              <w:pStyle w:val="Normal-Table"/>
            </w:pPr>
            <w:r w:rsidRPr="00880B91">
              <w:t>PER_LARGE</w:t>
            </w:r>
          </w:p>
        </w:tc>
        <w:tc>
          <w:tcPr>
            <w:tcW w:w="1293" w:type="dxa"/>
            <w:noWrap/>
            <w:hideMark/>
          </w:tcPr>
          <w:p w14:paraId="360FC194" w14:textId="77777777" w:rsidR="00880B91" w:rsidRPr="00880B91" w:rsidRDefault="00880B91" w:rsidP="00880B91">
            <w:pPr>
              <w:pStyle w:val="Normal-Table"/>
              <w:jc w:val="right"/>
            </w:pPr>
            <w:r w:rsidRPr="00880B91">
              <w:t>129,957</w:t>
            </w:r>
          </w:p>
        </w:tc>
        <w:tc>
          <w:tcPr>
            <w:tcW w:w="1487" w:type="dxa"/>
            <w:noWrap/>
            <w:hideMark/>
          </w:tcPr>
          <w:p w14:paraId="158211CD" w14:textId="77777777" w:rsidR="00880B91" w:rsidRPr="00880B91" w:rsidRDefault="00880B91" w:rsidP="00880B91">
            <w:pPr>
              <w:pStyle w:val="Normal-Table"/>
              <w:jc w:val="right"/>
            </w:pPr>
            <w:r w:rsidRPr="00880B91">
              <w:t>464,418</w:t>
            </w:r>
          </w:p>
        </w:tc>
        <w:tc>
          <w:tcPr>
            <w:tcW w:w="1210" w:type="dxa"/>
            <w:noWrap/>
            <w:hideMark/>
          </w:tcPr>
          <w:p w14:paraId="39F1A071" w14:textId="77777777" w:rsidR="00880B91" w:rsidRPr="00880B91" w:rsidRDefault="00880B91" w:rsidP="00880B91">
            <w:pPr>
              <w:pStyle w:val="Normal-Table"/>
              <w:jc w:val="right"/>
            </w:pPr>
            <w:r w:rsidRPr="00880B91">
              <w:t>0.089</w:t>
            </w:r>
          </w:p>
        </w:tc>
        <w:tc>
          <w:tcPr>
            <w:tcW w:w="1390" w:type="dxa"/>
            <w:noWrap/>
            <w:hideMark/>
          </w:tcPr>
          <w:p w14:paraId="05A4E705" w14:textId="77777777" w:rsidR="00880B91" w:rsidRPr="00880B91" w:rsidRDefault="00880B91" w:rsidP="00880B91">
            <w:pPr>
              <w:pStyle w:val="Normal-Table"/>
              <w:jc w:val="right"/>
            </w:pPr>
            <w:r w:rsidRPr="00880B91">
              <w:t>0.067</w:t>
            </w:r>
          </w:p>
        </w:tc>
      </w:tr>
    </w:tbl>
    <w:p w14:paraId="6346236A" w14:textId="77777777" w:rsidR="00D0057C" w:rsidRDefault="00D0057C" w:rsidP="00880B91">
      <w:pPr>
        <w:pStyle w:val="Normal-Table"/>
      </w:pPr>
    </w:p>
    <w:p w14:paraId="2968DAB1" w14:textId="27904DAE" w:rsidR="00880B91" w:rsidRDefault="00880B91" w:rsidP="00880B91">
      <w:pPr>
        <w:pStyle w:val="Caption"/>
      </w:pPr>
      <w:bookmarkStart w:id="71" w:name="_Ref74950990"/>
      <w:bookmarkStart w:id="72" w:name="_Toc76121111"/>
      <w:r>
        <w:t xml:space="preserve">Table </w:t>
      </w:r>
      <w:r w:rsidR="00DB1658">
        <w:fldChar w:fldCharType="begin"/>
      </w:r>
      <w:r w:rsidR="00DB1658">
        <w:instrText xml:space="preserve"> SEQ Table \* ARABIC </w:instrText>
      </w:r>
      <w:r w:rsidR="00DB1658">
        <w:fldChar w:fldCharType="separate"/>
      </w:r>
      <w:r w:rsidR="00A74C64">
        <w:rPr>
          <w:noProof/>
        </w:rPr>
        <w:t>18</w:t>
      </w:r>
      <w:r w:rsidR="00DB1658">
        <w:rPr>
          <w:noProof/>
        </w:rPr>
        <w:fldChar w:fldCharType="end"/>
      </w:r>
      <w:bookmarkEnd w:id="71"/>
      <w:r>
        <w:t>. Regression Results for Investment Mean vs. Firm Size</w:t>
      </w:r>
      <w:bookmarkEnd w:id="72"/>
    </w:p>
    <w:tbl>
      <w:tblPr>
        <w:tblStyle w:val="TableGrid"/>
        <w:tblW w:w="0" w:type="auto"/>
        <w:tblLook w:val="04A0" w:firstRow="1" w:lastRow="0" w:firstColumn="1" w:lastColumn="0" w:noHBand="0" w:noVBand="1"/>
      </w:tblPr>
      <w:tblGrid>
        <w:gridCol w:w="3120"/>
        <w:gridCol w:w="1293"/>
        <w:gridCol w:w="1487"/>
        <w:gridCol w:w="1210"/>
        <w:gridCol w:w="1390"/>
      </w:tblGrid>
      <w:tr w:rsidR="00880B91" w:rsidRPr="00880B91" w14:paraId="38A01D2E" w14:textId="77777777" w:rsidTr="00FE1CFE">
        <w:trPr>
          <w:trHeight w:val="320"/>
        </w:trPr>
        <w:tc>
          <w:tcPr>
            <w:tcW w:w="3120" w:type="dxa"/>
            <w:vMerge w:val="restart"/>
            <w:shd w:val="clear" w:color="auto" w:fill="A6A6A6" w:themeFill="background1" w:themeFillShade="A6"/>
            <w:noWrap/>
            <w:vAlign w:val="bottom"/>
            <w:hideMark/>
          </w:tcPr>
          <w:p w14:paraId="369A8EC5" w14:textId="77777777" w:rsidR="00880B91" w:rsidRPr="00880B91" w:rsidRDefault="00880B91" w:rsidP="00FE1CFE">
            <w:pPr>
              <w:pStyle w:val="Normal-Table"/>
              <w:jc w:val="center"/>
              <w:rPr>
                <w:b/>
                <w:bCs w:val="0"/>
              </w:rPr>
            </w:pPr>
            <w:r w:rsidRPr="00880B91">
              <w:rPr>
                <w:b/>
                <w:bCs w:val="0"/>
              </w:rPr>
              <w:t>Feature</w:t>
            </w:r>
          </w:p>
        </w:tc>
        <w:tc>
          <w:tcPr>
            <w:tcW w:w="2780" w:type="dxa"/>
            <w:gridSpan w:val="2"/>
            <w:shd w:val="clear" w:color="auto" w:fill="A6A6A6" w:themeFill="background1" w:themeFillShade="A6"/>
            <w:noWrap/>
            <w:vAlign w:val="bottom"/>
            <w:hideMark/>
          </w:tcPr>
          <w:p w14:paraId="6263E691" w14:textId="77777777" w:rsidR="00880B91" w:rsidRPr="00880B91" w:rsidRDefault="00880B91" w:rsidP="00FE1CFE">
            <w:pPr>
              <w:pStyle w:val="Normal-Table"/>
              <w:jc w:val="center"/>
              <w:rPr>
                <w:b/>
                <w:bCs w:val="0"/>
              </w:rPr>
            </w:pPr>
            <w:r w:rsidRPr="00880B91">
              <w:rPr>
                <w:b/>
                <w:bCs w:val="0"/>
              </w:rPr>
              <w:t>Coefficient</w:t>
            </w:r>
          </w:p>
        </w:tc>
        <w:tc>
          <w:tcPr>
            <w:tcW w:w="2600" w:type="dxa"/>
            <w:gridSpan w:val="2"/>
            <w:shd w:val="clear" w:color="auto" w:fill="A6A6A6" w:themeFill="background1" w:themeFillShade="A6"/>
            <w:noWrap/>
            <w:vAlign w:val="bottom"/>
            <w:hideMark/>
          </w:tcPr>
          <w:p w14:paraId="2D914210" w14:textId="77777777" w:rsidR="00880B91" w:rsidRPr="00880B91" w:rsidRDefault="00880B91" w:rsidP="00FE1CFE">
            <w:pPr>
              <w:pStyle w:val="Normal-Table"/>
              <w:jc w:val="center"/>
              <w:rPr>
                <w:b/>
                <w:bCs w:val="0"/>
              </w:rPr>
            </w:pPr>
            <w:r w:rsidRPr="00880B91">
              <w:rPr>
                <w:b/>
                <w:bCs w:val="0"/>
              </w:rPr>
              <w:t>R-squared</w:t>
            </w:r>
          </w:p>
        </w:tc>
      </w:tr>
      <w:tr w:rsidR="00880B91" w:rsidRPr="00880B91" w14:paraId="3A926F10" w14:textId="77777777" w:rsidTr="00FE1CFE">
        <w:trPr>
          <w:trHeight w:val="320"/>
        </w:trPr>
        <w:tc>
          <w:tcPr>
            <w:tcW w:w="3120" w:type="dxa"/>
            <w:vMerge/>
            <w:shd w:val="clear" w:color="auto" w:fill="A6A6A6" w:themeFill="background1" w:themeFillShade="A6"/>
            <w:vAlign w:val="bottom"/>
            <w:hideMark/>
          </w:tcPr>
          <w:p w14:paraId="718C3E7B" w14:textId="77777777" w:rsidR="00880B91" w:rsidRPr="00880B91" w:rsidRDefault="00880B91" w:rsidP="00FE1CFE">
            <w:pPr>
              <w:pStyle w:val="Normal-Table"/>
              <w:jc w:val="center"/>
              <w:rPr>
                <w:b/>
                <w:bCs w:val="0"/>
              </w:rPr>
            </w:pPr>
          </w:p>
        </w:tc>
        <w:tc>
          <w:tcPr>
            <w:tcW w:w="1293" w:type="dxa"/>
            <w:shd w:val="clear" w:color="auto" w:fill="A6A6A6" w:themeFill="background1" w:themeFillShade="A6"/>
            <w:noWrap/>
            <w:vAlign w:val="bottom"/>
            <w:hideMark/>
          </w:tcPr>
          <w:p w14:paraId="2C45ED8B" w14:textId="77777777" w:rsidR="00880B91" w:rsidRPr="00880B91" w:rsidRDefault="00880B91" w:rsidP="00FE1CFE">
            <w:pPr>
              <w:pStyle w:val="Normal-Table"/>
              <w:jc w:val="right"/>
              <w:rPr>
                <w:b/>
                <w:bCs w:val="0"/>
              </w:rPr>
            </w:pPr>
            <w:r w:rsidRPr="00880B91">
              <w:rPr>
                <w:b/>
                <w:bCs w:val="0"/>
              </w:rPr>
              <w:t>Incentive</w:t>
            </w:r>
          </w:p>
        </w:tc>
        <w:tc>
          <w:tcPr>
            <w:tcW w:w="1487" w:type="dxa"/>
            <w:shd w:val="clear" w:color="auto" w:fill="A6A6A6" w:themeFill="background1" w:themeFillShade="A6"/>
            <w:noWrap/>
            <w:vAlign w:val="bottom"/>
            <w:hideMark/>
          </w:tcPr>
          <w:p w14:paraId="11B6C6E4" w14:textId="77777777" w:rsidR="00880B91" w:rsidRPr="00880B91" w:rsidRDefault="00880B91" w:rsidP="00FE1CFE">
            <w:pPr>
              <w:pStyle w:val="Normal-Table"/>
              <w:jc w:val="right"/>
              <w:rPr>
                <w:b/>
                <w:bCs w:val="0"/>
              </w:rPr>
            </w:pPr>
            <w:r w:rsidRPr="00880B91">
              <w:rPr>
                <w:b/>
                <w:bCs w:val="0"/>
              </w:rPr>
              <w:t>Meas Cost</w:t>
            </w:r>
          </w:p>
        </w:tc>
        <w:tc>
          <w:tcPr>
            <w:tcW w:w="1210" w:type="dxa"/>
            <w:shd w:val="clear" w:color="auto" w:fill="A6A6A6" w:themeFill="background1" w:themeFillShade="A6"/>
            <w:noWrap/>
            <w:vAlign w:val="bottom"/>
            <w:hideMark/>
          </w:tcPr>
          <w:p w14:paraId="2BF8C0B1" w14:textId="77777777" w:rsidR="00880B91" w:rsidRPr="00880B91" w:rsidRDefault="00880B91" w:rsidP="00FE1CFE">
            <w:pPr>
              <w:pStyle w:val="Normal-Table"/>
              <w:jc w:val="right"/>
              <w:rPr>
                <w:b/>
                <w:bCs w:val="0"/>
              </w:rPr>
            </w:pPr>
            <w:r w:rsidRPr="00880B91">
              <w:rPr>
                <w:b/>
                <w:bCs w:val="0"/>
              </w:rPr>
              <w:t>Incentive</w:t>
            </w:r>
          </w:p>
        </w:tc>
        <w:tc>
          <w:tcPr>
            <w:tcW w:w="1390" w:type="dxa"/>
            <w:shd w:val="clear" w:color="auto" w:fill="A6A6A6" w:themeFill="background1" w:themeFillShade="A6"/>
            <w:noWrap/>
            <w:vAlign w:val="bottom"/>
            <w:hideMark/>
          </w:tcPr>
          <w:p w14:paraId="0105120F" w14:textId="77777777" w:rsidR="00880B91" w:rsidRPr="00880B91" w:rsidRDefault="00880B91" w:rsidP="00FE1CFE">
            <w:pPr>
              <w:pStyle w:val="Normal-Table"/>
              <w:jc w:val="right"/>
              <w:rPr>
                <w:b/>
                <w:bCs w:val="0"/>
              </w:rPr>
            </w:pPr>
            <w:r w:rsidRPr="00880B91">
              <w:rPr>
                <w:b/>
                <w:bCs w:val="0"/>
              </w:rPr>
              <w:t>Meas Cost</w:t>
            </w:r>
          </w:p>
        </w:tc>
      </w:tr>
      <w:tr w:rsidR="00880B91" w:rsidRPr="00880B91" w14:paraId="30E4A646" w14:textId="77777777" w:rsidTr="0099072F">
        <w:trPr>
          <w:trHeight w:val="320"/>
        </w:trPr>
        <w:tc>
          <w:tcPr>
            <w:tcW w:w="3120" w:type="dxa"/>
            <w:noWrap/>
            <w:hideMark/>
          </w:tcPr>
          <w:p w14:paraId="1EBB99B3" w14:textId="77777777" w:rsidR="00880B91" w:rsidRPr="00880B91" w:rsidRDefault="00880B91" w:rsidP="00880B91">
            <w:pPr>
              <w:pStyle w:val="Normal-Table"/>
            </w:pPr>
            <w:r w:rsidRPr="00880B91">
              <w:t>PER_MICRO</w:t>
            </w:r>
          </w:p>
        </w:tc>
        <w:tc>
          <w:tcPr>
            <w:tcW w:w="1293" w:type="dxa"/>
            <w:noWrap/>
            <w:vAlign w:val="bottom"/>
            <w:hideMark/>
          </w:tcPr>
          <w:p w14:paraId="1E0421A6" w14:textId="370128D5" w:rsidR="00880B91" w:rsidRPr="00880B91" w:rsidRDefault="00880B91" w:rsidP="00880B91">
            <w:pPr>
              <w:pStyle w:val="Normal-Table"/>
              <w:jc w:val="right"/>
              <w:rPr>
                <w:szCs w:val="22"/>
              </w:rPr>
            </w:pPr>
            <w:r w:rsidRPr="00880B91">
              <w:rPr>
                <w:rFonts w:cs="Arial"/>
                <w:color w:val="000000"/>
                <w:szCs w:val="22"/>
              </w:rPr>
              <w:t>-27</w:t>
            </w:r>
          </w:p>
        </w:tc>
        <w:tc>
          <w:tcPr>
            <w:tcW w:w="1487" w:type="dxa"/>
            <w:noWrap/>
            <w:vAlign w:val="bottom"/>
            <w:hideMark/>
          </w:tcPr>
          <w:p w14:paraId="1F8BAAEF" w14:textId="7E6C7887" w:rsidR="00880B91" w:rsidRPr="00880B91" w:rsidRDefault="00880B91" w:rsidP="00880B91">
            <w:pPr>
              <w:pStyle w:val="Normal-Table"/>
              <w:jc w:val="right"/>
              <w:rPr>
                <w:szCs w:val="22"/>
              </w:rPr>
            </w:pPr>
            <w:r w:rsidRPr="00880B91">
              <w:rPr>
                <w:rFonts w:cs="Arial"/>
                <w:color w:val="000000"/>
                <w:szCs w:val="22"/>
              </w:rPr>
              <w:t>-116</w:t>
            </w:r>
          </w:p>
        </w:tc>
        <w:tc>
          <w:tcPr>
            <w:tcW w:w="1210" w:type="dxa"/>
            <w:noWrap/>
            <w:vAlign w:val="bottom"/>
            <w:hideMark/>
          </w:tcPr>
          <w:p w14:paraId="4C294D31" w14:textId="41A1EC9B" w:rsidR="00880B91" w:rsidRPr="00880B91" w:rsidRDefault="00880B91" w:rsidP="00880B91">
            <w:pPr>
              <w:pStyle w:val="Normal-Table"/>
              <w:jc w:val="right"/>
              <w:rPr>
                <w:szCs w:val="22"/>
              </w:rPr>
            </w:pPr>
            <w:r w:rsidRPr="00880B91">
              <w:rPr>
                <w:rFonts w:cs="Arial"/>
                <w:color w:val="000000"/>
                <w:szCs w:val="22"/>
              </w:rPr>
              <w:t>0.015</w:t>
            </w:r>
          </w:p>
        </w:tc>
        <w:tc>
          <w:tcPr>
            <w:tcW w:w="1390" w:type="dxa"/>
            <w:noWrap/>
            <w:vAlign w:val="bottom"/>
            <w:hideMark/>
          </w:tcPr>
          <w:p w14:paraId="67833DBF" w14:textId="7A16ACE1" w:rsidR="00880B91" w:rsidRPr="00880B91" w:rsidRDefault="00880B91" w:rsidP="00880B91">
            <w:pPr>
              <w:pStyle w:val="Normal-Table"/>
              <w:jc w:val="right"/>
              <w:rPr>
                <w:szCs w:val="22"/>
              </w:rPr>
            </w:pPr>
            <w:r w:rsidRPr="00880B91">
              <w:rPr>
                <w:rFonts w:cs="Arial"/>
                <w:color w:val="000000"/>
                <w:szCs w:val="22"/>
              </w:rPr>
              <w:t>0.012</w:t>
            </w:r>
          </w:p>
        </w:tc>
      </w:tr>
      <w:tr w:rsidR="00880B91" w:rsidRPr="00880B91" w14:paraId="09055C09" w14:textId="77777777" w:rsidTr="0099072F">
        <w:trPr>
          <w:trHeight w:val="320"/>
        </w:trPr>
        <w:tc>
          <w:tcPr>
            <w:tcW w:w="3120" w:type="dxa"/>
            <w:noWrap/>
            <w:hideMark/>
          </w:tcPr>
          <w:p w14:paraId="4ECB95C2" w14:textId="77777777" w:rsidR="00880B91" w:rsidRPr="00880B91" w:rsidRDefault="00880B91" w:rsidP="00880B91">
            <w:pPr>
              <w:pStyle w:val="Normal-Table"/>
            </w:pPr>
            <w:r w:rsidRPr="00880B91">
              <w:t>PER_SMALL</w:t>
            </w:r>
          </w:p>
        </w:tc>
        <w:tc>
          <w:tcPr>
            <w:tcW w:w="1293" w:type="dxa"/>
            <w:noWrap/>
            <w:vAlign w:val="bottom"/>
            <w:hideMark/>
          </w:tcPr>
          <w:p w14:paraId="733D1482" w14:textId="544DD6A1" w:rsidR="00880B91" w:rsidRPr="00880B91" w:rsidRDefault="00880B91" w:rsidP="00880B91">
            <w:pPr>
              <w:pStyle w:val="Normal-Table"/>
              <w:jc w:val="right"/>
              <w:rPr>
                <w:szCs w:val="22"/>
              </w:rPr>
            </w:pPr>
            <w:r w:rsidRPr="00880B91">
              <w:rPr>
                <w:rFonts w:cs="Arial"/>
                <w:color w:val="000000"/>
                <w:szCs w:val="22"/>
              </w:rPr>
              <w:t>27</w:t>
            </w:r>
          </w:p>
        </w:tc>
        <w:tc>
          <w:tcPr>
            <w:tcW w:w="1487" w:type="dxa"/>
            <w:noWrap/>
            <w:vAlign w:val="bottom"/>
            <w:hideMark/>
          </w:tcPr>
          <w:p w14:paraId="0948A1B0" w14:textId="46E49E82" w:rsidR="00880B91" w:rsidRPr="00880B91" w:rsidRDefault="00880B91" w:rsidP="00880B91">
            <w:pPr>
              <w:pStyle w:val="Normal-Table"/>
              <w:jc w:val="right"/>
              <w:rPr>
                <w:szCs w:val="22"/>
              </w:rPr>
            </w:pPr>
            <w:r w:rsidRPr="00880B91">
              <w:rPr>
                <w:rFonts w:cs="Arial"/>
                <w:color w:val="000000"/>
                <w:szCs w:val="22"/>
              </w:rPr>
              <w:t>97</w:t>
            </w:r>
          </w:p>
        </w:tc>
        <w:tc>
          <w:tcPr>
            <w:tcW w:w="1210" w:type="dxa"/>
            <w:noWrap/>
            <w:vAlign w:val="bottom"/>
            <w:hideMark/>
          </w:tcPr>
          <w:p w14:paraId="426F8420" w14:textId="143987E1" w:rsidR="00880B91" w:rsidRPr="00880B91" w:rsidRDefault="00880B91" w:rsidP="00880B91">
            <w:pPr>
              <w:pStyle w:val="Normal-Table"/>
              <w:jc w:val="right"/>
              <w:rPr>
                <w:szCs w:val="22"/>
              </w:rPr>
            </w:pPr>
            <w:r w:rsidRPr="00880B91">
              <w:rPr>
                <w:rFonts w:cs="Arial"/>
                <w:color w:val="000000"/>
                <w:szCs w:val="22"/>
              </w:rPr>
              <w:t>0.008</w:t>
            </w:r>
          </w:p>
        </w:tc>
        <w:tc>
          <w:tcPr>
            <w:tcW w:w="1390" w:type="dxa"/>
            <w:noWrap/>
            <w:vAlign w:val="bottom"/>
            <w:hideMark/>
          </w:tcPr>
          <w:p w14:paraId="4B2C9964" w14:textId="7430B08D" w:rsidR="00880B91" w:rsidRPr="00880B91" w:rsidRDefault="00880B91" w:rsidP="00880B91">
            <w:pPr>
              <w:pStyle w:val="Normal-Table"/>
              <w:jc w:val="right"/>
              <w:rPr>
                <w:szCs w:val="22"/>
              </w:rPr>
            </w:pPr>
            <w:r w:rsidRPr="00880B91">
              <w:rPr>
                <w:rFonts w:cs="Arial"/>
                <w:color w:val="000000"/>
                <w:szCs w:val="22"/>
              </w:rPr>
              <w:t>0.005</w:t>
            </w:r>
          </w:p>
        </w:tc>
      </w:tr>
      <w:tr w:rsidR="00880B91" w:rsidRPr="00880B91" w14:paraId="4767B031" w14:textId="77777777" w:rsidTr="0099072F">
        <w:trPr>
          <w:trHeight w:val="320"/>
        </w:trPr>
        <w:tc>
          <w:tcPr>
            <w:tcW w:w="3120" w:type="dxa"/>
            <w:noWrap/>
            <w:hideMark/>
          </w:tcPr>
          <w:p w14:paraId="2DA87C6B" w14:textId="77777777" w:rsidR="00880B91" w:rsidRPr="00880B91" w:rsidRDefault="00880B91" w:rsidP="00880B91">
            <w:pPr>
              <w:pStyle w:val="Normal-Table"/>
            </w:pPr>
            <w:r w:rsidRPr="00880B91">
              <w:t>PER_MED</w:t>
            </w:r>
          </w:p>
        </w:tc>
        <w:tc>
          <w:tcPr>
            <w:tcW w:w="1293" w:type="dxa"/>
            <w:noWrap/>
            <w:vAlign w:val="bottom"/>
            <w:hideMark/>
          </w:tcPr>
          <w:p w14:paraId="33B9E2B9" w14:textId="028AE03F" w:rsidR="00880B91" w:rsidRPr="00880B91" w:rsidRDefault="00880B91" w:rsidP="00880B91">
            <w:pPr>
              <w:pStyle w:val="Normal-Table"/>
              <w:jc w:val="right"/>
              <w:rPr>
                <w:szCs w:val="22"/>
              </w:rPr>
            </w:pPr>
            <w:r w:rsidRPr="00880B91">
              <w:rPr>
                <w:rFonts w:cs="Arial"/>
                <w:color w:val="000000"/>
                <w:szCs w:val="22"/>
              </w:rPr>
              <w:t>59</w:t>
            </w:r>
          </w:p>
        </w:tc>
        <w:tc>
          <w:tcPr>
            <w:tcW w:w="1487" w:type="dxa"/>
            <w:noWrap/>
            <w:vAlign w:val="bottom"/>
            <w:hideMark/>
          </w:tcPr>
          <w:p w14:paraId="7D3BA27A" w14:textId="623551F7" w:rsidR="00880B91" w:rsidRPr="00880B91" w:rsidRDefault="00880B91" w:rsidP="00880B91">
            <w:pPr>
              <w:pStyle w:val="Normal-Table"/>
              <w:jc w:val="right"/>
              <w:rPr>
                <w:szCs w:val="22"/>
              </w:rPr>
            </w:pPr>
            <w:r w:rsidRPr="00880B91">
              <w:rPr>
                <w:rFonts w:cs="Arial"/>
                <w:color w:val="000000"/>
                <w:szCs w:val="22"/>
              </w:rPr>
              <w:t>128</w:t>
            </w:r>
          </w:p>
        </w:tc>
        <w:tc>
          <w:tcPr>
            <w:tcW w:w="1210" w:type="dxa"/>
            <w:noWrap/>
            <w:vAlign w:val="bottom"/>
            <w:hideMark/>
          </w:tcPr>
          <w:p w14:paraId="73D52943" w14:textId="4EAB6730" w:rsidR="00880B91" w:rsidRPr="00880B91" w:rsidRDefault="00880B91" w:rsidP="00880B91">
            <w:pPr>
              <w:pStyle w:val="Normal-Table"/>
              <w:jc w:val="right"/>
              <w:rPr>
                <w:szCs w:val="22"/>
              </w:rPr>
            </w:pPr>
            <w:r w:rsidRPr="00880B91">
              <w:rPr>
                <w:rFonts w:cs="Arial"/>
                <w:color w:val="000000"/>
                <w:szCs w:val="22"/>
              </w:rPr>
              <w:t>0.007</w:t>
            </w:r>
          </w:p>
        </w:tc>
        <w:tc>
          <w:tcPr>
            <w:tcW w:w="1390" w:type="dxa"/>
            <w:noWrap/>
            <w:vAlign w:val="bottom"/>
            <w:hideMark/>
          </w:tcPr>
          <w:p w14:paraId="539CF4C9" w14:textId="14A307D4" w:rsidR="00880B91" w:rsidRPr="00880B91" w:rsidRDefault="00880B91" w:rsidP="00880B91">
            <w:pPr>
              <w:pStyle w:val="Normal-Table"/>
              <w:jc w:val="right"/>
              <w:rPr>
                <w:szCs w:val="22"/>
              </w:rPr>
            </w:pPr>
            <w:r w:rsidRPr="00880B91">
              <w:rPr>
                <w:rFonts w:cs="Arial"/>
                <w:color w:val="000000"/>
                <w:szCs w:val="22"/>
              </w:rPr>
              <w:t>0.002</w:t>
            </w:r>
          </w:p>
        </w:tc>
      </w:tr>
      <w:tr w:rsidR="00880B91" w:rsidRPr="00880B91" w14:paraId="30E611DC" w14:textId="77777777" w:rsidTr="0099072F">
        <w:trPr>
          <w:trHeight w:val="320"/>
        </w:trPr>
        <w:tc>
          <w:tcPr>
            <w:tcW w:w="3120" w:type="dxa"/>
            <w:noWrap/>
            <w:hideMark/>
          </w:tcPr>
          <w:p w14:paraId="6FDF143A" w14:textId="77777777" w:rsidR="00880B91" w:rsidRPr="00880B91" w:rsidRDefault="00880B91" w:rsidP="00880B91">
            <w:pPr>
              <w:pStyle w:val="Normal-Table"/>
            </w:pPr>
            <w:r w:rsidRPr="00880B91">
              <w:t>PER_LARGE</w:t>
            </w:r>
          </w:p>
        </w:tc>
        <w:tc>
          <w:tcPr>
            <w:tcW w:w="1293" w:type="dxa"/>
            <w:noWrap/>
            <w:vAlign w:val="bottom"/>
            <w:hideMark/>
          </w:tcPr>
          <w:p w14:paraId="5C17D966" w14:textId="5F1A353C" w:rsidR="00880B91" w:rsidRPr="00880B91" w:rsidRDefault="00880B91" w:rsidP="00880B91">
            <w:pPr>
              <w:pStyle w:val="Normal-Table"/>
              <w:jc w:val="right"/>
              <w:rPr>
                <w:szCs w:val="22"/>
              </w:rPr>
            </w:pPr>
            <w:r w:rsidRPr="00880B91">
              <w:rPr>
                <w:rFonts w:cs="Arial"/>
                <w:color w:val="000000"/>
                <w:szCs w:val="22"/>
              </w:rPr>
              <w:t>335</w:t>
            </w:r>
          </w:p>
        </w:tc>
        <w:tc>
          <w:tcPr>
            <w:tcW w:w="1487" w:type="dxa"/>
            <w:noWrap/>
            <w:vAlign w:val="bottom"/>
            <w:hideMark/>
          </w:tcPr>
          <w:p w14:paraId="19FC004A" w14:textId="41D51E51" w:rsidR="00880B91" w:rsidRPr="00880B91" w:rsidRDefault="00880B91" w:rsidP="00880B91">
            <w:pPr>
              <w:pStyle w:val="Normal-Table"/>
              <w:jc w:val="right"/>
              <w:rPr>
                <w:szCs w:val="22"/>
              </w:rPr>
            </w:pPr>
            <w:r w:rsidRPr="00880B91">
              <w:rPr>
                <w:rFonts w:cs="Arial"/>
                <w:color w:val="000000"/>
                <w:szCs w:val="22"/>
              </w:rPr>
              <w:t>1,485</w:t>
            </w:r>
          </w:p>
        </w:tc>
        <w:tc>
          <w:tcPr>
            <w:tcW w:w="1210" w:type="dxa"/>
            <w:noWrap/>
            <w:vAlign w:val="bottom"/>
            <w:hideMark/>
          </w:tcPr>
          <w:p w14:paraId="73A3CF60" w14:textId="0FC69550" w:rsidR="00880B91" w:rsidRPr="00880B91" w:rsidRDefault="00880B91" w:rsidP="00880B91">
            <w:pPr>
              <w:pStyle w:val="Normal-Table"/>
              <w:jc w:val="right"/>
              <w:rPr>
                <w:szCs w:val="22"/>
              </w:rPr>
            </w:pPr>
            <w:r w:rsidRPr="00880B91">
              <w:rPr>
                <w:rFonts w:cs="Arial"/>
                <w:color w:val="000000"/>
                <w:szCs w:val="22"/>
              </w:rPr>
              <w:t>0.020</w:t>
            </w:r>
          </w:p>
        </w:tc>
        <w:tc>
          <w:tcPr>
            <w:tcW w:w="1390" w:type="dxa"/>
            <w:noWrap/>
            <w:vAlign w:val="bottom"/>
            <w:hideMark/>
          </w:tcPr>
          <w:p w14:paraId="6E57946D" w14:textId="483F2021" w:rsidR="00880B91" w:rsidRPr="00880B91" w:rsidRDefault="00880B91" w:rsidP="00880B91">
            <w:pPr>
              <w:pStyle w:val="Normal-Table"/>
              <w:jc w:val="right"/>
              <w:rPr>
                <w:szCs w:val="22"/>
              </w:rPr>
            </w:pPr>
            <w:r w:rsidRPr="00880B91">
              <w:rPr>
                <w:rFonts w:cs="Arial"/>
                <w:color w:val="000000"/>
                <w:szCs w:val="22"/>
              </w:rPr>
              <w:t>0.017</w:t>
            </w:r>
          </w:p>
        </w:tc>
      </w:tr>
    </w:tbl>
    <w:p w14:paraId="0547ECEF" w14:textId="77777777" w:rsidR="00880B91" w:rsidRDefault="00880B91" w:rsidP="00880B91">
      <w:pPr>
        <w:pStyle w:val="Normal-Table"/>
      </w:pPr>
    </w:p>
    <w:p w14:paraId="531CCF46" w14:textId="2B8445E2" w:rsidR="00D0057C" w:rsidRPr="00D0057C" w:rsidRDefault="00D0057C" w:rsidP="00D0057C">
      <w:r>
        <w:t xml:space="preserve">Some positive correlations with large firms showed up in median incentives and measure costs, which makes sense given that they would tend to have larger </w:t>
      </w:r>
      <w:r w:rsidR="00A9466C">
        <w:t>projects</w:t>
      </w:r>
      <w:r>
        <w:t>.</w:t>
      </w:r>
    </w:p>
    <w:p w14:paraId="622D7C3F" w14:textId="75B44272" w:rsidR="004D7435" w:rsidRDefault="004D7435" w:rsidP="004D7435">
      <w:pPr>
        <w:pStyle w:val="Heading3"/>
      </w:pPr>
      <w:bookmarkStart w:id="73" w:name="_Toc74951671"/>
      <w:bookmarkStart w:id="74" w:name="_Toc75210356"/>
      <w:bookmarkStart w:id="75" w:name="_Toc76121067"/>
      <w:r>
        <w:t>CES3.0</w:t>
      </w:r>
      <w:bookmarkEnd w:id="73"/>
      <w:bookmarkEnd w:id="74"/>
      <w:bookmarkEnd w:id="75"/>
    </w:p>
    <w:p w14:paraId="1F65F671" w14:textId="0D77019D" w:rsidR="00D0057C" w:rsidRPr="00D0057C" w:rsidRDefault="00D0057C" w:rsidP="00D0057C">
      <w:r>
        <w:t xml:space="preserve">The CES3.0 score had even less of a correlation with investment than it did with savings. Only showing statistically significant results for total and median incentives, and to a lesser extent for total measure costs, even then there was very little explanatory power. </w:t>
      </w:r>
    </w:p>
    <w:p w14:paraId="6E12C6CD" w14:textId="29858C6C" w:rsidR="004D7435" w:rsidRDefault="004D7435" w:rsidP="004D7435">
      <w:pPr>
        <w:pStyle w:val="Heading3"/>
      </w:pPr>
      <w:bookmarkStart w:id="76" w:name="_Toc74951672"/>
      <w:bookmarkStart w:id="77" w:name="_Toc75210357"/>
      <w:bookmarkStart w:id="78" w:name="_Toc76121068"/>
      <w:r>
        <w:lastRenderedPageBreak/>
        <w:t>Density</w:t>
      </w:r>
      <w:bookmarkEnd w:id="76"/>
      <w:bookmarkEnd w:id="77"/>
      <w:bookmarkEnd w:id="78"/>
    </w:p>
    <w:p w14:paraId="0368E168" w14:textId="148C91EC" w:rsidR="00D0057C" w:rsidRPr="00D0057C" w:rsidRDefault="00F10CA3" w:rsidP="00D0057C">
      <w:r>
        <w:t>In contrast with savings, business density had a more consistent negative correlation with investment, implying that less dense ZIP Codes may see some lower average incentives, but without context it is difficult to say whether this represents any specific gap in service.</w:t>
      </w:r>
    </w:p>
    <w:p w14:paraId="37F99B55" w14:textId="5360789F" w:rsidR="004D7435" w:rsidRDefault="004D7435" w:rsidP="004D7435">
      <w:pPr>
        <w:pStyle w:val="Heading3"/>
      </w:pPr>
      <w:bookmarkStart w:id="79" w:name="_Toc74951673"/>
      <w:bookmarkStart w:id="80" w:name="_Toc75210358"/>
      <w:bookmarkStart w:id="81" w:name="_Toc76121069"/>
      <w:r>
        <w:t>Demographics</w:t>
      </w:r>
      <w:bookmarkEnd w:id="79"/>
      <w:bookmarkEnd w:id="80"/>
      <w:bookmarkEnd w:id="81"/>
    </w:p>
    <w:p w14:paraId="0B8A52DC" w14:textId="067675BB" w:rsidR="00F10CA3" w:rsidRDefault="00F10CA3" w:rsidP="00F10CA3">
      <w:r>
        <w:t>The main result of interest is that PER_FOREIGN_NON_US_CIT had significant positive correlation across all measures of investment, while PER_POP_NONUS_CIT had no discernable statistically significant effect</w:t>
      </w:r>
      <w:r w:rsidR="00090EA1">
        <w:t>, except for with median incentive and measure costs.</w:t>
      </w:r>
    </w:p>
    <w:p w14:paraId="37004753" w14:textId="00425382" w:rsidR="00F10CA3" w:rsidRPr="00F10CA3" w:rsidRDefault="00F10CA3" w:rsidP="00F10CA3">
      <w:r>
        <w:t xml:space="preserve">In a departure from both site penetration and savings, PER_HISPANIC_AND only had statistically significant correlation with incentive totals and median incentives, and this effect was small but positive. </w:t>
      </w:r>
    </w:p>
    <w:p w14:paraId="6CBF1C0D" w14:textId="4C49E6CA" w:rsidR="00984939" w:rsidRDefault="00984939" w:rsidP="00984939">
      <w:pPr>
        <w:pStyle w:val="Heading2"/>
      </w:pPr>
      <w:bookmarkStart w:id="82" w:name="_Toc76121070"/>
      <w:r>
        <w:t>County Level Rurality</w:t>
      </w:r>
      <w:bookmarkEnd w:id="82"/>
    </w:p>
    <w:p w14:paraId="4A27BF81" w14:textId="6091E574" w:rsidR="004F12E7" w:rsidRDefault="00A9466C" w:rsidP="004F12E7">
      <w:r>
        <w:t>We examined the site penetration at the county level against the 2010 Index of Relative Rurality as shown in the following figure. The very small correlation shown had no statistical significance, which means we are unable to provide any conclusions regarding a more comprehensive index of rurality at the county level.</w:t>
      </w:r>
    </w:p>
    <w:p w14:paraId="79F0122C" w14:textId="4EA22F18" w:rsidR="00E6046B" w:rsidRDefault="00E6046B" w:rsidP="00E6046B">
      <w:pPr>
        <w:pStyle w:val="Caption"/>
      </w:pPr>
      <w:bookmarkStart w:id="83" w:name="_Toc76121121"/>
      <w:r>
        <w:t xml:space="preserve">Figure </w:t>
      </w:r>
      <w:r w:rsidR="00DB1658">
        <w:fldChar w:fldCharType="begin"/>
      </w:r>
      <w:r w:rsidR="00DB1658">
        <w:instrText xml:space="preserve"> SEQ Figure \* ARABIC </w:instrText>
      </w:r>
      <w:r w:rsidR="00DB1658">
        <w:fldChar w:fldCharType="separate"/>
      </w:r>
      <w:r w:rsidR="00A74C64">
        <w:rPr>
          <w:noProof/>
        </w:rPr>
        <w:t>10</w:t>
      </w:r>
      <w:r w:rsidR="00DB1658">
        <w:rPr>
          <w:noProof/>
        </w:rPr>
        <w:fldChar w:fldCharType="end"/>
      </w:r>
      <w:r>
        <w:t>. County-level Site Penetration vs. Index of Relative Rurality 2010</w:t>
      </w:r>
      <w:bookmarkEnd w:id="83"/>
    </w:p>
    <w:p w14:paraId="1AF525DE" w14:textId="3B48D9C1" w:rsidR="00E6046B" w:rsidRDefault="00E6046B" w:rsidP="004F12E7">
      <w:r>
        <w:rPr>
          <w:noProof/>
        </w:rPr>
        <w:drawing>
          <wp:inline distT="0" distB="0" distL="0" distR="0" wp14:anchorId="7DF2C1F0" wp14:editId="0B61BA50">
            <wp:extent cx="4287187" cy="2623612"/>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89388" cy="2624959"/>
                    </a:xfrm>
                    <a:prstGeom prst="rect">
                      <a:avLst/>
                    </a:prstGeom>
                  </pic:spPr>
                </pic:pic>
              </a:graphicData>
            </a:graphic>
          </wp:inline>
        </w:drawing>
      </w:r>
    </w:p>
    <w:p w14:paraId="74D69687" w14:textId="6759BBF1" w:rsidR="00677DCE" w:rsidRDefault="00677DCE">
      <w:pPr>
        <w:spacing w:after="0" w:line="240" w:lineRule="auto"/>
      </w:pPr>
      <w:r>
        <w:br w:type="page"/>
      </w:r>
    </w:p>
    <w:p w14:paraId="51C8E557" w14:textId="3560EC9B" w:rsidR="002364EF" w:rsidRDefault="00984939" w:rsidP="00DB1FD0">
      <w:pPr>
        <w:pStyle w:val="Heading1"/>
      </w:pPr>
      <w:bookmarkStart w:id="84" w:name="_Toc76121071"/>
      <w:r>
        <w:lastRenderedPageBreak/>
        <w:t>Conclusions</w:t>
      </w:r>
      <w:bookmarkEnd w:id="84"/>
    </w:p>
    <w:p w14:paraId="65612456" w14:textId="4E33FB9F" w:rsidR="001A0038" w:rsidRDefault="002364EF" w:rsidP="00DB1FD0">
      <w:r>
        <w:t>The purpose of this study was to ascertain</w:t>
      </w:r>
      <w:r w:rsidR="001A0038">
        <w:t xml:space="preserve"> </w:t>
      </w:r>
      <w:r w:rsidR="00677DCE">
        <w:t xml:space="preserve">what </w:t>
      </w:r>
      <w:proofErr w:type="spellStart"/>
      <w:r w:rsidR="00677DCE">
        <w:t>charactertristics</w:t>
      </w:r>
      <w:proofErr w:type="spellEnd"/>
      <w:r w:rsidR="00677DCE">
        <w:t xml:space="preserve"> of small and medium businesses were associated with being underserved e</w:t>
      </w:r>
      <w:r w:rsidR="001A0038">
        <w:t xml:space="preserve">nergy efficiency programs offered by publicly owned utilities in California.  In order to study this question, we defined a variable, zip-code site penetration, to measure the take up of programs at the zip code level.  We found that the size distribution of firms had a significant effect on </w:t>
      </w:r>
      <w:proofErr w:type="gramStart"/>
      <w:r w:rsidR="001A0038">
        <w:t>penetration;  in</w:t>
      </w:r>
      <w:proofErr w:type="gramEnd"/>
      <w:r w:rsidR="001A0038">
        <w:t xml:space="preserve"> particular, the presence of large firms had a positive impact on the overall take up rate in an area, but that greater numbers of smaller firms had a negative impact.  </w:t>
      </w:r>
    </w:p>
    <w:p w14:paraId="7B3919AC" w14:textId="0C46CF55" w:rsidR="001A0038" w:rsidRDefault="001A0038" w:rsidP="00DB1FD0">
      <w:r>
        <w:t xml:space="preserve">This finding survives several challenges to its identification, in particular, that the finding is due to other confounding neighborhood variables.  In that regard, we find that areas that are more Hispanic or </w:t>
      </w:r>
      <w:proofErr w:type="gramStart"/>
      <w:r>
        <w:t>Asian  have</w:t>
      </w:r>
      <w:proofErr w:type="gramEnd"/>
      <w:r>
        <w:t xml:space="preserve"> higher business penetration rates,  though </w:t>
      </w:r>
      <w:r w:rsidR="00677DCE">
        <w:t>foreign born</w:t>
      </w:r>
      <w:r>
        <w:t xml:space="preserve"> neighborhoods are less prone to take up.   </w:t>
      </w:r>
      <w:proofErr w:type="gramStart"/>
      <w:r>
        <w:t>African-American</w:t>
      </w:r>
      <w:proofErr w:type="gramEnd"/>
      <w:r>
        <w:t xml:space="preserve"> population shares have no impact.</w:t>
      </w:r>
      <w:r w:rsidR="00851AAF">
        <w:t xml:space="preserve"> I</w:t>
      </w:r>
      <w:r>
        <w:t xml:space="preserve">nterestingly we note that rurality, contrary to our prior expectations, has a positive impact on penetration rates.   </w:t>
      </w:r>
      <w:r w:rsidR="00851AAF">
        <w:t xml:space="preserve">All of these results may be reflective of utility outreach efforts.  </w:t>
      </w:r>
    </w:p>
    <w:p w14:paraId="479362AF" w14:textId="41A4CA30" w:rsidR="002364EF" w:rsidRDefault="001A0038" w:rsidP="00DB1FD0">
      <w:pPr>
        <w:sectPr w:rsidR="002364EF" w:rsidSect="00531760">
          <w:footerReference w:type="default" r:id="rId27"/>
          <w:pgSz w:w="12240" w:h="15840"/>
          <w:pgMar w:top="1440" w:right="1440" w:bottom="1440" w:left="1440" w:header="360" w:footer="720" w:gutter="0"/>
          <w:cols w:space="720"/>
        </w:sectPr>
      </w:pPr>
      <w:r>
        <w:t>More can be done.  With more complete data on non-</w:t>
      </w:r>
      <w:proofErr w:type="gramStart"/>
      <w:r>
        <w:t>participants</w:t>
      </w:r>
      <w:proofErr w:type="gramEnd"/>
      <w:r>
        <w:t xml:space="preserve"> we could look at the individual firm-level determinants of program uptake</w:t>
      </w:r>
      <w:r w:rsidR="00042A81">
        <w:t>, in addition to superior analysis of savings and investment.</w:t>
      </w:r>
      <w:r>
        <w:t xml:space="preserve">  With finer (addressed-based) location data we could more carefully examine spillover effects. </w:t>
      </w:r>
      <w:r w:rsidR="00042A81">
        <w:t>This could potentially lead to more nuanced and fine-grained analysis of more aspects of energy efficiency take up.</w:t>
      </w:r>
      <w:r>
        <w:t xml:space="preserve"> </w:t>
      </w:r>
      <w:r w:rsidR="002364EF">
        <w:t xml:space="preserve">        </w:t>
      </w:r>
      <w:r w:rsidR="007C357A">
        <w:t xml:space="preserve">  </w:t>
      </w:r>
    </w:p>
    <w:p w14:paraId="0226FFBF" w14:textId="77777777" w:rsidR="00984939" w:rsidRDefault="00984939" w:rsidP="00984939">
      <w:pPr>
        <w:pStyle w:val="Heading1"/>
      </w:pPr>
      <w:bookmarkStart w:id="85" w:name="_Toc76121072"/>
      <w:r>
        <w:lastRenderedPageBreak/>
        <w:t>Appendices</w:t>
      </w:r>
      <w:bookmarkEnd w:id="85"/>
    </w:p>
    <w:p w14:paraId="2D2DFA0F" w14:textId="12FCFDAC" w:rsidR="00984939" w:rsidRDefault="00984939" w:rsidP="00984939">
      <w:pPr>
        <w:pStyle w:val="Heading2"/>
      </w:pPr>
      <w:bookmarkStart w:id="86" w:name="_Toc76121073"/>
      <w:r>
        <w:t>Sources</w:t>
      </w:r>
      <w:bookmarkEnd w:id="86"/>
    </w:p>
    <w:p w14:paraId="0B3DB606" w14:textId="77777777" w:rsidR="0074583C" w:rsidRPr="0074583C" w:rsidRDefault="0074583C" w:rsidP="0074583C">
      <w:pPr>
        <w:pStyle w:val="Sources"/>
      </w:pPr>
      <w:r w:rsidRPr="0074583C">
        <w:t xml:space="preserve">United States Census Bureau. (2020, August </w:t>
      </w:r>
      <w:proofErr w:type="gramStart"/>
      <w:r w:rsidRPr="0074583C">
        <w:t>26 )</w:t>
      </w:r>
      <w:proofErr w:type="gramEnd"/>
      <w:r w:rsidRPr="0074583C">
        <w:t xml:space="preserve">. ZIP Code Tabulation Areas (ZCTAs). </w:t>
      </w:r>
      <w:hyperlink r:id="rId28" w:history="1">
        <w:r w:rsidRPr="0074583C">
          <w:rPr>
            <w:rStyle w:val="Hyperlink"/>
          </w:rPr>
          <w:t>https://www.census.gov/programs-surveys/geography/guidance/geo-areas/zctas.html</w:t>
        </w:r>
      </w:hyperlink>
    </w:p>
    <w:p w14:paraId="21C0CCA5" w14:textId="77777777" w:rsidR="0074583C" w:rsidRPr="0074583C" w:rsidRDefault="0074583C" w:rsidP="0074583C">
      <w:pPr>
        <w:pStyle w:val="Sources"/>
      </w:pPr>
      <w:r w:rsidRPr="0074583C">
        <w:t xml:space="preserve">United States Census Bureau. (2021, May 27). County Business Patterns (CBP). </w:t>
      </w:r>
      <w:hyperlink r:id="rId29" w:history="1">
        <w:r w:rsidRPr="0074583C">
          <w:rPr>
            <w:rStyle w:val="Hyperlink"/>
          </w:rPr>
          <w:t>https://www.census.gov/programs-surveys/cbp.html</w:t>
        </w:r>
      </w:hyperlink>
    </w:p>
    <w:p w14:paraId="11ABB65D" w14:textId="77777777" w:rsidR="0074583C" w:rsidRPr="0074583C" w:rsidRDefault="0074583C" w:rsidP="0074583C">
      <w:pPr>
        <w:pStyle w:val="Sources"/>
      </w:pPr>
      <w:r w:rsidRPr="0074583C">
        <w:t xml:space="preserve">United States Census Bureau. (2021). American Community Survey (ACS). </w:t>
      </w:r>
      <w:hyperlink r:id="rId30" w:history="1">
        <w:r w:rsidRPr="0074583C">
          <w:rPr>
            <w:rStyle w:val="Hyperlink"/>
          </w:rPr>
          <w:t>https://www.census.gov/programs-surveys/acs</w:t>
        </w:r>
      </w:hyperlink>
    </w:p>
    <w:p w14:paraId="593CA0F5" w14:textId="77777777" w:rsidR="0074583C" w:rsidRPr="0074583C" w:rsidRDefault="0074583C" w:rsidP="0074583C">
      <w:pPr>
        <w:pStyle w:val="Sources"/>
      </w:pPr>
      <w:r w:rsidRPr="0074583C">
        <w:t xml:space="preserve">United States Census Bureau. (2019). Tables. </w:t>
      </w:r>
      <w:hyperlink r:id="rId31" w:history="1">
        <w:r w:rsidRPr="0074583C">
          <w:rPr>
            <w:rStyle w:val="Hyperlink"/>
          </w:rPr>
          <w:t>https://data.census.gov/cedsci/all?q=&amp;g=0400000US06.860000&amp;y=2019&amp;d=ACS%205-Year%20Estimates%20Data%20Profiles</w:t>
        </w:r>
      </w:hyperlink>
    </w:p>
    <w:p w14:paraId="0A539FA0" w14:textId="77777777" w:rsidR="0074583C" w:rsidRPr="0074583C" w:rsidRDefault="0074583C" w:rsidP="0074583C">
      <w:pPr>
        <w:pStyle w:val="Sources"/>
      </w:pPr>
      <w:r w:rsidRPr="0074583C">
        <w:t xml:space="preserve">United States Census Bureau. (2018). Tables. </w:t>
      </w:r>
      <w:hyperlink r:id="rId32" w:history="1">
        <w:r w:rsidRPr="0074583C">
          <w:rPr>
            <w:rStyle w:val="Hyperlink"/>
          </w:rPr>
          <w:t>https://data.census.gov/cedsci/all?q=&amp;y=2018&amp;d=ECNSVY%20Business%20Patterns%20Zipcode%20Business%20Patterns&amp;n=N0000.00</w:t>
        </w:r>
      </w:hyperlink>
    </w:p>
    <w:p w14:paraId="6565B0A1" w14:textId="77777777" w:rsidR="0074583C" w:rsidRPr="0074583C" w:rsidRDefault="0074583C" w:rsidP="0074583C">
      <w:pPr>
        <w:pStyle w:val="Sources"/>
      </w:pPr>
      <w:r w:rsidRPr="0074583C">
        <w:t xml:space="preserve">Office of Environmental Health Hazard Assessment (OEHHA). (2018, June 25). CalEnviroScreen 3.0. </w:t>
      </w:r>
      <w:hyperlink r:id="rId33" w:history="1">
        <w:r w:rsidRPr="0074583C">
          <w:rPr>
            <w:rStyle w:val="Hyperlink"/>
          </w:rPr>
          <w:t>https://www.census.gov/programs-surveys/acs</w:t>
        </w:r>
      </w:hyperlink>
    </w:p>
    <w:p w14:paraId="75F25899" w14:textId="50889086" w:rsidR="0074583C" w:rsidRPr="0074583C" w:rsidRDefault="0074583C" w:rsidP="0074583C">
      <w:pPr>
        <w:pStyle w:val="Sources"/>
      </w:pPr>
      <w:r w:rsidRPr="0074583C">
        <w:t xml:space="preserve">California Public Utilities Commission. (2018). Home.   </w:t>
      </w:r>
      <w:hyperlink r:id="rId34" w:history="1">
        <w:r w:rsidRPr="0074583C">
          <w:rPr>
            <w:rStyle w:val="Hyperlink"/>
          </w:rPr>
          <w:t>https://file.ac/WAhuZ6V8vbw/</w:t>
        </w:r>
      </w:hyperlink>
    </w:p>
    <w:p w14:paraId="77130AE4" w14:textId="77777777" w:rsidR="0074583C" w:rsidRPr="0074583C" w:rsidRDefault="0074583C" w:rsidP="0074583C">
      <w:pPr>
        <w:pStyle w:val="Sources"/>
      </w:pPr>
      <w:r w:rsidRPr="0074583C">
        <w:t>Waldorf, B., Kim, A. (2018). The Index of Relative Rurality (IRR</w:t>
      </w:r>
      <w:proofErr w:type="gramStart"/>
      <w:r w:rsidRPr="0074583C">
        <w:t>) :</w:t>
      </w:r>
      <w:proofErr w:type="gramEnd"/>
      <w:r w:rsidRPr="0074583C">
        <w:t xml:space="preserve"> US County Data for 2000 and 2010. Purdue University Research Repository.   </w:t>
      </w:r>
      <w:hyperlink r:id="rId35" w:history="1">
        <w:r w:rsidRPr="0074583C">
          <w:rPr>
            <w:rStyle w:val="Hyperlink"/>
          </w:rPr>
          <w:t>https://purr.purdue.edu/publications/2960/1</w:t>
        </w:r>
      </w:hyperlink>
    </w:p>
    <w:p w14:paraId="7A1069E1" w14:textId="77777777" w:rsidR="0074583C" w:rsidRPr="0074583C" w:rsidRDefault="0074583C" w:rsidP="0074583C">
      <w:pPr>
        <w:pStyle w:val="Sources"/>
      </w:pPr>
      <w:proofErr w:type="spellStart"/>
      <w:r w:rsidRPr="0074583C">
        <w:t>ProximityOne</w:t>
      </w:r>
      <w:proofErr w:type="spellEnd"/>
      <w:r w:rsidRPr="0074583C">
        <w:t xml:space="preserve">. (2021, June 16). Census 2010 ZIP Code Demographic Profile Dataset. </w:t>
      </w:r>
      <w:hyperlink r:id="rId36" w:history="1">
        <w:r w:rsidRPr="0074583C">
          <w:rPr>
            <w:rStyle w:val="Hyperlink"/>
          </w:rPr>
          <w:t>https://data.census.gov/cedsci/all?q=&amp;g=0400000US06.860000&amp;y=2019&amp;d=ACS%205-Year%20Estimates%20Data%20Profiles</w:t>
        </w:r>
      </w:hyperlink>
    </w:p>
    <w:p w14:paraId="3533C14D" w14:textId="77777777" w:rsidR="0074583C" w:rsidRPr="0074583C" w:rsidRDefault="0074583C" w:rsidP="0074583C">
      <w:pPr>
        <w:pStyle w:val="Sources"/>
      </w:pPr>
      <w:r w:rsidRPr="0074583C">
        <w:t xml:space="preserve">Center for Disease Control and Prevention. (2016, January 28). County Cross Reference File (FIPS/ZIP4). </w:t>
      </w:r>
      <w:hyperlink r:id="rId37" w:history="1">
        <w:r w:rsidRPr="0074583C">
          <w:rPr>
            <w:rStyle w:val="Hyperlink"/>
          </w:rPr>
          <w:t>https://wonder.cdc.gov/wonder/sci_data/codes/fips/type_txt/cntyxref.asp</w:t>
        </w:r>
      </w:hyperlink>
    </w:p>
    <w:p w14:paraId="0E5707C9" w14:textId="77777777" w:rsidR="00F10CA3" w:rsidRDefault="00F10CA3" w:rsidP="00F10CA3">
      <w:bookmarkStart w:id="87" w:name="_Ref73998378"/>
    </w:p>
    <w:p w14:paraId="0D199D20" w14:textId="701FC860" w:rsidR="00E1336E" w:rsidRPr="00F10CA3" w:rsidRDefault="00E1336E" w:rsidP="00F10CA3">
      <w:pPr>
        <w:sectPr w:rsidR="00E1336E" w:rsidRPr="00F10CA3" w:rsidSect="004C3994">
          <w:pgSz w:w="12240" w:h="15840"/>
          <w:pgMar w:top="1440" w:right="1440" w:bottom="1440" w:left="1440" w:header="360" w:footer="720" w:gutter="0"/>
          <w:pgNumType w:start="1"/>
          <w:cols w:space="720"/>
        </w:sectPr>
      </w:pPr>
    </w:p>
    <w:p w14:paraId="757587E4" w14:textId="4E8D9900" w:rsidR="00DB1FD0" w:rsidRDefault="000C2990" w:rsidP="00984939">
      <w:pPr>
        <w:pStyle w:val="Heading2"/>
      </w:pPr>
      <w:bookmarkStart w:id="88" w:name="_Ref74947393"/>
      <w:bookmarkStart w:id="89" w:name="_Toc76121074"/>
      <w:bookmarkEnd w:id="87"/>
      <w:r>
        <w:lastRenderedPageBreak/>
        <w:t>Complete Regressions Results for Individual Features</w:t>
      </w:r>
      <w:bookmarkEnd w:id="88"/>
      <w:bookmarkEnd w:id="89"/>
    </w:p>
    <w:tbl>
      <w:tblPr>
        <w:tblW w:w="3380" w:type="dxa"/>
        <w:tblLook w:val="04A0" w:firstRow="1" w:lastRow="0" w:firstColumn="1" w:lastColumn="0" w:noHBand="0" w:noVBand="1"/>
      </w:tblPr>
      <w:tblGrid>
        <w:gridCol w:w="3380"/>
      </w:tblGrid>
      <w:tr w:rsidR="000C2990" w:rsidRPr="000C2990" w14:paraId="74BD7F55" w14:textId="77777777" w:rsidTr="000C2990">
        <w:trPr>
          <w:trHeight w:val="320"/>
        </w:trPr>
        <w:tc>
          <w:tcPr>
            <w:tcW w:w="33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37B8E9" w14:textId="77777777" w:rsidR="000C2990" w:rsidRPr="000C2990" w:rsidRDefault="000C2990" w:rsidP="000C2990">
            <w:pPr>
              <w:spacing w:after="0" w:line="240" w:lineRule="auto"/>
              <w:rPr>
                <w:rFonts w:ascii="Calibri" w:eastAsia="Times New Roman" w:hAnsi="Calibri"/>
                <w:b/>
                <w:bCs/>
                <w:color w:val="000000"/>
                <w:sz w:val="24"/>
              </w:rPr>
            </w:pPr>
            <w:r w:rsidRPr="000C2990">
              <w:rPr>
                <w:rFonts w:ascii="Calibri" w:eastAsia="Times New Roman" w:hAnsi="Calibri"/>
                <w:b/>
                <w:bCs/>
                <w:color w:val="000000"/>
                <w:sz w:val="24"/>
              </w:rPr>
              <w:t>Key</w:t>
            </w:r>
          </w:p>
        </w:tc>
      </w:tr>
      <w:tr w:rsidR="000C2990" w:rsidRPr="000C2990" w14:paraId="16C11D3B" w14:textId="77777777" w:rsidTr="000C2990">
        <w:trPr>
          <w:trHeight w:val="320"/>
        </w:trPr>
        <w:tc>
          <w:tcPr>
            <w:tcW w:w="3380" w:type="dxa"/>
            <w:tcBorders>
              <w:top w:val="nil"/>
              <w:left w:val="single" w:sz="4" w:space="0" w:color="auto"/>
              <w:bottom w:val="single" w:sz="4" w:space="0" w:color="auto"/>
              <w:right w:val="single" w:sz="4" w:space="0" w:color="auto"/>
            </w:tcBorders>
            <w:shd w:val="clear" w:color="000000" w:fill="A9D08E"/>
            <w:noWrap/>
            <w:vAlign w:val="bottom"/>
            <w:hideMark/>
          </w:tcPr>
          <w:p w14:paraId="24CAE508" w14:textId="77777777" w:rsidR="000C2990" w:rsidRPr="000C2990" w:rsidRDefault="000C2990" w:rsidP="000C2990">
            <w:pPr>
              <w:spacing w:after="0" w:line="240" w:lineRule="auto"/>
              <w:rPr>
                <w:rFonts w:ascii="Calibri" w:eastAsia="Times New Roman" w:hAnsi="Calibri"/>
                <w:color w:val="000000"/>
                <w:sz w:val="24"/>
              </w:rPr>
            </w:pPr>
            <w:r w:rsidRPr="000C2990">
              <w:rPr>
                <w:rFonts w:ascii="Calibri" w:eastAsia="Times New Roman" w:hAnsi="Calibri"/>
                <w:color w:val="000000"/>
                <w:sz w:val="24"/>
              </w:rPr>
              <w:t>99% Confidence Level</w:t>
            </w:r>
          </w:p>
        </w:tc>
      </w:tr>
      <w:tr w:rsidR="000C2990" w:rsidRPr="000C2990" w14:paraId="3745864B" w14:textId="77777777" w:rsidTr="000C2990">
        <w:trPr>
          <w:trHeight w:val="320"/>
        </w:trPr>
        <w:tc>
          <w:tcPr>
            <w:tcW w:w="3380" w:type="dxa"/>
            <w:tcBorders>
              <w:top w:val="nil"/>
              <w:left w:val="single" w:sz="4" w:space="0" w:color="auto"/>
              <w:bottom w:val="single" w:sz="4" w:space="0" w:color="auto"/>
              <w:right w:val="single" w:sz="4" w:space="0" w:color="auto"/>
            </w:tcBorders>
            <w:shd w:val="clear" w:color="000000" w:fill="C6E0B4"/>
            <w:noWrap/>
            <w:vAlign w:val="bottom"/>
            <w:hideMark/>
          </w:tcPr>
          <w:p w14:paraId="098B1231" w14:textId="77777777" w:rsidR="000C2990" w:rsidRPr="000C2990" w:rsidRDefault="000C2990" w:rsidP="000C2990">
            <w:pPr>
              <w:spacing w:after="0" w:line="240" w:lineRule="auto"/>
              <w:rPr>
                <w:rFonts w:ascii="Calibri" w:eastAsia="Times New Roman" w:hAnsi="Calibri"/>
                <w:color w:val="000000"/>
                <w:sz w:val="24"/>
              </w:rPr>
            </w:pPr>
            <w:r w:rsidRPr="000C2990">
              <w:rPr>
                <w:rFonts w:ascii="Calibri" w:eastAsia="Times New Roman" w:hAnsi="Calibri"/>
                <w:color w:val="000000"/>
                <w:sz w:val="24"/>
              </w:rPr>
              <w:t>95% Confidence Level</w:t>
            </w:r>
          </w:p>
        </w:tc>
      </w:tr>
      <w:tr w:rsidR="000C2990" w:rsidRPr="000C2990" w14:paraId="36A2727D" w14:textId="77777777" w:rsidTr="000C2990">
        <w:trPr>
          <w:trHeight w:val="320"/>
        </w:trPr>
        <w:tc>
          <w:tcPr>
            <w:tcW w:w="3380" w:type="dxa"/>
            <w:tcBorders>
              <w:top w:val="nil"/>
              <w:left w:val="single" w:sz="4" w:space="0" w:color="auto"/>
              <w:bottom w:val="single" w:sz="4" w:space="0" w:color="auto"/>
              <w:right w:val="single" w:sz="4" w:space="0" w:color="auto"/>
            </w:tcBorders>
            <w:shd w:val="clear" w:color="000000" w:fill="E2EFDA"/>
            <w:noWrap/>
            <w:vAlign w:val="bottom"/>
            <w:hideMark/>
          </w:tcPr>
          <w:p w14:paraId="013DB056" w14:textId="77777777" w:rsidR="000C2990" w:rsidRPr="000C2990" w:rsidRDefault="000C2990" w:rsidP="000C2990">
            <w:pPr>
              <w:spacing w:after="0" w:line="240" w:lineRule="auto"/>
              <w:rPr>
                <w:rFonts w:ascii="Calibri" w:eastAsia="Times New Roman" w:hAnsi="Calibri"/>
                <w:color w:val="000000"/>
                <w:sz w:val="24"/>
              </w:rPr>
            </w:pPr>
            <w:r w:rsidRPr="000C2990">
              <w:rPr>
                <w:rFonts w:ascii="Calibri" w:eastAsia="Times New Roman" w:hAnsi="Calibri"/>
                <w:color w:val="000000"/>
                <w:sz w:val="24"/>
              </w:rPr>
              <w:t>90% Confidence Level</w:t>
            </w:r>
          </w:p>
        </w:tc>
      </w:tr>
      <w:tr w:rsidR="000C2990" w:rsidRPr="000C2990" w14:paraId="05EA8855" w14:textId="77777777" w:rsidTr="000C2990">
        <w:trPr>
          <w:trHeight w:val="320"/>
        </w:trPr>
        <w:tc>
          <w:tcPr>
            <w:tcW w:w="3380" w:type="dxa"/>
            <w:tcBorders>
              <w:top w:val="nil"/>
              <w:left w:val="single" w:sz="4" w:space="0" w:color="auto"/>
              <w:bottom w:val="single" w:sz="4" w:space="0" w:color="auto"/>
              <w:right w:val="single" w:sz="4" w:space="0" w:color="auto"/>
            </w:tcBorders>
            <w:shd w:val="clear" w:color="000000" w:fill="FCE4D6"/>
            <w:noWrap/>
            <w:vAlign w:val="bottom"/>
            <w:hideMark/>
          </w:tcPr>
          <w:p w14:paraId="110EF570" w14:textId="77777777" w:rsidR="000C2990" w:rsidRPr="000C2990" w:rsidRDefault="000C2990" w:rsidP="000C2990">
            <w:pPr>
              <w:spacing w:after="0" w:line="240" w:lineRule="auto"/>
              <w:rPr>
                <w:rFonts w:ascii="Calibri" w:eastAsia="Times New Roman" w:hAnsi="Calibri"/>
                <w:color w:val="000000"/>
                <w:sz w:val="24"/>
              </w:rPr>
            </w:pPr>
            <w:r w:rsidRPr="000C2990">
              <w:rPr>
                <w:rFonts w:ascii="Calibri" w:eastAsia="Times New Roman" w:hAnsi="Calibri"/>
                <w:color w:val="000000"/>
                <w:sz w:val="24"/>
              </w:rPr>
              <w:t>Not Significant</w:t>
            </w:r>
          </w:p>
        </w:tc>
      </w:tr>
    </w:tbl>
    <w:p w14:paraId="5F0040CF" w14:textId="77777777" w:rsidR="000C2990" w:rsidRDefault="000C2990" w:rsidP="000C2990">
      <w:pPr>
        <w:rPr>
          <w:rStyle w:val="IntenseEmphasis"/>
        </w:rPr>
      </w:pPr>
    </w:p>
    <w:p w14:paraId="34F51D09" w14:textId="2CC1457A" w:rsidR="000C2990" w:rsidRPr="000C2990" w:rsidRDefault="000C2990" w:rsidP="000C2990">
      <w:pPr>
        <w:rPr>
          <w:rStyle w:val="IntenseEmphasis"/>
        </w:rPr>
      </w:pPr>
      <w:r w:rsidRPr="000C2990">
        <w:rPr>
          <w:rStyle w:val="IntenseEmphasis"/>
        </w:rPr>
        <w:t xml:space="preserve">Gross Energy Saved in kWh (Electric </w:t>
      </w:r>
      <w:r>
        <w:rPr>
          <w:rStyle w:val="IntenseEmphasis"/>
        </w:rPr>
        <w:t>a</w:t>
      </w:r>
      <w:r w:rsidRPr="000C2990">
        <w:rPr>
          <w:rStyle w:val="IntenseEmphasis"/>
        </w:rPr>
        <w:t>nd Gas) Compared to Site Penetration - Coefficients</w:t>
      </w:r>
    </w:p>
    <w:tbl>
      <w:tblPr>
        <w:tblW w:w="13320" w:type="dxa"/>
        <w:tblLook w:val="04A0" w:firstRow="1" w:lastRow="0" w:firstColumn="1" w:lastColumn="0" w:noHBand="0" w:noVBand="1"/>
      </w:tblPr>
      <w:tblGrid>
        <w:gridCol w:w="3380"/>
        <w:gridCol w:w="1420"/>
        <w:gridCol w:w="1364"/>
        <w:gridCol w:w="1476"/>
        <w:gridCol w:w="1395"/>
        <w:gridCol w:w="1445"/>
        <w:gridCol w:w="1471"/>
        <w:gridCol w:w="1369"/>
      </w:tblGrid>
      <w:tr w:rsidR="000C2990" w:rsidRPr="000C2990" w14:paraId="4FBB712A" w14:textId="77777777" w:rsidTr="000C2990">
        <w:trPr>
          <w:trHeight w:val="260"/>
        </w:trPr>
        <w:tc>
          <w:tcPr>
            <w:tcW w:w="3380" w:type="dxa"/>
            <w:vMerge w:val="restart"/>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2C5BA1FE" w14:textId="77777777" w:rsidR="000C2990" w:rsidRPr="000C2990" w:rsidRDefault="000C2990" w:rsidP="000C2990">
            <w:pPr>
              <w:spacing w:after="0" w:line="240" w:lineRule="auto"/>
              <w:rPr>
                <w:rFonts w:eastAsia="Times New Roman" w:cs="Arial"/>
                <w:b/>
                <w:bCs/>
                <w:color w:val="000000"/>
                <w:sz w:val="20"/>
                <w:szCs w:val="20"/>
              </w:rPr>
            </w:pPr>
            <w:r w:rsidRPr="000C2990">
              <w:rPr>
                <w:rFonts w:eastAsia="Times New Roman" w:cs="Arial"/>
                <w:b/>
                <w:bCs/>
                <w:color w:val="000000"/>
                <w:sz w:val="20"/>
                <w:szCs w:val="20"/>
              </w:rPr>
              <w:t>Features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5262605E"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Site Penetration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2317E0D9"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Total</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6619B17B"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Mean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02BAB4EC"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Median</w:t>
            </w:r>
          </w:p>
        </w:tc>
      </w:tr>
      <w:tr w:rsidR="000C2990" w:rsidRPr="000C2990" w14:paraId="557FDDC3" w14:textId="77777777" w:rsidTr="000C2990">
        <w:trPr>
          <w:trHeight w:val="260"/>
        </w:trPr>
        <w:tc>
          <w:tcPr>
            <w:tcW w:w="3380" w:type="dxa"/>
            <w:vMerge/>
            <w:tcBorders>
              <w:top w:val="single" w:sz="4" w:space="0" w:color="auto"/>
              <w:left w:val="single" w:sz="4" w:space="0" w:color="auto"/>
              <w:bottom w:val="single" w:sz="4" w:space="0" w:color="auto"/>
              <w:right w:val="single" w:sz="4" w:space="0" w:color="auto"/>
            </w:tcBorders>
            <w:vAlign w:val="center"/>
            <w:hideMark/>
          </w:tcPr>
          <w:p w14:paraId="64F13146" w14:textId="77777777" w:rsidR="000C2990" w:rsidRPr="000C2990" w:rsidRDefault="000C2990" w:rsidP="000C2990">
            <w:pPr>
              <w:spacing w:after="0" w:line="240" w:lineRule="auto"/>
              <w:rPr>
                <w:rFonts w:eastAsia="Times New Roman" w:cs="Arial"/>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13FC332F" w14:textId="77777777" w:rsidR="000C2990" w:rsidRPr="000C2990" w:rsidRDefault="000C2990" w:rsidP="000C2990">
            <w:pPr>
              <w:spacing w:after="0" w:line="240" w:lineRule="auto"/>
              <w:rPr>
                <w:rFonts w:eastAsia="Times New Roman" w:cs="Arial"/>
                <w:b/>
                <w:bCs/>
                <w:color w:val="000000"/>
                <w:sz w:val="20"/>
                <w:szCs w:val="20"/>
              </w:rPr>
            </w:pPr>
          </w:p>
        </w:tc>
        <w:tc>
          <w:tcPr>
            <w:tcW w:w="1364" w:type="dxa"/>
            <w:tcBorders>
              <w:top w:val="nil"/>
              <w:left w:val="nil"/>
              <w:bottom w:val="single" w:sz="4" w:space="0" w:color="auto"/>
              <w:right w:val="single" w:sz="4" w:space="0" w:color="auto"/>
            </w:tcBorders>
            <w:shd w:val="clear" w:color="000000" w:fill="A5A5A5"/>
            <w:noWrap/>
            <w:vAlign w:val="center"/>
            <w:hideMark/>
          </w:tcPr>
          <w:p w14:paraId="4D444300"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476" w:type="dxa"/>
            <w:tcBorders>
              <w:top w:val="nil"/>
              <w:left w:val="nil"/>
              <w:bottom w:val="single" w:sz="4" w:space="0" w:color="auto"/>
              <w:right w:val="single" w:sz="4" w:space="0" w:color="auto"/>
            </w:tcBorders>
            <w:shd w:val="clear" w:color="000000" w:fill="A5A5A5"/>
            <w:noWrap/>
            <w:vAlign w:val="center"/>
            <w:hideMark/>
          </w:tcPr>
          <w:p w14:paraId="4ECB484A"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c>
          <w:tcPr>
            <w:tcW w:w="1395" w:type="dxa"/>
            <w:tcBorders>
              <w:top w:val="nil"/>
              <w:left w:val="nil"/>
              <w:bottom w:val="single" w:sz="4" w:space="0" w:color="auto"/>
              <w:right w:val="single" w:sz="4" w:space="0" w:color="auto"/>
            </w:tcBorders>
            <w:shd w:val="clear" w:color="000000" w:fill="A5A5A5"/>
            <w:noWrap/>
            <w:vAlign w:val="center"/>
            <w:hideMark/>
          </w:tcPr>
          <w:p w14:paraId="67A1314C"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445" w:type="dxa"/>
            <w:tcBorders>
              <w:top w:val="nil"/>
              <w:left w:val="nil"/>
              <w:bottom w:val="single" w:sz="4" w:space="0" w:color="auto"/>
              <w:right w:val="single" w:sz="4" w:space="0" w:color="auto"/>
            </w:tcBorders>
            <w:shd w:val="clear" w:color="000000" w:fill="A5A5A5"/>
            <w:noWrap/>
            <w:vAlign w:val="center"/>
            <w:hideMark/>
          </w:tcPr>
          <w:p w14:paraId="2DED1876"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c>
          <w:tcPr>
            <w:tcW w:w="1471" w:type="dxa"/>
            <w:tcBorders>
              <w:top w:val="nil"/>
              <w:left w:val="nil"/>
              <w:bottom w:val="single" w:sz="4" w:space="0" w:color="auto"/>
              <w:right w:val="single" w:sz="4" w:space="0" w:color="auto"/>
            </w:tcBorders>
            <w:shd w:val="clear" w:color="000000" w:fill="A5A5A5"/>
            <w:noWrap/>
            <w:vAlign w:val="center"/>
            <w:hideMark/>
          </w:tcPr>
          <w:p w14:paraId="7BD03743"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369" w:type="dxa"/>
            <w:tcBorders>
              <w:top w:val="nil"/>
              <w:left w:val="nil"/>
              <w:bottom w:val="single" w:sz="4" w:space="0" w:color="auto"/>
              <w:right w:val="single" w:sz="4" w:space="0" w:color="auto"/>
            </w:tcBorders>
            <w:shd w:val="clear" w:color="000000" w:fill="A5A5A5"/>
            <w:noWrap/>
            <w:vAlign w:val="center"/>
            <w:hideMark/>
          </w:tcPr>
          <w:p w14:paraId="7DE501B8"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r>
      <w:tr w:rsidR="000C2990" w:rsidRPr="000C2990" w14:paraId="547FAC55"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56B6DAA"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PER_MICRO</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55AD4D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-0.35</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8A4444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-112,157</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0DB26A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-1,143,994</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267125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-253.10</w:t>
            </w:r>
          </w:p>
        </w:tc>
        <w:tc>
          <w:tcPr>
            <w:tcW w:w="144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3656A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-3,756.95</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AA6814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62.71</w:t>
            </w:r>
          </w:p>
        </w:tc>
        <w:tc>
          <w:tcPr>
            <w:tcW w:w="13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0BB823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501.56</w:t>
            </w:r>
          </w:p>
        </w:tc>
      </w:tr>
      <w:tr w:rsidR="000C2990" w:rsidRPr="000C2990" w14:paraId="68298DEB"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1031ABC"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PER_SMALL</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F2580A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0.32</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CC659A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133,866</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69DEE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1,340,541</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898A36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257.46</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2C1607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3,590.01</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9F6C7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-100.15</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211990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-862.25</w:t>
            </w:r>
          </w:p>
        </w:tc>
      </w:tr>
      <w:tr w:rsidR="000C2990" w:rsidRPr="000C2990" w14:paraId="58E6FC95"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D36566D"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PER_MED</w:t>
            </w:r>
          </w:p>
        </w:tc>
        <w:tc>
          <w:tcPr>
            <w:tcW w:w="142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9E563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-0.46</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D5E1B7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376,180</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E4FEFB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3,852,545</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ABC00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721.15</w:t>
            </w:r>
          </w:p>
        </w:tc>
        <w:tc>
          <w:tcPr>
            <w:tcW w:w="144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6F1CA9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11,170.31</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4F6EAB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-113.70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98184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-235.48</w:t>
            </w:r>
          </w:p>
        </w:tc>
      </w:tr>
      <w:tr w:rsidR="000C2990" w:rsidRPr="000C2990" w14:paraId="5E407208"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074B5D9"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PER_LARGE</w:t>
            </w:r>
          </w:p>
        </w:tc>
        <w:tc>
          <w:tcPr>
            <w:tcW w:w="14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7117E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-1.14</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5ADE89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938,341</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BC1624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10,339,960</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4E4A4F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1,051.01</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298BF9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23,272.19</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FBD2D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185.46</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D5202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5,589.28</w:t>
            </w:r>
          </w:p>
        </w:tc>
      </w:tr>
      <w:tr w:rsidR="000C2990" w:rsidRPr="000C2990" w14:paraId="4E1AA8CC"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69637758"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POP_WEIGHTED_CES3_SCORE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7E64E0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0.23</w:t>
            </w:r>
          </w:p>
        </w:tc>
        <w:tc>
          <w:tcPr>
            <w:tcW w:w="1364"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4C1AF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16,245</w:t>
            </w:r>
          </w:p>
        </w:tc>
        <w:tc>
          <w:tcPr>
            <w:tcW w:w="147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7B346F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182,519</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3B5D49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2.21</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A93F1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518.48</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4E5D22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18.08</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FBB438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85.82</w:t>
            </w:r>
          </w:p>
        </w:tc>
      </w:tr>
      <w:tr w:rsidR="000C2990" w:rsidRPr="000C2990" w14:paraId="43BCBF95"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6FCA85A1" w14:textId="77777777" w:rsidR="000C2990" w:rsidRPr="000C2990" w:rsidRDefault="000C2990" w:rsidP="000C2990">
            <w:pPr>
              <w:spacing w:after="0" w:line="240" w:lineRule="auto"/>
              <w:rPr>
                <w:rFonts w:eastAsia="Times New Roman" w:cs="Arial"/>
                <w:color w:val="000000"/>
                <w:sz w:val="20"/>
                <w:szCs w:val="20"/>
              </w:rPr>
            </w:pPr>
            <w:proofErr w:type="spellStart"/>
            <w:r w:rsidRPr="000C2990">
              <w:rPr>
                <w:rFonts w:eastAsia="Times New Roman" w:cs="Arial"/>
                <w:color w:val="000000"/>
                <w:sz w:val="20"/>
                <w:szCs w:val="20"/>
              </w:rPr>
              <w:t>log_BIZ_DENSITY_NORM</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775646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-6.76</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D9A9C0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61,177</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F6006F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222,950</w:t>
            </w:r>
          </w:p>
        </w:tc>
        <w:tc>
          <w:tcPr>
            <w:tcW w:w="139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1F71C1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-3,490.67</w:t>
            </w:r>
          </w:p>
        </w:tc>
        <w:tc>
          <w:tcPr>
            <w:tcW w:w="1445"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FDCF0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-41,611.11</w:t>
            </w:r>
          </w:p>
        </w:tc>
        <w:tc>
          <w:tcPr>
            <w:tcW w:w="147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FC71F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441.07</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DAC3D6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8,277.84</w:t>
            </w:r>
          </w:p>
        </w:tc>
      </w:tr>
      <w:tr w:rsidR="000C2990" w:rsidRPr="000C2990" w14:paraId="060070E6"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3B0E9A2F"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PER_POP_65+</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A3DDBD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-0.28</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228582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-47,950</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0CA596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-507,349</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DD3EBA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-208.19</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034FF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-2,282.63</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81F6D5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16.20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B2FF7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272.32</w:t>
            </w:r>
          </w:p>
        </w:tc>
      </w:tr>
      <w:tr w:rsidR="000C2990" w:rsidRPr="000C2990" w14:paraId="15D48923"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9F7DF3A"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PER_WHITE</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3B8C5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883980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1,335.46</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B6C4E1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3,166.32</w:t>
            </w:r>
          </w:p>
        </w:tc>
        <w:tc>
          <w:tcPr>
            <w:tcW w:w="139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4FD74E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151.02</w:t>
            </w:r>
          </w:p>
        </w:tc>
        <w:tc>
          <w:tcPr>
            <w:tcW w:w="144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A7A3E2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1,413.67</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EAFF4A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8.19</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F4A70C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50.98</w:t>
            </w:r>
          </w:p>
        </w:tc>
      </w:tr>
      <w:tr w:rsidR="000C2990" w:rsidRPr="000C2990" w14:paraId="4D8A4352"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59DC248"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PER_BLACK</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33115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-0.06</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22CC72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-17,002</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E1759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-183,805</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668175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-194.08</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253378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-1,967.24</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D85D2E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20.27</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1F84C0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152.49</w:t>
            </w:r>
          </w:p>
        </w:tc>
      </w:tr>
      <w:tr w:rsidR="000C2990" w:rsidRPr="000C2990" w14:paraId="09C518F6"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C458E42"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PER_AMERIND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6F624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1.44</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31A11A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-66,025</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237DD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-742,092</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A09DD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-82.19</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2D3488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-4,062.80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E92F2B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-65.85</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676E1E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-1,277.33</w:t>
            </w:r>
          </w:p>
        </w:tc>
      </w:tr>
      <w:tr w:rsidR="000C2990" w:rsidRPr="000C2990" w14:paraId="281432DB"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695B5820"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PER_ASIAN</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50BDC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-0.18</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48C982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1,672</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0B6514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42,531</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D582E2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-110.52</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AF0BFC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-935.88</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0FA20A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-11.26</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C3FED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34.83</w:t>
            </w:r>
          </w:p>
        </w:tc>
      </w:tr>
      <w:tr w:rsidR="000C2990" w:rsidRPr="000C2990" w14:paraId="6C31B0EF"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29EFD09B"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PER_HISPANIC_AND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22840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0.22</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72EEEF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11,065</w:t>
            </w:r>
          </w:p>
        </w:tc>
        <w:tc>
          <w:tcPr>
            <w:tcW w:w="147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E9209B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108,963</w:t>
            </w:r>
          </w:p>
        </w:tc>
        <w:tc>
          <w:tcPr>
            <w:tcW w:w="139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38A994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105.03</w:t>
            </w:r>
          </w:p>
        </w:tc>
        <w:tc>
          <w:tcPr>
            <w:tcW w:w="144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727FC3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974.40</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026F6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-12.60</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C79154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-261.98</w:t>
            </w:r>
          </w:p>
        </w:tc>
      </w:tr>
      <w:tr w:rsidR="000C2990" w:rsidRPr="000C2990" w14:paraId="26637BA0"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95DBBDB"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TOTAL_HOUSING_UNITS</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BFCA44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6377BA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104.30</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98FAE8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1,011.20</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8274A5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-0.26</w:t>
            </w:r>
          </w:p>
        </w:tc>
        <w:tc>
          <w:tcPr>
            <w:tcW w:w="144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65C72A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-3.74</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3A84D1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A2109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w:t>
            </w:r>
          </w:p>
        </w:tc>
      </w:tr>
      <w:tr w:rsidR="000C2990" w:rsidRPr="000C2990" w14:paraId="124EE3F8"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18A6BE3"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PER_POP_FOREIGNBORN</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659B73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AD7557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11,607</w:t>
            </w:r>
          </w:p>
        </w:tc>
        <w:tc>
          <w:tcPr>
            <w:tcW w:w="147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1F743F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139,359</w:t>
            </w:r>
          </w:p>
        </w:tc>
        <w:tc>
          <w:tcPr>
            <w:tcW w:w="139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5F77DB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193.20</w:t>
            </w:r>
          </w:p>
        </w:tc>
        <w:tc>
          <w:tcPr>
            <w:tcW w:w="144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29E187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2,431.37</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1E52F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42.71</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460D81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437.98</w:t>
            </w:r>
          </w:p>
        </w:tc>
      </w:tr>
      <w:tr w:rsidR="000C2990" w:rsidRPr="000C2990" w14:paraId="77D73AD1"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778C4D00"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PER_FOREIGN_NONUS_CIT</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C72E3C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0.28</w:t>
            </w:r>
          </w:p>
        </w:tc>
        <w:tc>
          <w:tcPr>
            <w:tcW w:w="1364"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E98F6A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25,545</w:t>
            </w:r>
          </w:p>
        </w:tc>
        <w:tc>
          <w:tcPr>
            <w:tcW w:w="1476"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D3A2DD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250,698</w:t>
            </w:r>
          </w:p>
        </w:tc>
        <w:tc>
          <w:tcPr>
            <w:tcW w:w="1395"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BFD898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362.70</w:t>
            </w:r>
          </w:p>
        </w:tc>
        <w:tc>
          <w:tcPr>
            <w:tcW w:w="1445"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89162D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4,050.19</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88F24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0.89</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CC3350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-100.23</w:t>
            </w:r>
          </w:p>
        </w:tc>
      </w:tr>
      <w:tr w:rsidR="000C2990" w:rsidRPr="000C2990" w14:paraId="64133CFB"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16F850E0"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PER_POP_BROADBAND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43590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-0.60</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5BBF99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5.74</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76447E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-75,340.48</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D27BF3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-230.37</w:t>
            </w:r>
          </w:p>
        </w:tc>
        <w:tc>
          <w:tcPr>
            <w:tcW w:w="1445"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8DF675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-4,584.06</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D8C3D9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-26.43</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8237A2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26.53</w:t>
            </w:r>
          </w:p>
        </w:tc>
      </w:tr>
      <w:tr w:rsidR="000C2990" w:rsidRPr="000C2990" w14:paraId="7237A74F"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1175634"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MEDIAN_HOUSEHOLD_INCOME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752EDB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3777E9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-3.60</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A406EA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-33.02</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4E0CF0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F74519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-0.17</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C6B9B6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734734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w:t>
            </w:r>
          </w:p>
        </w:tc>
      </w:tr>
      <w:tr w:rsidR="000C2990" w:rsidRPr="000C2990" w14:paraId="515F4614"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5C1A8233"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CIV_UNEMPLOYMENT_RATE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001CC2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1.31</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019DA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3,138.15</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90AE7D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-13,569.81</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26C08D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-158.58</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59B86E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-2,552.74</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94311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1.89</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22C87B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-400.28</w:t>
            </w:r>
          </w:p>
        </w:tc>
      </w:tr>
      <w:tr w:rsidR="000C2990" w:rsidRPr="000C2990" w14:paraId="3D2DEA67" w14:textId="77777777" w:rsidTr="000C2990">
        <w:trPr>
          <w:trHeight w:val="260"/>
        </w:trPr>
        <w:tc>
          <w:tcPr>
            <w:tcW w:w="3380" w:type="dxa"/>
            <w:tcBorders>
              <w:top w:val="nil"/>
              <w:left w:val="single" w:sz="4" w:space="0" w:color="auto"/>
              <w:bottom w:val="single" w:sz="4" w:space="0" w:color="auto"/>
              <w:right w:val="single" w:sz="4" w:space="0" w:color="auto"/>
            </w:tcBorders>
            <w:shd w:val="clear" w:color="auto" w:fill="auto"/>
            <w:noWrap/>
            <w:vAlign w:val="center"/>
            <w:hideMark/>
          </w:tcPr>
          <w:p w14:paraId="4F105BDC"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PER_POP_BELOW_POVERTY</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1A0E4A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0.40</w:t>
            </w:r>
          </w:p>
        </w:tc>
        <w:tc>
          <w:tcPr>
            <w:tcW w:w="1364"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470E3C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15,632.54</w:t>
            </w:r>
          </w:p>
        </w:tc>
        <w:tc>
          <w:tcPr>
            <w:tcW w:w="1476"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DF7F4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198,973.60</w:t>
            </w:r>
          </w:p>
        </w:tc>
        <w:tc>
          <w:tcPr>
            <w:tcW w:w="139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2341F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151.08</w:t>
            </w:r>
          </w:p>
        </w:tc>
        <w:tc>
          <w:tcPr>
            <w:tcW w:w="144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A6021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2,333.60</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0AAD4A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36.17</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4AD735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167.24</w:t>
            </w:r>
          </w:p>
        </w:tc>
      </w:tr>
    </w:tbl>
    <w:p w14:paraId="76958E5E" w14:textId="0EC53BCC" w:rsidR="000C2990" w:rsidRDefault="000C2990" w:rsidP="000C2990"/>
    <w:p w14:paraId="0D932C92" w14:textId="785CBE2C" w:rsidR="000C2990" w:rsidRDefault="000C2990" w:rsidP="000C2990">
      <w:pPr>
        <w:rPr>
          <w:rStyle w:val="IntenseEmphasis"/>
        </w:rPr>
      </w:pPr>
      <w:r w:rsidRPr="000C2990">
        <w:rPr>
          <w:rStyle w:val="IntenseEmphasis"/>
        </w:rPr>
        <w:lastRenderedPageBreak/>
        <w:t xml:space="preserve">Gross Energy Saved in kWh (Electric </w:t>
      </w:r>
      <w:r>
        <w:rPr>
          <w:rStyle w:val="IntenseEmphasis"/>
        </w:rPr>
        <w:t>a</w:t>
      </w:r>
      <w:r w:rsidRPr="000C2990">
        <w:rPr>
          <w:rStyle w:val="IntenseEmphasis"/>
        </w:rPr>
        <w:t xml:space="preserve">nd Gas) Compared to Site Penetration </w:t>
      </w:r>
      <w:r>
        <w:rPr>
          <w:rStyle w:val="IntenseEmphasis"/>
        </w:rPr>
        <w:t>–</w:t>
      </w:r>
      <w:r w:rsidRPr="000C2990">
        <w:rPr>
          <w:rStyle w:val="IntenseEmphasis"/>
        </w:rPr>
        <w:t xml:space="preserve"> </w:t>
      </w:r>
      <w:r>
        <w:rPr>
          <w:rStyle w:val="IntenseEmphasis"/>
        </w:rPr>
        <w:t>R-squared</w:t>
      </w:r>
    </w:p>
    <w:tbl>
      <w:tblPr>
        <w:tblW w:w="13280" w:type="dxa"/>
        <w:tblLook w:val="04A0" w:firstRow="1" w:lastRow="0" w:firstColumn="1" w:lastColumn="0" w:noHBand="0" w:noVBand="1"/>
      </w:tblPr>
      <w:tblGrid>
        <w:gridCol w:w="3340"/>
        <w:gridCol w:w="1420"/>
        <w:gridCol w:w="1471"/>
        <w:gridCol w:w="1369"/>
        <w:gridCol w:w="1471"/>
        <w:gridCol w:w="1369"/>
        <w:gridCol w:w="1471"/>
        <w:gridCol w:w="1369"/>
      </w:tblGrid>
      <w:tr w:rsidR="000C2990" w:rsidRPr="000C2990" w14:paraId="1C10B973" w14:textId="77777777" w:rsidTr="000C2990">
        <w:trPr>
          <w:trHeight w:val="260"/>
        </w:trPr>
        <w:tc>
          <w:tcPr>
            <w:tcW w:w="3340" w:type="dxa"/>
            <w:vMerge w:val="restart"/>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6F95B558" w14:textId="77777777" w:rsidR="000C2990" w:rsidRPr="000C2990" w:rsidRDefault="000C2990" w:rsidP="000C2990">
            <w:pPr>
              <w:spacing w:after="0" w:line="240" w:lineRule="auto"/>
              <w:rPr>
                <w:rFonts w:eastAsia="Times New Roman" w:cs="Arial"/>
                <w:b/>
                <w:bCs/>
                <w:color w:val="000000"/>
                <w:sz w:val="20"/>
                <w:szCs w:val="20"/>
              </w:rPr>
            </w:pPr>
            <w:r w:rsidRPr="000C2990">
              <w:rPr>
                <w:rFonts w:eastAsia="Times New Roman" w:cs="Arial"/>
                <w:b/>
                <w:bCs/>
                <w:color w:val="000000"/>
                <w:sz w:val="20"/>
                <w:szCs w:val="20"/>
              </w:rPr>
              <w:t>Features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5D5AE961"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Site Penetration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03B8042F"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Total</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45853FAA"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Mean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23E82644" w14:textId="77777777" w:rsidR="000C2990" w:rsidRPr="000C2990" w:rsidRDefault="000C2990" w:rsidP="000C2990">
            <w:pPr>
              <w:spacing w:after="0" w:line="240" w:lineRule="auto"/>
              <w:jc w:val="center"/>
              <w:rPr>
                <w:rFonts w:eastAsia="Times New Roman" w:cs="Arial"/>
                <w:b/>
                <w:bCs/>
                <w:color w:val="000000"/>
                <w:sz w:val="20"/>
                <w:szCs w:val="20"/>
              </w:rPr>
            </w:pPr>
            <w:r w:rsidRPr="000C2990">
              <w:rPr>
                <w:rFonts w:eastAsia="Times New Roman" w:cs="Arial"/>
                <w:b/>
                <w:bCs/>
                <w:color w:val="000000"/>
                <w:sz w:val="20"/>
                <w:szCs w:val="20"/>
              </w:rPr>
              <w:t>Median</w:t>
            </w:r>
          </w:p>
        </w:tc>
      </w:tr>
      <w:tr w:rsidR="000C2990" w:rsidRPr="000C2990" w14:paraId="6E1F6F74" w14:textId="77777777" w:rsidTr="000C2990">
        <w:trPr>
          <w:trHeight w:val="260"/>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48A733D7" w14:textId="77777777" w:rsidR="000C2990" w:rsidRPr="000C2990" w:rsidRDefault="000C2990" w:rsidP="000C2990">
            <w:pPr>
              <w:spacing w:after="0" w:line="240" w:lineRule="auto"/>
              <w:rPr>
                <w:rFonts w:eastAsia="Times New Roman" w:cs="Arial"/>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517C8862" w14:textId="77777777" w:rsidR="000C2990" w:rsidRPr="000C2990" w:rsidRDefault="000C2990" w:rsidP="000C2990">
            <w:pPr>
              <w:spacing w:after="0" w:line="240" w:lineRule="auto"/>
              <w:rPr>
                <w:rFonts w:eastAsia="Times New Roman" w:cs="Arial"/>
                <w:b/>
                <w:bCs/>
                <w:color w:val="000000"/>
                <w:sz w:val="20"/>
                <w:szCs w:val="20"/>
              </w:rPr>
            </w:pPr>
          </w:p>
        </w:tc>
        <w:tc>
          <w:tcPr>
            <w:tcW w:w="1471" w:type="dxa"/>
            <w:tcBorders>
              <w:top w:val="nil"/>
              <w:left w:val="nil"/>
              <w:bottom w:val="single" w:sz="4" w:space="0" w:color="auto"/>
              <w:right w:val="single" w:sz="4" w:space="0" w:color="auto"/>
            </w:tcBorders>
            <w:shd w:val="clear" w:color="000000" w:fill="A5A5A5"/>
            <w:noWrap/>
            <w:vAlign w:val="center"/>
            <w:hideMark/>
          </w:tcPr>
          <w:p w14:paraId="31890A2B"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369" w:type="dxa"/>
            <w:tcBorders>
              <w:top w:val="nil"/>
              <w:left w:val="nil"/>
              <w:bottom w:val="single" w:sz="4" w:space="0" w:color="auto"/>
              <w:right w:val="single" w:sz="4" w:space="0" w:color="auto"/>
            </w:tcBorders>
            <w:shd w:val="clear" w:color="000000" w:fill="A5A5A5"/>
            <w:noWrap/>
            <w:vAlign w:val="center"/>
            <w:hideMark/>
          </w:tcPr>
          <w:p w14:paraId="7157E30B"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c>
          <w:tcPr>
            <w:tcW w:w="1471" w:type="dxa"/>
            <w:tcBorders>
              <w:top w:val="nil"/>
              <w:left w:val="nil"/>
              <w:bottom w:val="single" w:sz="4" w:space="0" w:color="auto"/>
              <w:right w:val="single" w:sz="4" w:space="0" w:color="auto"/>
            </w:tcBorders>
            <w:shd w:val="clear" w:color="000000" w:fill="A5A5A5"/>
            <w:noWrap/>
            <w:vAlign w:val="center"/>
            <w:hideMark/>
          </w:tcPr>
          <w:p w14:paraId="53AE0B84"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369" w:type="dxa"/>
            <w:tcBorders>
              <w:top w:val="nil"/>
              <w:left w:val="nil"/>
              <w:bottom w:val="single" w:sz="4" w:space="0" w:color="auto"/>
              <w:right w:val="single" w:sz="4" w:space="0" w:color="auto"/>
            </w:tcBorders>
            <w:shd w:val="clear" w:color="000000" w:fill="A5A5A5"/>
            <w:noWrap/>
            <w:vAlign w:val="center"/>
            <w:hideMark/>
          </w:tcPr>
          <w:p w14:paraId="56FC9DCB"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c>
          <w:tcPr>
            <w:tcW w:w="1471" w:type="dxa"/>
            <w:tcBorders>
              <w:top w:val="nil"/>
              <w:left w:val="nil"/>
              <w:bottom w:val="single" w:sz="4" w:space="0" w:color="auto"/>
              <w:right w:val="single" w:sz="4" w:space="0" w:color="auto"/>
            </w:tcBorders>
            <w:shd w:val="clear" w:color="000000" w:fill="A5A5A5"/>
            <w:noWrap/>
            <w:vAlign w:val="center"/>
            <w:hideMark/>
          </w:tcPr>
          <w:p w14:paraId="343E6298"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First Year</w:t>
            </w:r>
          </w:p>
        </w:tc>
        <w:tc>
          <w:tcPr>
            <w:tcW w:w="1369" w:type="dxa"/>
            <w:tcBorders>
              <w:top w:val="nil"/>
              <w:left w:val="nil"/>
              <w:bottom w:val="single" w:sz="4" w:space="0" w:color="auto"/>
              <w:right w:val="single" w:sz="4" w:space="0" w:color="auto"/>
            </w:tcBorders>
            <w:shd w:val="clear" w:color="000000" w:fill="A5A5A5"/>
            <w:noWrap/>
            <w:vAlign w:val="center"/>
            <w:hideMark/>
          </w:tcPr>
          <w:p w14:paraId="58591FA2" w14:textId="77777777" w:rsidR="000C2990" w:rsidRPr="000C2990" w:rsidRDefault="000C2990" w:rsidP="000C2990">
            <w:pPr>
              <w:spacing w:after="0" w:line="240" w:lineRule="auto"/>
              <w:jc w:val="right"/>
              <w:rPr>
                <w:rFonts w:eastAsia="Times New Roman" w:cs="Arial"/>
                <w:b/>
                <w:bCs/>
                <w:color w:val="000000"/>
                <w:sz w:val="20"/>
                <w:szCs w:val="20"/>
              </w:rPr>
            </w:pPr>
            <w:r w:rsidRPr="000C2990">
              <w:rPr>
                <w:rFonts w:eastAsia="Times New Roman" w:cs="Arial"/>
                <w:b/>
                <w:bCs/>
                <w:color w:val="000000"/>
                <w:sz w:val="20"/>
                <w:szCs w:val="20"/>
              </w:rPr>
              <w:t>Lifecycle</w:t>
            </w:r>
          </w:p>
        </w:tc>
      </w:tr>
      <w:tr w:rsidR="000C2990" w:rsidRPr="000C2990" w14:paraId="49D45EA1"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7039AAB"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PER_MICRO</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05170C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0.037</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F5F85C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0.074</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E9B682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0.068</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AF8543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3C2F7C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0.005</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9A9543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0.009</w:t>
            </w:r>
          </w:p>
        </w:tc>
        <w:tc>
          <w:tcPr>
            <w:tcW w:w="13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0103BD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0.068</w:t>
            </w:r>
          </w:p>
        </w:tc>
      </w:tr>
      <w:tr w:rsidR="000C2990" w:rsidRPr="000C2990" w14:paraId="5D2FE968"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33F10D0"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PER_SMALL</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57502F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0.017</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4FF538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0.058</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34832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0.051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397C3C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03EC95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3BEE7D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0.013</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D1301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0.051</w:t>
            </w:r>
          </w:p>
        </w:tc>
      </w:tr>
      <w:tr w:rsidR="000C2990" w:rsidRPr="000C2990" w14:paraId="57C489D1"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21A1406"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PER_MED</w:t>
            </w:r>
          </w:p>
        </w:tc>
        <w:tc>
          <w:tcPr>
            <w:tcW w:w="142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7EEA7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8F5D19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0.086</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976591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0.080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C44628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85B8F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3153AB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7947C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0.080</w:t>
            </w:r>
          </w:p>
        </w:tc>
      </w:tr>
      <w:tr w:rsidR="000C2990" w:rsidRPr="000C2990" w14:paraId="22D7D722"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9E80AEB"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PER_LARGE</w:t>
            </w:r>
          </w:p>
        </w:tc>
        <w:tc>
          <w:tcPr>
            <w:tcW w:w="14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5F793B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5EBA69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0.045</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C63663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0.048</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C54567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8700C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836C14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7A227A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0.048</w:t>
            </w:r>
          </w:p>
        </w:tc>
      </w:tr>
      <w:tr w:rsidR="000C2990" w:rsidRPr="000C2990" w14:paraId="7DECA69F"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D65064C"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POP_WEIGHTED_CES3_SCORE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7AF6E5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0.065</w:t>
            </w:r>
          </w:p>
        </w:tc>
        <w:tc>
          <w:tcPr>
            <w:tcW w:w="147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02A076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76AF2E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CF564C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D271BF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06913F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A2FFC3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r>
      <w:tr w:rsidR="000C2990" w:rsidRPr="000C2990" w14:paraId="5A8B9C5B"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AC110A7" w14:textId="77777777" w:rsidR="000C2990" w:rsidRPr="000C2990" w:rsidRDefault="000C2990" w:rsidP="000C2990">
            <w:pPr>
              <w:spacing w:after="0" w:line="240" w:lineRule="auto"/>
              <w:rPr>
                <w:rFonts w:eastAsia="Times New Roman" w:cs="Arial"/>
                <w:color w:val="000000"/>
                <w:sz w:val="20"/>
                <w:szCs w:val="20"/>
              </w:rPr>
            </w:pPr>
            <w:proofErr w:type="spellStart"/>
            <w:r w:rsidRPr="000C2990">
              <w:rPr>
                <w:rFonts w:eastAsia="Times New Roman" w:cs="Arial"/>
                <w:color w:val="000000"/>
                <w:sz w:val="20"/>
                <w:szCs w:val="20"/>
              </w:rPr>
              <w:t>log_BIZ_DENSITY_NORM</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BA8D04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0.197</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4B062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7375E7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22F7E2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0.005</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3077B3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0.008</w:t>
            </w:r>
          </w:p>
        </w:tc>
        <w:tc>
          <w:tcPr>
            <w:tcW w:w="147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10F50D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9D09B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r>
      <w:tr w:rsidR="000C2990" w:rsidRPr="000C2990" w14:paraId="578E43B1"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8FA4333"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PER_POP_65+</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3F0C3D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0.017</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95A71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0.010</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637AF4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14B871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98955F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4B3C6D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FDEF5F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0.010</w:t>
            </w:r>
          </w:p>
        </w:tc>
      </w:tr>
      <w:tr w:rsidR="000C2990" w:rsidRPr="000C2990" w14:paraId="3B1C972A"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7C7C408"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PER_WHITE</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B81B8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304115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19D22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FA1028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0.005</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EEBE53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0.005</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AC6455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35E7E3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r>
      <w:tr w:rsidR="000C2990" w:rsidRPr="000C2990" w14:paraId="083162D0"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2DFECEA"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PER_BLACK</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390B1D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04317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8EB904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009F38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8CFE9F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B50835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ACBD18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r>
      <w:tr w:rsidR="000C2990" w:rsidRPr="000C2990" w14:paraId="2545F53B"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9A87F54"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PER_AMERIND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029BB7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0.027</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C08B68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54FB9D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E98DF3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9B9369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16F725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B82D58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r>
      <w:tr w:rsidR="000C2990" w:rsidRPr="000C2990" w14:paraId="0287A7C0"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7DDAED4"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PER_ASIAN</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E88BF0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F162CD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C3FDA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E650E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3B9621C"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9F5C9F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55254A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r>
      <w:tr w:rsidR="000C2990" w:rsidRPr="000C2990" w14:paraId="3F5DBEDA"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93B32FD"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PER_HISPANIC_AND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F1FDD4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0.169</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47863E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0.008</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99C70F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A6F02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3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C58C19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07B67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6F0CFB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0.007</w:t>
            </w:r>
          </w:p>
        </w:tc>
      </w:tr>
      <w:tr w:rsidR="000C2990" w:rsidRPr="000C2990" w14:paraId="50077754"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A6F9873"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TOTAL_HOUSING_UNITS</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3832CA"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0.049</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501665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0.051</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1C10F1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66C071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59109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8DE5EC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E6BDA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0.042</w:t>
            </w:r>
          </w:p>
        </w:tc>
      </w:tr>
      <w:tr w:rsidR="000C2990" w:rsidRPr="000C2990" w14:paraId="3633D61B"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979B76B"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PER_POP_FOREIGNBORN</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D7E5EE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40BDEB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66C1D0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CA2436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36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800803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0.006</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6428D0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0.013</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228117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r>
      <w:tr w:rsidR="000C2990" w:rsidRPr="000C2990" w14:paraId="0D293B89"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DA9A0A6"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PER_FOREIGN_NONUS_CIT</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F84EE2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0.098</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9B10CB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0.015</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842558B"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0.013</w:t>
            </w:r>
          </w:p>
        </w:tc>
        <w:tc>
          <w:tcPr>
            <w:tcW w:w="147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3D8C01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0.016</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D4EF3D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0.022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8EE9BF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E2001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0.013</w:t>
            </w:r>
          </w:p>
        </w:tc>
      </w:tr>
      <w:tr w:rsidR="000C2990" w:rsidRPr="000C2990" w14:paraId="54C5C984"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1DDA275"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PER_POP_BROADBAND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EAE120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0.152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6F5B6B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6F48B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7469F0D"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B50A3A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0.010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A2B66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03C4F9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r>
      <w:tr w:rsidR="000C2990" w:rsidRPr="000C2990" w14:paraId="05F53891"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2D0A465"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MEDIAN_HOUSEHOLD_INCOME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93F8F8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0.089</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7324C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A560F1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28D3BA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F3515EE"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2973D21"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F10E38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r>
      <w:tr w:rsidR="000C2990" w:rsidRPr="000C2990" w14:paraId="5D87A15F"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B87BE96"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CIV_UNEMPLOYMENT_RATE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1A744E8"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0.088</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90B2589"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BABEDE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DD1CD4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4BCA58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4284274"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78A3E60"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0.000</w:t>
            </w:r>
          </w:p>
        </w:tc>
      </w:tr>
      <w:tr w:rsidR="000C2990" w:rsidRPr="000C2990" w14:paraId="495BF0AD" w14:textId="77777777" w:rsidTr="000C2990">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74691B4" w14:textId="77777777" w:rsidR="000C2990" w:rsidRPr="000C2990" w:rsidRDefault="000C2990" w:rsidP="000C2990">
            <w:pPr>
              <w:spacing w:after="0" w:line="240" w:lineRule="auto"/>
              <w:rPr>
                <w:rFonts w:eastAsia="Times New Roman" w:cs="Arial"/>
                <w:color w:val="000000"/>
                <w:sz w:val="20"/>
                <w:szCs w:val="20"/>
              </w:rPr>
            </w:pPr>
            <w:r w:rsidRPr="000C2990">
              <w:rPr>
                <w:rFonts w:eastAsia="Times New Roman" w:cs="Arial"/>
                <w:color w:val="000000"/>
                <w:sz w:val="20"/>
                <w:szCs w:val="20"/>
              </w:rPr>
              <w:t>PER_POP_BELOW_POVERTY</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9507837"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0.062</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2096F2"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04B87E5"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c>
          <w:tcPr>
            <w:tcW w:w="147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A94F0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0.001</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64AB776"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0.002</w:t>
            </w:r>
          </w:p>
        </w:tc>
        <w:tc>
          <w:tcPr>
            <w:tcW w:w="147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B6CE883"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0.004</w:t>
            </w:r>
          </w:p>
        </w:tc>
        <w:tc>
          <w:tcPr>
            <w:tcW w:w="136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C20975F" w14:textId="77777777" w:rsidR="000C2990" w:rsidRPr="000C2990" w:rsidRDefault="000C2990" w:rsidP="000C2990">
            <w:pPr>
              <w:spacing w:after="0" w:line="240" w:lineRule="auto"/>
              <w:jc w:val="right"/>
              <w:rPr>
                <w:rFonts w:eastAsia="Times New Roman" w:cs="Arial"/>
                <w:color w:val="000000"/>
                <w:sz w:val="20"/>
                <w:szCs w:val="20"/>
              </w:rPr>
            </w:pPr>
            <w:r w:rsidRPr="000C2990">
              <w:rPr>
                <w:rFonts w:eastAsia="Times New Roman" w:cs="Arial"/>
                <w:color w:val="000000"/>
                <w:sz w:val="20"/>
                <w:szCs w:val="20"/>
              </w:rPr>
              <w:t>0.003</w:t>
            </w:r>
          </w:p>
        </w:tc>
      </w:tr>
    </w:tbl>
    <w:p w14:paraId="18F8944D" w14:textId="264C232B" w:rsidR="000C2990" w:rsidRDefault="000C2990" w:rsidP="000C2990">
      <w:pPr>
        <w:rPr>
          <w:rStyle w:val="IntenseEmphasis"/>
        </w:rPr>
      </w:pPr>
    </w:p>
    <w:p w14:paraId="51EDF8A5" w14:textId="77777777" w:rsidR="000C2990" w:rsidRDefault="000C2990">
      <w:pPr>
        <w:spacing w:after="0" w:line="240" w:lineRule="auto"/>
        <w:rPr>
          <w:rStyle w:val="IntenseEmphasis"/>
        </w:rPr>
      </w:pPr>
      <w:r>
        <w:rPr>
          <w:rStyle w:val="IntenseEmphasis"/>
        </w:rPr>
        <w:br w:type="page"/>
      </w:r>
    </w:p>
    <w:p w14:paraId="64304637" w14:textId="6FFCC2F5" w:rsidR="000C2990" w:rsidRDefault="00E35906" w:rsidP="000C2990">
      <w:pPr>
        <w:rPr>
          <w:rStyle w:val="IntenseEmphasis"/>
        </w:rPr>
      </w:pPr>
      <w:r>
        <w:rPr>
          <w:rStyle w:val="IntenseEmphasis"/>
        </w:rPr>
        <w:lastRenderedPageBreak/>
        <w:t>Gross Measure Incentives and Costs</w:t>
      </w:r>
      <w:r w:rsidR="000C2990" w:rsidRPr="000C2990">
        <w:rPr>
          <w:rStyle w:val="IntenseEmphasis"/>
        </w:rPr>
        <w:t xml:space="preserve"> Compared to Site Penetration </w:t>
      </w:r>
      <w:r w:rsidR="000C2990">
        <w:rPr>
          <w:rStyle w:val="IntenseEmphasis"/>
        </w:rPr>
        <w:t>–</w:t>
      </w:r>
      <w:r w:rsidR="000C2990" w:rsidRPr="000C2990">
        <w:rPr>
          <w:rStyle w:val="IntenseEmphasis"/>
        </w:rPr>
        <w:t xml:space="preserve"> </w:t>
      </w:r>
      <w:r>
        <w:rPr>
          <w:rStyle w:val="IntenseEmphasis"/>
        </w:rPr>
        <w:t>Coefficients</w:t>
      </w:r>
    </w:p>
    <w:tbl>
      <w:tblPr>
        <w:tblW w:w="13280" w:type="dxa"/>
        <w:tblLook w:val="04A0" w:firstRow="1" w:lastRow="0" w:firstColumn="1" w:lastColumn="0" w:noHBand="0" w:noVBand="1"/>
      </w:tblPr>
      <w:tblGrid>
        <w:gridCol w:w="3340"/>
        <w:gridCol w:w="1420"/>
        <w:gridCol w:w="1321"/>
        <w:gridCol w:w="1519"/>
        <w:gridCol w:w="1321"/>
        <w:gridCol w:w="1519"/>
        <w:gridCol w:w="1321"/>
        <w:gridCol w:w="1519"/>
      </w:tblGrid>
      <w:tr w:rsidR="00E35906" w:rsidRPr="00E35906" w14:paraId="502FB51E" w14:textId="77777777" w:rsidTr="00E35906">
        <w:trPr>
          <w:trHeight w:val="260"/>
        </w:trPr>
        <w:tc>
          <w:tcPr>
            <w:tcW w:w="3340" w:type="dxa"/>
            <w:vMerge w:val="restart"/>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7CEFC367" w14:textId="77777777" w:rsidR="00E35906" w:rsidRPr="00E35906" w:rsidRDefault="00E35906" w:rsidP="00E35906">
            <w:pPr>
              <w:spacing w:after="0" w:line="240" w:lineRule="auto"/>
              <w:rPr>
                <w:rFonts w:eastAsia="Times New Roman" w:cs="Arial"/>
                <w:b/>
                <w:bCs/>
                <w:color w:val="000000"/>
                <w:sz w:val="20"/>
                <w:szCs w:val="20"/>
              </w:rPr>
            </w:pPr>
            <w:r w:rsidRPr="00E35906">
              <w:rPr>
                <w:rFonts w:eastAsia="Times New Roman" w:cs="Arial"/>
                <w:b/>
                <w:bCs/>
                <w:color w:val="000000"/>
                <w:sz w:val="20"/>
                <w:szCs w:val="20"/>
              </w:rPr>
              <w:t>Features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15283E62"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Site Penetration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43EDE1BC"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Total</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17F9C29D"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Mean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63ABC84A"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Median</w:t>
            </w:r>
          </w:p>
        </w:tc>
      </w:tr>
      <w:tr w:rsidR="00E35906" w:rsidRPr="00E35906" w14:paraId="7A24772F" w14:textId="77777777" w:rsidTr="00E35906">
        <w:trPr>
          <w:trHeight w:val="260"/>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514431DD" w14:textId="77777777" w:rsidR="00E35906" w:rsidRPr="00E35906" w:rsidRDefault="00E35906" w:rsidP="00E35906">
            <w:pPr>
              <w:spacing w:after="0" w:line="240" w:lineRule="auto"/>
              <w:rPr>
                <w:rFonts w:eastAsia="Times New Roman" w:cs="Arial"/>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039CFB0" w14:textId="77777777" w:rsidR="00E35906" w:rsidRPr="00E35906" w:rsidRDefault="00E35906" w:rsidP="00E35906">
            <w:pPr>
              <w:spacing w:after="0" w:line="240" w:lineRule="auto"/>
              <w:rPr>
                <w:rFonts w:eastAsia="Times New Roman" w:cs="Arial"/>
                <w:b/>
                <w:bCs/>
                <w:color w:val="000000"/>
                <w:sz w:val="20"/>
                <w:szCs w:val="20"/>
              </w:rPr>
            </w:pPr>
          </w:p>
        </w:tc>
        <w:tc>
          <w:tcPr>
            <w:tcW w:w="1321" w:type="dxa"/>
            <w:tcBorders>
              <w:top w:val="nil"/>
              <w:left w:val="nil"/>
              <w:bottom w:val="single" w:sz="4" w:space="0" w:color="auto"/>
              <w:right w:val="single" w:sz="4" w:space="0" w:color="auto"/>
            </w:tcBorders>
            <w:shd w:val="clear" w:color="000000" w:fill="A5A5A5"/>
            <w:noWrap/>
            <w:vAlign w:val="center"/>
            <w:hideMark/>
          </w:tcPr>
          <w:p w14:paraId="04E17C11"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59614595"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c>
          <w:tcPr>
            <w:tcW w:w="1321" w:type="dxa"/>
            <w:tcBorders>
              <w:top w:val="nil"/>
              <w:left w:val="nil"/>
              <w:bottom w:val="single" w:sz="4" w:space="0" w:color="auto"/>
              <w:right w:val="single" w:sz="4" w:space="0" w:color="auto"/>
            </w:tcBorders>
            <w:shd w:val="clear" w:color="000000" w:fill="A5A5A5"/>
            <w:noWrap/>
            <w:vAlign w:val="center"/>
            <w:hideMark/>
          </w:tcPr>
          <w:p w14:paraId="03B741D2"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2864BCDA"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c>
          <w:tcPr>
            <w:tcW w:w="1321" w:type="dxa"/>
            <w:tcBorders>
              <w:top w:val="nil"/>
              <w:left w:val="nil"/>
              <w:bottom w:val="single" w:sz="4" w:space="0" w:color="auto"/>
              <w:right w:val="single" w:sz="4" w:space="0" w:color="auto"/>
            </w:tcBorders>
            <w:shd w:val="clear" w:color="000000" w:fill="A5A5A5"/>
            <w:noWrap/>
            <w:vAlign w:val="center"/>
            <w:hideMark/>
          </w:tcPr>
          <w:p w14:paraId="3BADCD70"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15AF1E27"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r>
      <w:tr w:rsidR="00E35906" w:rsidRPr="00E35906" w14:paraId="2DC3E56D"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3FD4F0B"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PER_MICRO</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7CE345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-0.35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CBA8AD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-14,249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B6CBAB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-43,960</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543ADD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-26.58</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070BCC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-115.96</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007674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0.35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710E23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-0.89</w:t>
            </w:r>
          </w:p>
        </w:tc>
      </w:tr>
      <w:tr w:rsidR="00E35906" w:rsidRPr="00E35906" w14:paraId="7091E7C5"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F4540F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PER_SMALL</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EDA30A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0.32</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38A3AB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17,155</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8FC08A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50,079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7E3C32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26.70</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C2B7F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97.37</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419325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-1.30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5ABF2E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-5.20</w:t>
            </w:r>
          </w:p>
        </w:tc>
      </w:tr>
      <w:tr w:rsidR="00E35906" w:rsidRPr="00E35906" w14:paraId="52D0445B"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87573B1"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PER_MED</w:t>
            </w:r>
          </w:p>
        </w:tc>
        <w:tc>
          <w:tcPr>
            <w:tcW w:w="142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CE4225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-0.46</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7066A0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47,278</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C1E632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142,191</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4CE125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58.57</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A1E77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127.61</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E39E75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-11.28</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E6C10E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-37.45</w:t>
            </w:r>
          </w:p>
        </w:tc>
      </w:tr>
      <w:tr w:rsidR="00E35906" w:rsidRPr="00E35906" w14:paraId="0B50588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ADB2EE1"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PER_LARGE</w:t>
            </w:r>
          </w:p>
        </w:tc>
        <w:tc>
          <w:tcPr>
            <w:tcW w:w="14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5A21CB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-1.14</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734946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129,957</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72E6A9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464,418</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ABD0D8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334.58</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1BC137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1,485.15</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7436A8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34.14</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05AED5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127.47</w:t>
            </w:r>
          </w:p>
        </w:tc>
      </w:tr>
      <w:tr w:rsidR="00E35906" w:rsidRPr="00E35906" w14:paraId="68AAEC9E"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4613425"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POP_WEIGHTED_CES3_SCORE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01A480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0.23</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B49430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1,770</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49D364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4,962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E37969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597CD3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-1.61</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BA83B4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2.76</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F5EDA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4.67</w:t>
            </w:r>
          </w:p>
        </w:tc>
      </w:tr>
      <w:tr w:rsidR="00E35906" w:rsidRPr="00E35906" w14:paraId="557AFCC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0445826" w14:textId="77777777" w:rsidR="00E35906" w:rsidRPr="00E35906" w:rsidRDefault="00E35906" w:rsidP="00E35906">
            <w:pPr>
              <w:spacing w:after="0" w:line="240" w:lineRule="auto"/>
              <w:rPr>
                <w:rFonts w:eastAsia="Times New Roman" w:cs="Arial"/>
                <w:color w:val="000000"/>
                <w:sz w:val="20"/>
                <w:szCs w:val="20"/>
              </w:rPr>
            </w:pPr>
            <w:proofErr w:type="spellStart"/>
            <w:r w:rsidRPr="00E35906">
              <w:rPr>
                <w:rFonts w:eastAsia="Times New Roman" w:cs="Arial"/>
                <w:color w:val="000000"/>
                <w:sz w:val="20"/>
                <w:szCs w:val="20"/>
              </w:rPr>
              <w:t>log_BIZ_DENSITY_NORM</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8F648C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-6.76</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B51C84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27,722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B7CAAC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-4,375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8AF5DB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-241.07</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AAA364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-1,584.15</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EF0251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-21.35</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CCD10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-255.73</w:t>
            </w:r>
          </w:p>
        </w:tc>
      </w:tr>
      <w:tr w:rsidR="00E35906" w:rsidRPr="00E35906" w14:paraId="36CD29F4"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A409AA9"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PER_POP_65+</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B7A37F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-0.28</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AC1A7C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-6,540</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24EDEE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-20,894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CA1AB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-5.47</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26E927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-46.98</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6F52EA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-1.34</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70C881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-8.67</w:t>
            </w:r>
          </w:p>
        </w:tc>
      </w:tr>
      <w:tr w:rsidR="00E35906" w:rsidRPr="00E35906" w14:paraId="50FDA403"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7CF429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PER_WHITE</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53A899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BD9E6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-440.80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272BDD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-887.01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EACF6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3.34</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248A6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22.93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9DD4F6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0.89</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A3CFE8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2.95</w:t>
            </w:r>
          </w:p>
        </w:tc>
      </w:tr>
      <w:tr w:rsidR="00E35906" w:rsidRPr="00E35906" w14:paraId="4AEE5C6A"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D89E38E"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PER_BLACK</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DEB779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D5857E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-1,566</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31875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-7,897</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42224F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-2.28</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CF1FF0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-53.13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AD0EEA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-0.55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C60717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-6.02</w:t>
            </w:r>
          </w:p>
        </w:tc>
      </w:tr>
      <w:tr w:rsidR="00E35906" w:rsidRPr="00E35906" w14:paraId="466EDC6C"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55C3B88"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PER_AMERIND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E648EE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2CAD3C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-5,892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A2AC14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-17,522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5446CD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41.02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D0F937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74.11</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99870A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15.79</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8259FC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63.26</w:t>
            </w:r>
          </w:p>
        </w:tc>
      </w:tr>
      <w:tr w:rsidR="00E35906" w:rsidRPr="00E35906" w14:paraId="2B5BDD80"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60AFA3F"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PER_ASIAN</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E2F02A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-0.18</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C858A4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A157AF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4,114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51B14A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-2.91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F4D42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-12.22</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D7B31C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30C0A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-5.04</w:t>
            </w:r>
          </w:p>
        </w:tc>
      </w:tr>
      <w:tr w:rsidR="00E35906" w:rsidRPr="00E35906" w14:paraId="4936B2AD"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E4D43A0"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PER_HISPANIC_AND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5283FF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0.22</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429F34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1,460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66552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2,566</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8DD0CF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1.50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3470CE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6.47</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7C734C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1.09</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04103A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3.08</w:t>
            </w:r>
          </w:p>
        </w:tc>
      </w:tr>
      <w:tr w:rsidR="00E35906" w:rsidRPr="00E35906" w14:paraId="038B049F"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27184D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TOTAL_HOUSING_UNITS</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8021ED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4653BA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14.07</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AAE359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34.09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84A6CA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A36D5C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4B3F31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680500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w:t>
            </w:r>
          </w:p>
        </w:tc>
      </w:tr>
      <w:tr w:rsidR="00E35906" w:rsidRPr="00E35906" w14:paraId="3A1A94DB"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73D06B5"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PER_POP_FOREIGNBORN</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B36F10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CA220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1,080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88BAD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3,474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673ADF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3.35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E5552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16.88</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F00F8D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3.44</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56F5A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8.86</w:t>
            </w:r>
          </w:p>
        </w:tc>
      </w:tr>
      <w:tr w:rsidR="00E35906" w:rsidRPr="00E35906" w14:paraId="4449C9B7"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8CD6E33"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PER_FOREIGN_NONUS_CIT</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C096FC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0.28</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112B3B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1,735</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585156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8,016</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D93B4F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17.32</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69139D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85.96</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C6416F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3.41</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D0D35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14.21</w:t>
            </w:r>
          </w:p>
        </w:tc>
      </w:tr>
      <w:tr w:rsidR="00E35906" w:rsidRPr="00E35906" w14:paraId="51EF2138"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DCC420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PER_POP_BROADBAND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00DEA8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-0.60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0E9EFD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1,009.95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9A1EB1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2,569.47</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3C3868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-10.68</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F0CA7F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-61.10</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395383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-6.80</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E99EB9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-21.88</w:t>
            </w:r>
          </w:p>
        </w:tc>
      </w:tr>
      <w:tr w:rsidR="00E35906" w:rsidRPr="00E35906" w14:paraId="7FCAD620"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DDA51BC"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MEDIAN_HOUSEHOLD_INCOME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B7E84D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FBA38D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-0.43</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624688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0.45</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DCBC32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D09EE5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109EE5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508DB1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w:t>
            </w:r>
          </w:p>
        </w:tc>
      </w:tr>
      <w:tr w:rsidR="00E35906" w:rsidRPr="00E35906" w14:paraId="45F3AD3D"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3858DBA"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CIV_UNEMPLOYMENT_RATE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59AD50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1.31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FEBAA8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-1,571.51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EF9412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-3,536.84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B46302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-0.25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EB2ACC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28.93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79B08E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3.38</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B0C7F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18.16</w:t>
            </w:r>
          </w:p>
        </w:tc>
      </w:tr>
      <w:tr w:rsidR="00E35906" w:rsidRPr="00E35906" w14:paraId="6CFBDD41"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049CF95"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PER_POP_BELOW_POVERTY</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AAD597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0.40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74E68B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760.99</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6136A8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2,988.10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1EA8C2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9.01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E10204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48.06</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BB2B7F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5.30</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247F12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17.85</w:t>
            </w:r>
          </w:p>
        </w:tc>
      </w:tr>
    </w:tbl>
    <w:p w14:paraId="0F17FCDB" w14:textId="77777777" w:rsidR="000C2990" w:rsidRDefault="000C2990" w:rsidP="000C2990">
      <w:pPr>
        <w:rPr>
          <w:rStyle w:val="IntenseEmphasis"/>
        </w:rPr>
      </w:pPr>
    </w:p>
    <w:p w14:paraId="0B31C3E8" w14:textId="77777777" w:rsidR="000C2990" w:rsidRPr="000C2990" w:rsidRDefault="000C2990" w:rsidP="000C2990">
      <w:pPr>
        <w:rPr>
          <w:rStyle w:val="IntenseEmphasis"/>
        </w:rPr>
      </w:pPr>
    </w:p>
    <w:p w14:paraId="3F93C4EB" w14:textId="77777777" w:rsidR="000C2990" w:rsidRDefault="000C2990">
      <w:pPr>
        <w:spacing w:after="0" w:line="240" w:lineRule="auto"/>
      </w:pPr>
      <w:r>
        <w:br w:type="page"/>
      </w:r>
    </w:p>
    <w:p w14:paraId="2482032A" w14:textId="77777777" w:rsidR="00E35906" w:rsidRDefault="00E35906" w:rsidP="00E35906">
      <w:pPr>
        <w:rPr>
          <w:rStyle w:val="IntenseEmphasis"/>
        </w:rPr>
      </w:pPr>
      <w:r>
        <w:rPr>
          <w:rStyle w:val="IntenseEmphasis"/>
        </w:rPr>
        <w:lastRenderedPageBreak/>
        <w:t>Gross Measure Incentives and Costs</w:t>
      </w:r>
      <w:r w:rsidRPr="000C2990">
        <w:rPr>
          <w:rStyle w:val="IntenseEmphasis"/>
        </w:rPr>
        <w:t xml:space="preserve"> Compared to Site Penetration </w:t>
      </w:r>
      <w:r>
        <w:rPr>
          <w:rStyle w:val="IntenseEmphasis"/>
        </w:rPr>
        <w:t>–</w:t>
      </w:r>
      <w:r w:rsidRPr="000C2990">
        <w:rPr>
          <w:rStyle w:val="IntenseEmphasis"/>
        </w:rPr>
        <w:t xml:space="preserve"> </w:t>
      </w:r>
      <w:r>
        <w:rPr>
          <w:rStyle w:val="IntenseEmphasis"/>
        </w:rPr>
        <w:t>R-squared</w:t>
      </w:r>
    </w:p>
    <w:tbl>
      <w:tblPr>
        <w:tblW w:w="13280" w:type="dxa"/>
        <w:tblLook w:val="04A0" w:firstRow="1" w:lastRow="0" w:firstColumn="1" w:lastColumn="0" w:noHBand="0" w:noVBand="1"/>
      </w:tblPr>
      <w:tblGrid>
        <w:gridCol w:w="3340"/>
        <w:gridCol w:w="1420"/>
        <w:gridCol w:w="1321"/>
        <w:gridCol w:w="1519"/>
        <w:gridCol w:w="1321"/>
        <w:gridCol w:w="1519"/>
        <w:gridCol w:w="1321"/>
        <w:gridCol w:w="1519"/>
      </w:tblGrid>
      <w:tr w:rsidR="00E35906" w:rsidRPr="00E35906" w14:paraId="1E69351A" w14:textId="77777777" w:rsidTr="00E35906">
        <w:trPr>
          <w:trHeight w:val="260"/>
        </w:trPr>
        <w:tc>
          <w:tcPr>
            <w:tcW w:w="3340" w:type="dxa"/>
            <w:vMerge w:val="restart"/>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17D67DFE" w14:textId="77777777" w:rsidR="00E35906" w:rsidRPr="00E35906" w:rsidRDefault="00E35906" w:rsidP="00E35906">
            <w:pPr>
              <w:spacing w:after="0" w:line="240" w:lineRule="auto"/>
              <w:rPr>
                <w:rFonts w:eastAsia="Times New Roman" w:cs="Arial"/>
                <w:b/>
                <w:bCs/>
                <w:color w:val="000000"/>
                <w:sz w:val="20"/>
                <w:szCs w:val="20"/>
              </w:rPr>
            </w:pPr>
            <w:r w:rsidRPr="00E35906">
              <w:rPr>
                <w:rFonts w:eastAsia="Times New Roman" w:cs="Arial"/>
                <w:b/>
                <w:bCs/>
                <w:color w:val="000000"/>
                <w:sz w:val="20"/>
                <w:szCs w:val="20"/>
              </w:rPr>
              <w:t>Features</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A5A5A5"/>
            <w:vAlign w:val="center"/>
            <w:hideMark/>
          </w:tcPr>
          <w:p w14:paraId="1AAC43D4"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Site Penetration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5DB2EB97"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Total</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3404D5F3"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Mean</w:t>
            </w:r>
          </w:p>
        </w:tc>
        <w:tc>
          <w:tcPr>
            <w:tcW w:w="2840" w:type="dxa"/>
            <w:gridSpan w:val="2"/>
            <w:tcBorders>
              <w:top w:val="single" w:sz="4" w:space="0" w:color="auto"/>
              <w:left w:val="nil"/>
              <w:bottom w:val="single" w:sz="4" w:space="0" w:color="auto"/>
              <w:right w:val="single" w:sz="4" w:space="0" w:color="000000"/>
            </w:tcBorders>
            <w:shd w:val="clear" w:color="000000" w:fill="A5A5A5"/>
            <w:noWrap/>
            <w:vAlign w:val="center"/>
            <w:hideMark/>
          </w:tcPr>
          <w:p w14:paraId="389099CE" w14:textId="77777777" w:rsidR="00E35906" w:rsidRPr="00E35906" w:rsidRDefault="00E35906" w:rsidP="00E35906">
            <w:pPr>
              <w:spacing w:after="0" w:line="240" w:lineRule="auto"/>
              <w:jc w:val="center"/>
              <w:rPr>
                <w:rFonts w:eastAsia="Times New Roman" w:cs="Arial"/>
                <w:b/>
                <w:bCs/>
                <w:color w:val="000000"/>
                <w:sz w:val="20"/>
                <w:szCs w:val="20"/>
              </w:rPr>
            </w:pPr>
            <w:r w:rsidRPr="00E35906">
              <w:rPr>
                <w:rFonts w:eastAsia="Times New Roman" w:cs="Arial"/>
                <w:b/>
                <w:bCs/>
                <w:color w:val="000000"/>
                <w:sz w:val="20"/>
                <w:szCs w:val="20"/>
              </w:rPr>
              <w:t>Median</w:t>
            </w:r>
          </w:p>
        </w:tc>
      </w:tr>
      <w:tr w:rsidR="00E35906" w:rsidRPr="00E35906" w14:paraId="3938FE37" w14:textId="77777777" w:rsidTr="00E35906">
        <w:trPr>
          <w:trHeight w:val="260"/>
        </w:trPr>
        <w:tc>
          <w:tcPr>
            <w:tcW w:w="3340" w:type="dxa"/>
            <w:vMerge/>
            <w:tcBorders>
              <w:top w:val="single" w:sz="4" w:space="0" w:color="auto"/>
              <w:left w:val="single" w:sz="4" w:space="0" w:color="auto"/>
              <w:bottom w:val="single" w:sz="4" w:space="0" w:color="auto"/>
              <w:right w:val="single" w:sz="4" w:space="0" w:color="auto"/>
            </w:tcBorders>
            <w:vAlign w:val="center"/>
            <w:hideMark/>
          </w:tcPr>
          <w:p w14:paraId="4526E1F0" w14:textId="77777777" w:rsidR="00E35906" w:rsidRPr="00E35906" w:rsidRDefault="00E35906" w:rsidP="00E35906">
            <w:pPr>
              <w:spacing w:after="0" w:line="240" w:lineRule="auto"/>
              <w:rPr>
                <w:rFonts w:eastAsia="Times New Roman" w:cs="Arial"/>
                <w:b/>
                <w:bCs/>
                <w:color w:val="00000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FB69691" w14:textId="77777777" w:rsidR="00E35906" w:rsidRPr="00E35906" w:rsidRDefault="00E35906" w:rsidP="00E35906">
            <w:pPr>
              <w:spacing w:after="0" w:line="240" w:lineRule="auto"/>
              <w:rPr>
                <w:rFonts w:eastAsia="Times New Roman" w:cs="Arial"/>
                <w:b/>
                <w:bCs/>
                <w:color w:val="000000"/>
                <w:sz w:val="20"/>
                <w:szCs w:val="20"/>
              </w:rPr>
            </w:pPr>
          </w:p>
        </w:tc>
        <w:tc>
          <w:tcPr>
            <w:tcW w:w="1321" w:type="dxa"/>
            <w:tcBorders>
              <w:top w:val="nil"/>
              <w:left w:val="nil"/>
              <w:bottom w:val="single" w:sz="4" w:space="0" w:color="auto"/>
              <w:right w:val="single" w:sz="4" w:space="0" w:color="auto"/>
            </w:tcBorders>
            <w:shd w:val="clear" w:color="000000" w:fill="A5A5A5"/>
            <w:noWrap/>
            <w:vAlign w:val="center"/>
            <w:hideMark/>
          </w:tcPr>
          <w:p w14:paraId="1ABB2579"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189962E9"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c>
          <w:tcPr>
            <w:tcW w:w="1321" w:type="dxa"/>
            <w:tcBorders>
              <w:top w:val="nil"/>
              <w:left w:val="nil"/>
              <w:bottom w:val="single" w:sz="4" w:space="0" w:color="auto"/>
              <w:right w:val="single" w:sz="4" w:space="0" w:color="auto"/>
            </w:tcBorders>
            <w:shd w:val="clear" w:color="000000" w:fill="A5A5A5"/>
            <w:noWrap/>
            <w:vAlign w:val="center"/>
            <w:hideMark/>
          </w:tcPr>
          <w:p w14:paraId="4F7430DA"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3782FB7B"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c>
          <w:tcPr>
            <w:tcW w:w="1321" w:type="dxa"/>
            <w:tcBorders>
              <w:top w:val="nil"/>
              <w:left w:val="nil"/>
              <w:bottom w:val="single" w:sz="4" w:space="0" w:color="auto"/>
              <w:right w:val="single" w:sz="4" w:space="0" w:color="auto"/>
            </w:tcBorders>
            <w:shd w:val="clear" w:color="000000" w:fill="A5A5A5"/>
            <w:noWrap/>
            <w:vAlign w:val="center"/>
            <w:hideMark/>
          </w:tcPr>
          <w:p w14:paraId="36F660D2"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Incentive</w:t>
            </w:r>
          </w:p>
        </w:tc>
        <w:tc>
          <w:tcPr>
            <w:tcW w:w="1519" w:type="dxa"/>
            <w:tcBorders>
              <w:top w:val="nil"/>
              <w:left w:val="nil"/>
              <w:bottom w:val="single" w:sz="4" w:space="0" w:color="auto"/>
              <w:right w:val="single" w:sz="4" w:space="0" w:color="auto"/>
            </w:tcBorders>
            <w:shd w:val="clear" w:color="000000" w:fill="A5A5A5"/>
            <w:noWrap/>
            <w:vAlign w:val="center"/>
            <w:hideMark/>
          </w:tcPr>
          <w:p w14:paraId="24ED288A" w14:textId="77777777" w:rsidR="00E35906" w:rsidRPr="00E35906" w:rsidRDefault="00E35906" w:rsidP="00E35906">
            <w:pPr>
              <w:spacing w:after="0" w:line="240" w:lineRule="auto"/>
              <w:jc w:val="right"/>
              <w:rPr>
                <w:rFonts w:eastAsia="Times New Roman" w:cs="Arial"/>
                <w:b/>
                <w:bCs/>
                <w:color w:val="000000"/>
                <w:sz w:val="20"/>
                <w:szCs w:val="20"/>
              </w:rPr>
            </w:pPr>
            <w:r w:rsidRPr="00E35906">
              <w:rPr>
                <w:rFonts w:eastAsia="Times New Roman" w:cs="Arial"/>
                <w:b/>
                <w:bCs/>
                <w:color w:val="000000"/>
                <w:sz w:val="20"/>
                <w:szCs w:val="20"/>
              </w:rPr>
              <w:t>Meas Cost</w:t>
            </w:r>
          </w:p>
        </w:tc>
      </w:tr>
      <w:tr w:rsidR="00E35906" w:rsidRPr="00E35906" w14:paraId="6CB9FCC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A7D53C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PER_MICRO</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503E44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0.037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159D36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0.123</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E10258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C7CA9B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0.015</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587030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78C1CE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53E93D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0.069</w:t>
            </w:r>
          </w:p>
        </w:tc>
      </w:tr>
      <w:tr w:rsidR="00E35906" w:rsidRPr="00E35906" w14:paraId="7BB4B874"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623A3E1"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PER_SMALL</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052C82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D4683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0.099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9AED1B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2B0E54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0.008</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7588F5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0.005</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7EC49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94874C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0.049</w:t>
            </w:r>
          </w:p>
        </w:tc>
      </w:tr>
      <w:tr w:rsidR="00E35906" w:rsidRPr="00E35906" w14:paraId="4F0799C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F1522E4"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PER_MED</w:t>
            </w:r>
          </w:p>
        </w:tc>
        <w:tc>
          <w:tcPr>
            <w:tcW w:w="142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E85C4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5289BE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0.141</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1F2E3A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0.075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E13A67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0.007</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2E5798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72D06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0.005</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7B111E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0.075</w:t>
            </w:r>
          </w:p>
        </w:tc>
      </w:tr>
      <w:tr w:rsidR="00E35906" w:rsidRPr="00E35906" w14:paraId="210295D3"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1A3A4EF"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PER_LARGE</w:t>
            </w:r>
          </w:p>
        </w:tc>
        <w:tc>
          <w:tcPr>
            <w:tcW w:w="142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DFB5AC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ED5C11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0.089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95D1F1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47E94B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0.020</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71CF94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0.017</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D93810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0.004</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CA469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0.067</w:t>
            </w:r>
          </w:p>
        </w:tc>
      </w:tr>
      <w:tr w:rsidR="00E35906" w:rsidRPr="00E35906" w14:paraId="3D54FDF1"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B3A955E"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POP_WEIGHTED_CES3_SCORE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1812F9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40A56E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0.008</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BB44FC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0.004</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F65752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24C870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CE3F46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024C2E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0.004</w:t>
            </w:r>
          </w:p>
        </w:tc>
      </w:tr>
      <w:tr w:rsidR="00E35906" w:rsidRPr="00E35906" w14:paraId="08BB7A1B"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09ED5FB" w14:textId="77777777" w:rsidR="00E35906" w:rsidRPr="00E35906" w:rsidRDefault="00E35906" w:rsidP="00E35906">
            <w:pPr>
              <w:spacing w:after="0" w:line="240" w:lineRule="auto"/>
              <w:rPr>
                <w:rFonts w:eastAsia="Times New Roman" w:cs="Arial"/>
                <w:color w:val="000000"/>
                <w:sz w:val="20"/>
                <w:szCs w:val="20"/>
              </w:rPr>
            </w:pPr>
            <w:proofErr w:type="spellStart"/>
            <w:r w:rsidRPr="00E35906">
              <w:rPr>
                <w:rFonts w:eastAsia="Times New Roman" w:cs="Arial"/>
                <w:color w:val="000000"/>
                <w:sz w:val="20"/>
                <w:szCs w:val="20"/>
              </w:rPr>
              <w:t>log_BIZ_DENSITY_NORM</w:t>
            </w:r>
            <w:proofErr w:type="spellEnd"/>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8839FF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0.197</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C9D109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0.007</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0923CD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534984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0.018</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C216D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0.033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9F3CB9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8D544C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18E6314A"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B48170E"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PER_POP_65+</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7A9453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3D1DDC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535B9A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91F91C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B28914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E593E2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0B272A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0.012</w:t>
            </w:r>
          </w:p>
        </w:tc>
      </w:tr>
      <w:tr w:rsidR="00E35906" w:rsidRPr="00E35906" w14:paraId="6F940C98"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1FDA093"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PER_WHITE</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06063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2830A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4DF995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10A5F3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F2CAA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E55E33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FFB1CF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15985533"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DB418A2"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PER_BLACK</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121CA9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866684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BB996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6F8D8E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3A744D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3086A7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E8E4A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r>
      <w:tr w:rsidR="00E35906" w:rsidRPr="00E35906" w14:paraId="3C181552"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0095567"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PER_AMERIND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11E1C0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0.027</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B25D03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4B1DD7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68A185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AD5847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C47E3F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0.004</w:t>
            </w:r>
          </w:p>
        </w:tc>
        <w:tc>
          <w:tcPr>
            <w:tcW w:w="151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D010B3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336D4BDB"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2F6CA8D"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PER_ASIAN</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0C53BF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99979A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FDCB1C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9C8B9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0A3DC1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93F866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0.006</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514A0E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r>
      <w:tr w:rsidR="00E35906" w:rsidRPr="00E35906" w14:paraId="675F13B4"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303E24F"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PER_HISPANIC_AND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70DAAB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0.169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25A38C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A40C0B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12D527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2C27FD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AAF53D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0.005</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32F446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r>
      <w:tr w:rsidR="00E35906" w:rsidRPr="00E35906" w14:paraId="472634D8"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583D1C2"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TOTAL_HOUSING_UNITS</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D12D27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0.049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62235D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0.096</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979567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0.033</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EF81F9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FE12C2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0.016</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C6728C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0.009</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C947A57"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0.033</w:t>
            </w:r>
          </w:p>
        </w:tc>
      </w:tr>
      <w:tr w:rsidR="00E35906" w:rsidRPr="00E35906" w14:paraId="46A819AF"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FC6291F"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PER_POP_FOREIGNBORN</w:t>
            </w:r>
          </w:p>
        </w:tc>
        <w:tc>
          <w:tcPr>
            <w:tcW w:w="142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0245E4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E40D53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84013D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D45104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D8EDF4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19161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0.013</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7236A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r>
      <w:tr w:rsidR="00E35906" w:rsidRPr="00E35906" w14:paraId="73DEFD92"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9EE2711"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PER_FOREIGN_NONUS_CIT</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05D7E8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0.098</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DCB1812"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0.007</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367320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0.009</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8F6DCF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0.025</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18869FE"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0.027</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95702D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0.017</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A14326A"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0.009</w:t>
            </w:r>
          </w:p>
        </w:tc>
      </w:tr>
      <w:tr w:rsidR="00E35906" w:rsidRPr="00E35906" w14:paraId="56C51AA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CB2CDFD"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PER_POP_BROADBAND</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29537C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0.152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18AABF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FF3B2D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320D4F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51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97196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0.005</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8B5EF5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0.024</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6AC9B0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69F99A14"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29CB69C"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MEDIAN_HOUSEHOLD_INCOME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1166A1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0.089</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3F1ECD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3318F70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FC9EDC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0B4FA5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9F5854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0.008</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B078155"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147EEEBB"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2798E961"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CIV_UNEMPLOYMENT_RATE</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03DE83C"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0.088</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2030FE6"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A85DD0B"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5C7DDDD0"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3B36733"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748B0C4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0.001</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563108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r w:rsidR="00E35906" w:rsidRPr="00E35906" w14:paraId="3AF92DC9" w14:textId="77777777" w:rsidTr="00E35906">
        <w:trPr>
          <w:trHeight w:val="26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49938EC" w14:textId="77777777" w:rsidR="00E35906" w:rsidRPr="00E35906" w:rsidRDefault="00E35906" w:rsidP="00E35906">
            <w:pPr>
              <w:spacing w:after="0" w:line="240" w:lineRule="auto"/>
              <w:rPr>
                <w:rFonts w:eastAsia="Times New Roman" w:cs="Arial"/>
                <w:color w:val="000000"/>
                <w:sz w:val="20"/>
                <w:szCs w:val="20"/>
              </w:rPr>
            </w:pPr>
            <w:r w:rsidRPr="00E35906">
              <w:rPr>
                <w:rFonts w:eastAsia="Times New Roman" w:cs="Arial"/>
                <w:color w:val="000000"/>
                <w:sz w:val="20"/>
                <w:szCs w:val="20"/>
              </w:rPr>
              <w:t>PER_POP_BELOW_POVERTY</w:t>
            </w:r>
          </w:p>
        </w:tc>
        <w:tc>
          <w:tcPr>
            <w:tcW w:w="14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529B06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0.062</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B60D36F"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C9BFA68"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c>
          <w:tcPr>
            <w:tcW w:w="132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6E21A49"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0.002</w:t>
            </w:r>
          </w:p>
        </w:tc>
        <w:tc>
          <w:tcPr>
            <w:tcW w:w="1519"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B172654"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0.003</w:t>
            </w:r>
          </w:p>
        </w:tc>
        <w:tc>
          <w:tcPr>
            <w:tcW w:w="1321"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2264D1D"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0.013</w:t>
            </w:r>
          </w:p>
        </w:tc>
        <w:tc>
          <w:tcPr>
            <w:tcW w:w="151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2694141" w14:textId="77777777" w:rsidR="00E35906" w:rsidRPr="00E35906" w:rsidRDefault="00E35906" w:rsidP="00E35906">
            <w:pPr>
              <w:spacing w:after="0" w:line="240" w:lineRule="auto"/>
              <w:jc w:val="right"/>
              <w:rPr>
                <w:rFonts w:eastAsia="Times New Roman" w:cs="Arial"/>
                <w:color w:val="000000"/>
                <w:sz w:val="20"/>
                <w:szCs w:val="20"/>
              </w:rPr>
            </w:pPr>
            <w:r w:rsidRPr="00E35906">
              <w:rPr>
                <w:rFonts w:eastAsia="Times New Roman" w:cs="Arial"/>
                <w:color w:val="000000"/>
                <w:sz w:val="20"/>
                <w:szCs w:val="20"/>
              </w:rPr>
              <w:t>0.000</w:t>
            </w:r>
          </w:p>
        </w:tc>
      </w:tr>
    </w:tbl>
    <w:p w14:paraId="0A0C23C7" w14:textId="77777777" w:rsidR="000C2990" w:rsidRPr="000C2990" w:rsidRDefault="000C2990" w:rsidP="000C2990"/>
    <w:p w14:paraId="21456D21" w14:textId="77777777" w:rsidR="008A00FB" w:rsidRDefault="008A00FB" w:rsidP="00DB1FD0"/>
    <w:p w14:paraId="12C8B2A2" w14:textId="53D80505" w:rsidR="000C2990" w:rsidRDefault="000C2990" w:rsidP="00DB1FD0">
      <w:pPr>
        <w:sectPr w:rsidR="000C2990" w:rsidSect="000C2990">
          <w:footerReference w:type="default" r:id="rId38"/>
          <w:pgSz w:w="15840" w:h="12240" w:orient="landscape"/>
          <w:pgMar w:top="1440" w:right="1440" w:bottom="1440" w:left="1440" w:header="360" w:footer="720" w:gutter="0"/>
          <w:pgNumType w:start="1"/>
          <w:cols w:space="720"/>
        </w:sectPr>
      </w:pPr>
    </w:p>
    <w:p w14:paraId="75172C06" w14:textId="6211FE5C" w:rsidR="00DB1FD0" w:rsidRPr="008A00FB" w:rsidRDefault="008A00FB" w:rsidP="008A00FB">
      <w:pPr>
        <w:pStyle w:val="Heading2"/>
      </w:pPr>
      <w:bookmarkStart w:id="90" w:name="_Ref74920713"/>
      <w:bookmarkStart w:id="91" w:name="_Ref74920714"/>
      <w:bookmarkStart w:id="92" w:name="_Ref74920722"/>
      <w:bookmarkStart w:id="93" w:name="_Toc76121075"/>
      <w:r w:rsidRPr="008A00FB">
        <w:lastRenderedPageBreak/>
        <w:t>List of Programs in SMB Data</w:t>
      </w:r>
      <w:bookmarkEnd w:id="90"/>
      <w:bookmarkEnd w:id="91"/>
      <w:bookmarkEnd w:id="92"/>
      <w:bookmarkEnd w:id="93"/>
    </w:p>
    <w:tbl>
      <w:tblPr>
        <w:tblW w:w="14202" w:type="dxa"/>
        <w:tblLook w:val="04A0" w:firstRow="1" w:lastRow="0" w:firstColumn="1" w:lastColumn="0" w:noHBand="0" w:noVBand="1"/>
      </w:tblPr>
      <w:tblGrid>
        <w:gridCol w:w="670"/>
        <w:gridCol w:w="1380"/>
        <w:gridCol w:w="2560"/>
        <w:gridCol w:w="1310"/>
        <w:gridCol w:w="1568"/>
        <w:gridCol w:w="928"/>
        <w:gridCol w:w="866"/>
        <w:gridCol w:w="1132"/>
        <w:gridCol w:w="1180"/>
        <w:gridCol w:w="2608"/>
      </w:tblGrid>
      <w:tr w:rsidR="008A00FB" w:rsidRPr="008A00FB" w14:paraId="1A5043CA" w14:textId="77777777" w:rsidTr="008A00FB">
        <w:trPr>
          <w:trHeight w:val="320"/>
          <w:tblHeader/>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9863B92" w14:textId="77777777" w:rsidR="008A00FB" w:rsidRPr="008A00FB" w:rsidRDefault="008A00FB" w:rsidP="008A00FB">
            <w:pPr>
              <w:spacing w:after="0" w:line="240" w:lineRule="auto"/>
              <w:rPr>
                <w:rFonts w:eastAsia="Times New Roman" w:cs="Arial"/>
                <w:b/>
                <w:bCs/>
                <w:color w:val="000000"/>
                <w:sz w:val="16"/>
                <w:szCs w:val="16"/>
              </w:rPr>
            </w:pPr>
            <w:r w:rsidRPr="008A00FB">
              <w:rPr>
                <w:rFonts w:eastAsia="Times New Roman" w:cs="Arial"/>
                <w:b/>
                <w:bCs/>
                <w:color w:val="000000"/>
                <w:sz w:val="16"/>
                <w:szCs w:val="16"/>
              </w:rPr>
              <w:t>PA</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DA83E2F"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PrgID</w:t>
            </w:r>
            <w:proofErr w:type="spellEnd"/>
          </w:p>
        </w:tc>
        <w:tc>
          <w:tcPr>
            <w:tcW w:w="25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666B5E"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ProgramName</w:t>
            </w:r>
            <w:proofErr w:type="spellEnd"/>
          </w:p>
        </w:tc>
        <w:tc>
          <w:tcPr>
            <w:tcW w:w="13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31A3E7"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PrimarySector</w:t>
            </w:r>
            <w:proofErr w:type="spellEnd"/>
          </w:p>
        </w:tc>
        <w:tc>
          <w:tcPr>
            <w:tcW w:w="15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69BBF2"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ProgramCategory</w:t>
            </w:r>
            <w:proofErr w:type="spellEnd"/>
          </w:p>
        </w:tc>
        <w:tc>
          <w:tcPr>
            <w:tcW w:w="92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5C0364"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StartYear</w:t>
            </w:r>
            <w:proofErr w:type="spellEnd"/>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FAC9F3"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EndYear</w:t>
            </w:r>
            <w:proofErr w:type="spellEnd"/>
          </w:p>
        </w:tc>
        <w:tc>
          <w:tcPr>
            <w:tcW w:w="113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C225913"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DirectInstall</w:t>
            </w:r>
            <w:proofErr w:type="spellEnd"/>
          </w:p>
        </w:tc>
        <w:tc>
          <w:tcPr>
            <w:tcW w:w="11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B33624" w14:textId="77777777" w:rsidR="008A00FB" w:rsidRPr="008A00FB" w:rsidRDefault="008A00FB" w:rsidP="008A00FB">
            <w:pPr>
              <w:spacing w:after="0" w:line="240" w:lineRule="auto"/>
              <w:rPr>
                <w:rFonts w:eastAsia="Times New Roman" w:cs="Arial"/>
                <w:b/>
                <w:bCs/>
                <w:color w:val="000000"/>
                <w:sz w:val="16"/>
                <w:szCs w:val="16"/>
              </w:rPr>
            </w:pPr>
            <w:r w:rsidRPr="008A00FB">
              <w:rPr>
                <w:rFonts w:eastAsia="Times New Roman" w:cs="Arial"/>
                <w:b/>
                <w:bCs/>
                <w:color w:val="000000"/>
                <w:sz w:val="16"/>
                <w:szCs w:val="16"/>
              </w:rPr>
              <w:t>Financing</w:t>
            </w:r>
          </w:p>
        </w:tc>
        <w:tc>
          <w:tcPr>
            <w:tcW w:w="260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630D461" w14:textId="77777777" w:rsidR="008A00FB" w:rsidRPr="008A00FB" w:rsidRDefault="008A00FB" w:rsidP="008A00FB">
            <w:pPr>
              <w:spacing w:after="0" w:line="240" w:lineRule="auto"/>
              <w:rPr>
                <w:rFonts w:eastAsia="Times New Roman" w:cs="Arial"/>
                <w:b/>
                <w:bCs/>
                <w:color w:val="000000"/>
                <w:sz w:val="16"/>
                <w:szCs w:val="16"/>
              </w:rPr>
            </w:pPr>
            <w:proofErr w:type="spellStart"/>
            <w:r w:rsidRPr="008A00FB">
              <w:rPr>
                <w:rFonts w:eastAsia="Times New Roman" w:cs="Arial"/>
                <w:b/>
                <w:bCs/>
                <w:color w:val="000000"/>
                <w:sz w:val="16"/>
                <w:szCs w:val="16"/>
              </w:rPr>
              <w:t>ParentProgram</w:t>
            </w:r>
            <w:proofErr w:type="spellEnd"/>
          </w:p>
        </w:tc>
      </w:tr>
      <w:tr w:rsidR="008A00FB" w:rsidRPr="008A00FB" w14:paraId="7448CFF5"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144558D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436E6D1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PGE21011</w:t>
            </w:r>
          </w:p>
        </w:tc>
        <w:tc>
          <w:tcPr>
            <w:tcW w:w="2560" w:type="dxa"/>
            <w:tcBorders>
              <w:top w:val="nil"/>
              <w:left w:val="nil"/>
              <w:bottom w:val="single" w:sz="4" w:space="0" w:color="auto"/>
              <w:right w:val="single" w:sz="4" w:space="0" w:color="auto"/>
            </w:tcBorders>
            <w:shd w:val="clear" w:color="auto" w:fill="auto"/>
            <w:hideMark/>
          </w:tcPr>
          <w:p w14:paraId="7E5B4F7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Calculated Incentives</w:t>
            </w:r>
          </w:p>
        </w:tc>
        <w:tc>
          <w:tcPr>
            <w:tcW w:w="1310" w:type="dxa"/>
            <w:tcBorders>
              <w:top w:val="nil"/>
              <w:left w:val="nil"/>
              <w:bottom w:val="single" w:sz="4" w:space="0" w:color="auto"/>
              <w:right w:val="single" w:sz="4" w:space="0" w:color="auto"/>
            </w:tcBorders>
            <w:shd w:val="clear" w:color="auto" w:fill="auto"/>
            <w:hideMark/>
          </w:tcPr>
          <w:p w14:paraId="1005433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4F0F99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BA3D074"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680A74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409DAD3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9DCCC2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69098F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Energy Efficiency Programs</w:t>
            </w:r>
          </w:p>
        </w:tc>
      </w:tr>
      <w:tr w:rsidR="008A00FB" w:rsidRPr="008A00FB" w14:paraId="6164D54F"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285EEBD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C8B022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PGE210118</w:t>
            </w:r>
          </w:p>
        </w:tc>
        <w:tc>
          <w:tcPr>
            <w:tcW w:w="2560" w:type="dxa"/>
            <w:tcBorders>
              <w:top w:val="nil"/>
              <w:left w:val="nil"/>
              <w:bottom w:val="single" w:sz="4" w:space="0" w:color="auto"/>
              <w:right w:val="single" w:sz="4" w:space="0" w:color="auto"/>
            </w:tcBorders>
            <w:shd w:val="clear" w:color="auto" w:fill="auto"/>
            <w:hideMark/>
          </w:tcPr>
          <w:p w14:paraId="5BDE8AF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Retail Energy Efficiency</w:t>
            </w:r>
          </w:p>
        </w:tc>
        <w:tc>
          <w:tcPr>
            <w:tcW w:w="1310" w:type="dxa"/>
            <w:tcBorders>
              <w:top w:val="nil"/>
              <w:left w:val="nil"/>
              <w:bottom w:val="single" w:sz="4" w:space="0" w:color="auto"/>
              <w:right w:val="single" w:sz="4" w:space="0" w:color="auto"/>
            </w:tcBorders>
            <w:shd w:val="clear" w:color="auto" w:fill="auto"/>
            <w:hideMark/>
          </w:tcPr>
          <w:p w14:paraId="038584F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44BA94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5AA4B61"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11ABDB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2018</w:t>
            </w:r>
          </w:p>
        </w:tc>
        <w:tc>
          <w:tcPr>
            <w:tcW w:w="1132" w:type="dxa"/>
            <w:tcBorders>
              <w:top w:val="nil"/>
              <w:left w:val="nil"/>
              <w:bottom w:val="single" w:sz="4" w:space="0" w:color="auto"/>
              <w:right w:val="single" w:sz="4" w:space="0" w:color="auto"/>
            </w:tcBorders>
            <w:shd w:val="clear" w:color="auto" w:fill="auto"/>
            <w:hideMark/>
          </w:tcPr>
          <w:p w14:paraId="79ED5B3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71CDAC5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7A59C84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Commercial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40AA9564"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458143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720D282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PGE210119</w:t>
            </w:r>
          </w:p>
        </w:tc>
        <w:tc>
          <w:tcPr>
            <w:tcW w:w="2560" w:type="dxa"/>
            <w:tcBorders>
              <w:top w:val="nil"/>
              <w:left w:val="nil"/>
              <w:bottom w:val="single" w:sz="4" w:space="0" w:color="auto"/>
              <w:right w:val="single" w:sz="4" w:space="0" w:color="auto"/>
            </w:tcBorders>
            <w:shd w:val="clear" w:color="auto" w:fill="auto"/>
            <w:hideMark/>
          </w:tcPr>
          <w:p w14:paraId="7DCA187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LED Accelerator</w:t>
            </w:r>
          </w:p>
        </w:tc>
        <w:tc>
          <w:tcPr>
            <w:tcW w:w="1310" w:type="dxa"/>
            <w:tcBorders>
              <w:top w:val="nil"/>
              <w:left w:val="nil"/>
              <w:bottom w:val="single" w:sz="4" w:space="0" w:color="auto"/>
              <w:right w:val="single" w:sz="4" w:space="0" w:color="auto"/>
            </w:tcBorders>
            <w:shd w:val="clear" w:color="auto" w:fill="auto"/>
            <w:hideMark/>
          </w:tcPr>
          <w:p w14:paraId="4D186A6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CB7236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8D4DC8F"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91E4D1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A81325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4E79F31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76F375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Commercial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361FD3D4"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B31EB2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751812F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PGE21012</w:t>
            </w:r>
          </w:p>
        </w:tc>
        <w:tc>
          <w:tcPr>
            <w:tcW w:w="2560" w:type="dxa"/>
            <w:tcBorders>
              <w:top w:val="nil"/>
              <w:left w:val="nil"/>
              <w:bottom w:val="single" w:sz="4" w:space="0" w:color="auto"/>
              <w:right w:val="single" w:sz="4" w:space="0" w:color="auto"/>
            </w:tcBorders>
            <w:shd w:val="clear" w:color="auto" w:fill="auto"/>
            <w:hideMark/>
          </w:tcPr>
          <w:p w14:paraId="379D2E4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Deemed Incentives</w:t>
            </w:r>
          </w:p>
        </w:tc>
        <w:tc>
          <w:tcPr>
            <w:tcW w:w="1310" w:type="dxa"/>
            <w:tcBorders>
              <w:top w:val="nil"/>
              <w:left w:val="nil"/>
              <w:bottom w:val="single" w:sz="4" w:space="0" w:color="auto"/>
              <w:right w:val="single" w:sz="4" w:space="0" w:color="auto"/>
            </w:tcBorders>
            <w:shd w:val="clear" w:color="auto" w:fill="auto"/>
            <w:hideMark/>
          </w:tcPr>
          <w:p w14:paraId="240546D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97A7E6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6B509514"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D7401C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673E25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BC594B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5E67B9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Energy Efficiency Programs</w:t>
            </w:r>
          </w:p>
        </w:tc>
      </w:tr>
      <w:tr w:rsidR="008A00FB" w:rsidRPr="008A00FB" w14:paraId="600AEA32"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E0E378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0275ACF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PGE210143</w:t>
            </w:r>
          </w:p>
        </w:tc>
        <w:tc>
          <w:tcPr>
            <w:tcW w:w="2560" w:type="dxa"/>
            <w:tcBorders>
              <w:top w:val="nil"/>
              <w:left w:val="nil"/>
              <w:bottom w:val="single" w:sz="4" w:space="0" w:color="auto"/>
              <w:right w:val="single" w:sz="4" w:space="0" w:color="auto"/>
            </w:tcBorders>
            <w:shd w:val="clear" w:color="auto" w:fill="auto"/>
            <w:hideMark/>
          </w:tcPr>
          <w:p w14:paraId="777813C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Hospitality Program</w:t>
            </w:r>
          </w:p>
        </w:tc>
        <w:tc>
          <w:tcPr>
            <w:tcW w:w="1310" w:type="dxa"/>
            <w:tcBorders>
              <w:top w:val="nil"/>
              <w:left w:val="nil"/>
              <w:bottom w:val="single" w:sz="4" w:space="0" w:color="auto"/>
              <w:right w:val="single" w:sz="4" w:space="0" w:color="auto"/>
            </w:tcBorders>
            <w:shd w:val="clear" w:color="auto" w:fill="auto"/>
            <w:hideMark/>
          </w:tcPr>
          <w:p w14:paraId="549BBA0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53C44F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42F31FE"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19DAAD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8AF3A6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15415E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 Financing</w:t>
            </w:r>
          </w:p>
        </w:tc>
        <w:tc>
          <w:tcPr>
            <w:tcW w:w="2608" w:type="dxa"/>
            <w:tcBorders>
              <w:top w:val="nil"/>
              <w:left w:val="nil"/>
              <w:bottom w:val="single" w:sz="4" w:space="0" w:color="auto"/>
              <w:right w:val="single" w:sz="4" w:space="0" w:color="auto"/>
            </w:tcBorders>
            <w:shd w:val="clear" w:color="auto" w:fill="auto"/>
            <w:hideMark/>
          </w:tcPr>
          <w:p w14:paraId="11D97FD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Commercial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579857C1"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1DC76C4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06909A9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PGE21015</w:t>
            </w:r>
          </w:p>
        </w:tc>
        <w:tc>
          <w:tcPr>
            <w:tcW w:w="2560" w:type="dxa"/>
            <w:tcBorders>
              <w:top w:val="nil"/>
              <w:left w:val="nil"/>
              <w:bottom w:val="single" w:sz="4" w:space="0" w:color="auto"/>
              <w:right w:val="single" w:sz="4" w:space="0" w:color="auto"/>
            </w:tcBorders>
            <w:shd w:val="clear" w:color="auto" w:fill="auto"/>
            <w:hideMark/>
          </w:tcPr>
          <w:p w14:paraId="74871CF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HVAC</w:t>
            </w:r>
          </w:p>
        </w:tc>
        <w:tc>
          <w:tcPr>
            <w:tcW w:w="1310" w:type="dxa"/>
            <w:tcBorders>
              <w:top w:val="nil"/>
              <w:left w:val="nil"/>
              <w:bottom w:val="single" w:sz="4" w:space="0" w:color="auto"/>
              <w:right w:val="single" w:sz="4" w:space="0" w:color="auto"/>
            </w:tcBorders>
            <w:shd w:val="clear" w:color="auto" w:fill="auto"/>
            <w:hideMark/>
          </w:tcPr>
          <w:p w14:paraId="7E6F43E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0D8E331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Transformation</w:t>
            </w:r>
          </w:p>
        </w:tc>
        <w:tc>
          <w:tcPr>
            <w:tcW w:w="928" w:type="dxa"/>
            <w:tcBorders>
              <w:top w:val="nil"/>
              <w:left w:val="nil"/>
              <w:bottom w:val="single" w:sz="4" w:space="0" w:color="auto"/>
              <w:right w:val="single" w:sz="4" w:space="0" w:color="auto"/>
            </w:tcBorders>
            <w:shd w:val="clear" w:color="auto" w:fill="auto"/>
            <w:hideMark/>
          </w:tcPr>
          <w:p w14:paraId="234BD32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EF03D0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16343A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CDDAD0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F42FAB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Energy Efficiency Programs</w:t>
            </w:r>
          </w:p>
        </w:tc>
      </w:tr>
      <w:tr w:rsidR="008A00FB" w:rsidRPr="008A00FB" w14:paraId="4C415B85"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A6B5FD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448244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PGE21018</w:t>
            </w:r>
          </w:p>
        </w:tc>
        <w:tc>
          <w:tcPr>
            <w:tcW w:w="2560" w:type="dxa"/>
            <w:tcBorders>
              <w:top w:val="nil"/>
              <w:left w:val="nil"/>
              <w:bottom w:val="single" w:sz="4" w:space="0" w:color="auto"/>
              <w:right w:val="single" w:sz="4" w:space="0" w:color="auto"/>
            </w:tcBorders>
            <w:shd w:val="clear" w:color="auto" w:fill="auto"/>
            <w:hideMark/>
          </w:tcPr>
          <w:p w14:paraId="6EA39C17" w14:textId="77777777" w:rsidR="008A00FB" w:rsidRPr="008A00FB" w:rsidRDefault="008A00FB" w:rsidP="008A00FB">
            <w:pPr>
              <w:spacing w:after="0" w:line="240" w:lineRule="auto"/>
              <w:rPr>
                <w:rFonts w:eastAsia="Times New Roman" w:cs="Arial"/>
                <w:color w:val="000000"/>
                <w:sz w:val="16"/>
                <w:szCs w:val="16"/>
              </w:rPr>
            </w:pPr>
            <w:proofErr w:type="spellStart"/>
            <w:r w:rsidRPr="008A00FB">
              <w:rPr>
                <w:rFonts w:eastAsia="Times New Roman" w:cs="Arial"/>
                <w:color w:val="000000"/>
                <w:sz w:val="16"/>
                <w:szCs w:val="16"/>
              </w:rPr>
              <w:t>EnergySmart</w:t>
            </w:r>
            <w:proofErr w:type="spellEnd"/>
            <w:r w:rsidRPr="008A00FB">
              <w:rPr>
                <w:rFonts w:eastAsia="Times New Roman" w:cs="Arial"/>
                <w:color w:val="000000"/>
                <w:sz w:val="16"/>
                <w:szCs w:val="16"/>
              </w:rPr>
              <w:t xml:space="preserve"> Grocer</w:t>
            </w:r>
          </w:p>
        </w:tc>
        <w:tc>
          <w:tcPr>
            <w:tcW w:w="1310" w:type="dxa"/>
            <w:tcBorders>
              <w:top w:val="nil"/>
              <w:left w:val="nil"/>
              <w:bottom w:val="single" w:sz="4" w:space="0" w:color="auto"/>
              <w:right w:val="single" w:sz="4" w:space="0" w:color="auto"/>
            </w:tcBorders>
            <w:shd w:val="clear" w:color="auto" w:fill="auto"/>
            <w:hideMark/>
          </w:tcPr>
          <w:p w14:paraId="15A80D5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6B14037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79D4DB2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5E8E7A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30B9BD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8681D5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D3B052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Commercial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56E92238"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260D98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886E71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PGE21021</w:t>
            </w:r>
          </w:p>
        </w:tc>
        <w:tc>
          <w:tcPr>
            <w:tcW w:w="2560" w:type="dxa"/>
            <w:tcBorders>
              <w:top w:val="nil"/>
              <w:left w:val="nil"/>
              <w:bottom w:val="single" w:sz="4" w:space="0" w:color="auto"/>
              <w:right w:val="single" w:sz="4" w:space="0" w:color="auto"/>
            </w:tcBorders>
            <w:shd w:val="clear" w:color="auto" w:fill="auto"/>
            <w:hideMark/>
          </w:tcPr>
          <w:p w14:paraId="4A5B3FC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Calculated Incentives</w:t>
            </w:r>
          </w:p>
        </w:tc>
        <w:tc>
          <w:tcPr>
            <w:tcW w:w="1310" w:type="dxa"/>
            <w:tcBorders>
              <w:top w:val="nil"/>
              <w:left w:val="nil"/>
              <w:bottom w:val="single" w:sz="4" w:space="0" w:color="auto"/>
              <w:right w:val="single" w:sz="4" w:space="0" w:color="auto"/>
            </w:tcBorders>
            <w:shd w:val="clear" w:color="auto" w:fill="auto"/>
            <w:hideMark/>
          </w:tcPr>
          <w:p w14:paraId="29AACCE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1882727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F6DDE79"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4FCBE5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F1F0F8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13B21D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48E01D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Energy Efficiency Programs</w:t>
            </w:r>
          </w:p>
        </w:tc>
      </w:tr>
      <w:tr w:rsidR="008A00FB" w:rsidRPr="008A00FB" w14:paraId="2D8F2CDC"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48D2900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0EBC2D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PGE210211</w:t>
            </w:r>
          </w:p>
        </w:tc>
        <w:tc>
          <w:tcPr>
            <w:tcW w:w="2560" w:type="dxa"/>
            <w:tcBorders>
              <w:top w:val="nil"/>
              <w:left w:val="nil"/>
              <w:bottom w:val="single" w:sz="4" w:space="0" w:color="auto"/>
              <w:right w:val="single" w:sz="4" w:space="0" w:color="auto"/>
            </w:tcBorders>
            <w:shd w:val="clear" w:color="auto" w:fill="auto"/>
            <w:hideMark/>
          </w:tcPr>
          <w:p w14:paraId="7F9EA6B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Light Industrial Energy Efficiency</w:t>
            </w:r>
          </w:p>
        </w:tc>
        <w:tc>
          <w:tcPr>
            <w:tcW w:w="1310" w:type="dxa"/>
            <w:tcBorders>
              <w:top w:val="nil"/>
              <w:left w:val="nil"/>
              <w:bottom w:val="single" w:sz="4" w:space="0" w:color="auto"/>
              <w:right w:val="single" w:sz="4" w:space="0" w:color="auto"/>
            </w:tcBorders>
            <w:shd w:val="clear" w:color="auto" w:fill="auto"/>
            <w:hideMark/>
          </w:tcPr>
          <w:p w14:paraId="046DC66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0261C2E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7B7FBF95"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2017</w:t>
            </w:r>
          </w:p>
        </w:tc>
        <w:tc>
          <w:tcPr>
            <w:tcW w:w="866" w:type="dxa"/>
            <w:tcBorders>
              <w:top w:val="nil"/>
              <w:left w:val="nil"/>
              <w:bottom w:val="single" w:sz="4" w:space="0" w:color="auto"/>
              <w:right w:val="single" w:sz="4" w:space="0" w:color="auto"/>
            </w:tcBorders>
            <w:shd w:val="clear" w:color="auto" w:fill="auto"/>
            <w:hideMark/>
          </w:tcPr>
          <w:p w14:paraId="6EE5ADE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C4CF0D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DD79B1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365A59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Industrial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15494FBD"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8B8CFE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150DDFC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PGE21031</w:t>
            </w:r>
          </w:p>
        </w:tc>
        <w:tc>
          <w:tcPr>
            <w:tcW w:w="2560" w:type="dxa"/>
            <w:tcBorders>
              <w:top w:val="nil"/>
              <w:left w:val="nil"/>
              <w:bottom w:val="single" w:sz="4" w:space="0" w:color="auto"/>
              <w:right w:val="single" w:sz="4" w:space="0" w:color="auto"/>
            </w:tcBorders>
            <w:shd w:val="clear" w:color="auto" w:fill="auto"/>
            <w:hideMark/>
          </w:tcPr>
          <w:p w14:paraId="504E10C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Calculated Incentives</w:t>
            </w:r>
          </w:p>
        </w:tc>
        <w:tc>
          <w:tcPr>
            <w:tcW w:w="1310" w:type="dxa"/>
            <w:tcBorders>
              <w:top w:val="nil"/>
              <w:left w:val="nil"/>
              <w:bottom w:val="single" w:sz="4" w:space="0" w:color="auto"/>
              <w:right w:val="single" w:sz="4" w:space="0" w:color="auto"/>
            </w:tcBorders>
            <w:shd w:val="clear" w:color="auto" w:fill="auto"/>
            <w:hideMark/>
          </w:tcPr>
          <w:p w14:paraId="5DE7AE4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1C16259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8AD3AD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8B654C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5DED22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F0DBEA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D58DDF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Energy Efficiency Programs</w:t>
            </w:r>
          </w:p>
        </w:tc>
      </w:tr>
      <w:tr w:rsidR="008A00FB" w:rsidRPr="008A00FB" w14:paraId="00D4BFED"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3884BFC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7BF19E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PGE210312</w:t>
            </w:r>
          </w:p>
        </w:tc>
        <w:tc>
          <w:tcPr>
            <w:tcW w:w="2560" w:type="dxa"/>
            <w:tcBorders>
              <w:top w:val="nil"/>
              <w:left w:val="nil"/>
              <w:bottom w:val="single" w:sz="4" w:space="0" w:color="auto"/>
              <w:right w:val="single" w:sz="4" w:space="0" w:color="auto"/>
            </w:tcBorders>
            <w:shd w:val="clear" w:color="auto" w:fill="auto"/>
            <w:hideMark/>
          </w:tcPr>
          <w:p w14:paraId="5950909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Dairy and Winery Industry Efficiency Solutions</w:t>
            </w:r>
          </w:p>
        </w:tc>
        <w:tc>
          <w:tcPr>
            <w:tcW w:w="1310" w:type="dxa"/>
            <w:tcBorders>
              <w:top w:val="nil"/>
              <w:left w:val="nil"/>
              <w:bottom w:val="single" w:sz="4" w:space="0" w:color="auto"/>
              <w:right w:val="single" w:sz="4" w:space="0" w:color="auto"/>
            </w:tcBorders>
            <w:shd w:val="clear" w:color="auto" w:fill="auto"/>
            <w:hideMark/>
          </w:tcPr>
          <w:p w14:paraId="02C9135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76F7691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C885116"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49B716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A5AC0B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A88C75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C53AB0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Agricultural </w:t>
            </w:r>
            <w:proofErr w:type="gramStart"/>
            <w:r w:rsidRPr="008A00FB">
              <w:rPr>
                <w:rFonts w:eastAsia="Times New Roman" w:cs="Arial"/>
                <w:color w:val="000000"/>
                <w:sz w:val="16"/>
                <w:szCs w:val="16"/>
              </w:rPr>
              <w:t>Third Party</w:t>
            </w:r>
            <w:proofErr w:type="gramEnd"/>
            <w:r w:rsidRPr="008A00FB">
              <w:rPr>
                <w:rFonts w:eastAsia="Times New Roman" w:cs="Arial"/>
                <w:color w:val="000000"/>
                <w:sz w:val="16"/>
                <w:szCs w:val="16"/>
              </w:rPr>
              <w:t xml:space="preserve"> Programs</w:t>
            </w:r>
          </w:p>
        </w:tc>
      </w:tr>
      <w:tr w:rsidR="008A00FB" w:rsidRPr="008A00FB" w14:paraId="1754F6CE"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CD3AA2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5F33B02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PGE21032</w:t>
            </w:r>
          </w:p>
        </w:tc>
        <w:tc>
          <w:tcPr>
            <w:tcW w:w="2560" w:type="dxa"/>
            <w:tcBorders>
              <w:top w:val="nil"/>
              <w:left w:val="nil"/>
              <w:bottom w:val="single" w:sz="4" w:space="0" w:color="auto"/>
              <w:right w:val="single" w:sz="4" w:space="0" w:color="auto"/>
            </w:tcBorders>
            <w:shd w:val="clear" w:color="auto" w:fill="auto"/>
            <w:hideMark/>
          </w:tcPr>
          <w:p w14:paraId="5CFA861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Deemed Incentives</w:t>
            </w:r>
          </w:p>
        </w:tc>
        <w:tc>
          <w:tcPr>
            <w:tcW w:w="1310" w:type="dxa"/>
            <w:tcBorders>
              <w:top w:val="nil"/>
              <w:left w:val="nil"/>
              <w:bottom w:val="single" w:sz="4" w:space="0" w:color="auto"/>
              <w:right w:val="single" w:sz="4" w:space="0" w:color="auto"/>
            </w:tcBorders>
            <w:shd w:val="clear" w:color="auto" w:fill="auto"/>
            <w:hideMark/>
          </w:tcPr>
          <w:p w14:paraId="11F6EE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4931559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4AE9ED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A113F8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42BFF81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CCD3F7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909C84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Energy Efficiency Programs</w:t>
            </w:r>
          </w:p>
        </w:tc>
      </w:tr>
      <w:tr w:rsidR="008A00FB" w:rsidRPr="008A00FB" w14:paraId="26C5523B"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318CFA5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086D2D6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PGE21034</w:t>
            </w:r>
          </w:p>
        </w:tc>
        <w:tc>
          <w:tcPr>
            <w:tcW w:w="2560" w:type="dxa"/>
            <w:tcBorders>
              <w:top w:val="nil"/>
              <w:left w:val="nil"/>
              <w:bottom w:val="single" w:sz="4" w:space="0" w:color="auto"/>
              <w:right w:val="single" w:sz="4" w:space="0" w:color="auto"/>
            </w:tcBorders>
            <w:shd w:val="clear" w:color="auto" w:fill="auto"/>
            <w:hideMark/>
          </w:tcPr>
          <w:p w14:paraId="5F73B90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Energy Advisor</w:t>
            </w:r>
          </w:p>
        </w:tc>
        <w:tc>
          <w:tcPr>
            <w:tcW w:w="1310" w:type="dxa"/>
            <w:tcBorders>
              <w:top w:val="nil"/>
              <w:left w:val="nil"/>
              <w:bottom w:val="single" w:sz="4" w:space="0" w:color="auto"/>
              <w:right w:val="single" w:sz="4" w:space="0" w:color="auto"/>
            </w:tcBorders>
            <w:shd w:val="clear" w:color="auto" w:fill="auto"/>
            <w:hideMark/>
          </w:tcPr>
          <w:p w14:paraId="758E685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73456B7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4938349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C46F4B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926616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D095B0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AF57CE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 Energy Efficiency Programs</w:t>
            </w:r>
          </w:p>
        </w:tc>
      </w:tr>
      <w:tr w:rsidR="008A00FB" w:rsidRPr="008A00FB" w14:paraId="45D0C137"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AF070A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w:t>
            </w:r>
          </w:p>
        </w:tc>
        <w:tc>
          <w:tcPr>
            <w:tcW w:w="1380" w:type="dxa"/>
            <w:tcBorders>
              <w:top w:val="nil"/>
              <w:left w:val="nil"/>
              <w:bottom w:val="single" w:sz="4" w:space="0" w:color="auto"/>
              <w:right w:val="single" w:sz="4" w:space="0" w:color="auto"/>
            </w:tcBorders>
            <w:shd w:val="clear" w:color="auto" w:fill="auto"/>
            <w:hideMark/>
          </w:tcPr>
          <w:p w14:paraId="751DD07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PGE21042</w:t>
            </w:r>
          </w:p>
        </w:tc>
        <w:tc>
          <w:tcPr>
            <w:tcW w:w="2560" w:type="dxa"/>
            <w:tcBorders>
              <w:top w:val="nil"/>
              <w:left w:val="nil"/>
              <w:bottom w:val="single" w:sz="4" w:space="0" w:color="auto"/>
              <w:right w:val="single" w:sz="4" w:space="0" w:color="auto"/>
            </w:tcBorders>
            <w:shd w:val="clear" w:color="auto" w:fill="auto"/>
            <w:hideMark/>
          </w:tcPr>
          <w:p w14:paraId="13D3485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Lighting Innovation</w:t>
            </w:r>
          </w:p>
        </w:tc>
        <w:tc>
          <w:tcPr>
            <w:tcW w:w="1310" w:type="dxa"/>
            <w:tcBorders>
              <w:top w:val="nil"/>
              <w:left w:val="nil"/>
              <w:bottom w:val="single" w:sz="4" w:space="0" w:color="auto"/>
              <w:right w:val="single" w:sz="4" w:space="0" w:color="auto"/>
            </w:tcBorders>
            <w:shd w:val="clear" w:color="auto" w:fill="auto"/>
            <w:hideMark/>
          </w:tcPr>
          <w:p w14:paraId="2B8BD74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2ECD865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DA6C9F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29FAC5A"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2020</w:t>
            </w:r>
          </w:p>
        </w:tc>
        <w:tc>
          <w:tcPr>
            <w:tcW w:w="1132" w:type="dxa"/>
            <w:tcBorders>
              <w:top w:val="nil"/>
              <w:left w:val="nil"/>
              <w:bottom w:val="single" w:sz="4" w:space="0" w:color="auto"/>
              <w:right w:val="single" w:sz="4" w:space="0" w:color="auto"/>
            </w:tcBorders>
            <w:shd w:val="clear" w:color="auto" w:fill="auto"/>
            <w:hideMark/>
          </w:tcPr>
          <w:p w14:paraId="62A3D06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C676A8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566D9A9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Lighting Energy Efficiency Programs</w:t>
            </w:r>
          </w:p>
        </w:tc>
      </w:tr>
      <w:tr w:rsidR="008A00FB" w:rsidRPr="008A00FB" w14:paraId="2880C91F"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491287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7FC9E34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SCE-13-SW-002B</w:t>
            </w:r>
          </w:p>
        </w:tc>
        <w:tc>
          <w:tcPr>
            <w:tcW w:w="2560" w:type="dxa"/>
            <w:tcBorders>
              <w:top w:val="nil"/>
              <w:left w:val="nil"/>
              <w:bottom w:val="single" w:sz="4" w:space="0" w:color="auto"/>
              <w:right w:val="single" w:sz="4" w:space="0" w:color="auto"/>
            </w:tcBorders>
            <w:shd w:val="clear" w:color="auto" w:fill="auto"/>
            <w:hideMark/>
          </w:tcPr>
          <w:p w14:paraId="7F21CFD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Calculated Program</w:t>
            </w:r>
          </w:p>
        </w:tc>
        <w:tc>
          <w:tcPr>
            <w:tcW w:w="1310" w:type="dxa"/>
            <w:tcBorders>
              <w:top w:val="nil"/>
              <w:left w:val="nil"/>
              <w:bottom w:val="single" w:sz="4" w:space="0" w:color="auto"/>
              <w:right w:val="single" w:sz="4" w:space="0" w:color="auto"/>
            </w:tcBorders>
            <w:shd w:val="clear" w:color="auto" w:fill="auto"/>
            <w:hideMark/>
          </w:tcPr>
          <w:p w14:paraId="4F30823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2FF661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6AFC8DD1"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5D988B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55F46E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510FE8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0800F9E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3E409D26"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FB083C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61BD2BA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SCE-13-SW-002C</w:t>
            </w:r>
          </w:p>
        </w:tc>
        <w:tc>
          <w:tcPr>
            <w:tcW w:w="2560" w:type="dxa"/>
            <w:tcBorders>
              <w:top w:val="nil"/>
              <w:left w:val="nil"/>
              <w:bottom w:val="single" w:sz="4" w:space="0" w:color="auto"/>
              <w:right w:val="single" w:sz="4" w:space="0" w:color="auto"/>
            </w:tcBorders>
            <w:shd w:val="clear" w:color="auto" w:fill="auto"/>
            <w:hideMark/>
          </w:tcPr>
          <w:p w14:paraId="313FCFE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Deemed Incentives Program</w:t>
            </w:r>
          </w:p>
        </w:tc>
        <w:tc>
          <w:tcPr>
            <w:tcW w:w="1310" w:type="dxa"/>
            <w:tcBorders>
              <w:top w:val="nil"/>
              <w:left w:val="nil"/>
              <w:bottom w:val="single" w:sz="4" w:space="0" w:color="auto"/>
              <w:right w:val="single" w:sz="4" w:space="0" w:color="auto"/>
            </w:tcBorders>
            <w:shd w:val="clear" w:color="auto" w:fill="auto"/>
            <w:hideMark/>
          </w:tcPr>
          <w:p w14:paraId="78169F0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6E0143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D74EDEE"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9D89CC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603458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DB0248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09773BD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3EFDA5F2"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4FD98B0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67B8602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SCE-13-SW-002D</w:t>
            </w:r>
          </w:p>
        </w:tc>
        <w:tc>
          <w:tcPr>
            <w:tcW w:w="2560" w:type="dxa"/>
            <w:tcBorders>
              <w:top w:val="nil"/>
              <w:left w:val="nil"/>
              <w:bottom w:val="single" w:sz="4" w:space="0" w:color="auto"/>
              <w:right w:val="single" w:sz="4" w:space="0" w:color="auto"/>
            </w:tcBorders>
            <w:shd w:val="clear" w:color="auto" w:fill="auto"/>
            <w:hideMark/>
          </w:tcPr>
          <w:p w14:paraId="274E216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Direct Install Program</w:t>
            </w:r>
          </w:p>
        </w:tc>
        <w:tc>
          <w:tcPr>
            <w:tcW w:w="1310" w:type="dxa"/>
            <w:tcBorders>
              <w:top w:val="nil"/>
              <w:left w:val="nil"/>
              <w:bottom w:val="single" w:sz="4" w:space="0" w:color="auto"/>
              <w:right w:val="single" w:sz="4" w:space="0" w:color="auto"/>
            </w:tcBorders>
            <w:shd w:val="clear" w:color="auto" w:fill="auto"/>
            <w:hideMark/>
          </w:tcPr>
          <w:p w14:paraId="7B64F0D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6A795D2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4CF849CF"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C34687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1983DA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10325BA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76F20D8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6562D254"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23D40DD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lastRenderedPageBreak/>
              <w:t>SCE</w:t>
            </w:r>
          </w:p>
        </w:tc>
        <w:tc>
          <w:tcPr>
            <w:tcW w:w="1380" w:type="dxa"/>
            <w:tcBorders>
              <w:top w:val="nil"/>
              <w:left w:val="nil"/>
              <w:bottom w:val="single" w:sz="4" w:space="0" w:color="auto"/>
              <w:right w:val="single" w:sz="4" w:space="0" w:color="auto"/>
            </w:tcBorders>
            <w:shd w:val="clear" w:color="auto" w:fill="auto"/>
            <w:hideMark/>
          </w:tcPr>
          <w:p w14:paraId="1924555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SCE-13-SW-002F</w:t>
            </w:r>
          </w:p>
        </w:tc>
        <w:tc>
          <w:tcPr>
            <w:tcW w:w="2560" w:type="dxa"/>
            <w:tcBorders>
              <w:top w:val="nil"/>
              <w:left w:val="nil"/>
              <w:bottom w:val="single" w:sz="4" w:space="0" w:color="auto"/>
              <w:right w:val="single" w:sz="4" w:space="0" w:color="auto"/>
            </w:tcBorders>
            <w:shd w:val="clear" w:color="auto" w:fill="auto"/>
            <w:hideMark/>
          </w:tcPr>
          <w:p w14:paraId="21EAA8B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Nonresidential HVAC Program</w:t>
            </w:r>
          </w:p>
        </w:tc>
        <w:tc>
          <w:tcPr>
            <w:tcW w:w="1310" w:type="dxa"/>
            <w:tcBorders>
              <w:top w:val="nil"/>
              <w:left w:val="nil"/>
              <w:bottom w:val="single" w:sz="4" w:space="0" w:color="auto"/>
              <w:right w:val="single" w:sz="4" w:space="0" w:color="auto"/>
            </w:tcBorders>
            <w:shd w:val="clear" w:color="auto" w:fill="auto"/>
            <w:hideMark/>
          </w:tcPr>
          <w:p w14:paraId="42578AF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379E8D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Transformation</w:t>
            </w:r>
          </w:p>
        </w:tc>
        <w:tc>
          <w:tcPr>
            <w:tcW w:w="928" w:type="dxa"/>
            <w:tcBorders>
              <w:top w:val="nil"/>
              <w:left w:val="nil"/>
              <w:bottom w:val="single" w:sz="4" w:space="0" w:color="auto"/>
              <w:right w:val="single" w:sz="4" w:space="0" w:color="auto"/>
            </w:tcBorders>
            <w:shd w:val="clear" w:color="auto" w:fill="auto"/>
            <w:hideMark/>
          </w:tcPr>
          <w:p w14:paraId="66E636C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8D1473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FA6D72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3298B4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3BD13EC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48C376EA"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1B2BBF8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785F5DC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SCE-13-SW-002G</w:t>
            </w:r>
          </w:p>
        </w:tc>
        <w:tc>
          <w:tcPr>
            <w:tcW w:w="2560" w:type="dxa"/>
            <w:tcBorders>
              <w:top w:val="nil"/>
              <w:left w:val="nil"/>
              <w:bottom w:val="single" w:sz="4" w:space="0" w:color="auto"/>
              <w:right w:val="single" w:sz="4" w:space="0" w:color="auto"/>
            </w:tcBorders>
            <w:shd w:val="clear" w:color="auto" w:fill="auto"/>
            <w:hideMark/>
          </w:tcPr>
          <w:p w14:paraId="7D9E97C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Savings By Design</w:t>
            </w:r>
          </w:p>
        </w:tc>
        <w:tc>
          <w:tcPr>
            <w:tcW w:w="1310" w:type="dxa"/>
            <w:tcBorders>
              <w:top w:val="nil"/>
              <w:left w:val="nil"/>
              <w:bottom w:val="single" w:sz="4" w:space="0" w:color="auto"/>
              <w:right w:val="single" w:sz="4" w:space="0" w:color="auto"/>
            </w:tcBorders>
            <w:shd w:val="clear" w:color="auto" w:fill="auto"/>
            <w:hideMark/>
          </w:tcPr>
          <w:p w14:paraId="4831958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141DC4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New Construction</w:t>
            </w:r>
          </w:p>
        </w:tc>
        <w:tc>
          <w:tcPr>
            <w:tcW w:w="928" w:type="dxa"/>
            <w:tcBorders>
              <w:top w:val="nil"/>
              <w:left w:val="nil"/>
              <w:bottom w:val="single" w:sz="4" w:space="0" w:color="auto"/>
              <w:right w:val="single" w:sz="4" w:space="0" w:color="auto"/>
            </w:tcBorders>
            <w:shd w:val="clear" w:color="auto" w:fill="auto"/>
            <w:hideMark/>
          </w:tcPr>
          <w:p w14:paraId="46AC0B7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5140001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F50268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B153B2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588A329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60B70BE0"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DB5C15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10C78B7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SCE-13-SW-002H</w:t>
            </w:r>
          </w:p>
        </w:tc>
        <w:tc>
          <w:tcPr>
            <w:tcW w:w="2560" w:type="dxa"/>
            <w:tcBorders>
              <w:top w:val="nil"/>
              <w:left w:val="nil"/>
              <w:bottom w:val="single" w:sz="4" w:space="0" w:color="auto"/>
              <w:right w:val="single" w:sz="4" w:space="0" w:color="auto"/>
            </w:tcBorders>
            <w:shd w:val="clear" w:color="auto" w:fill="auto"/>
            <w:hideMark/>
          </w:tcPr>
          <w:p w14:paraId="523D173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Midstream Point of Purchase Program</w:t>
            </w:r>
          </w:p>
        </w:tc>
        <w:tc>
          <w:tcPr>
            <w:tcW w:w="1310" w:type="dxa"/>
            <w:tcBorders>
              <w:top w:val="nil"/>
              <w:left w:val="nil"/>
              <w:bottom w:val="single" w:sz="4" w:space="0" w:color="auto"/>
              <w:right w:val="single" w:sz="4" w:space="0" w:color="auto"/>
            </w:tcBorders>
            <w:shd w:val="clear" w:color="auto" w:fill="auto"/>
            <w:hideMark/>
          </w:tcPr>
          <w:p w14:paraId="0CAF5B9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E5875F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62B21F41"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2017</w:t>
            </w:r>
          </w:p>
        </w:tc>
        <w:tc>
          <w:tcPr>
            <w:tcW w:w="866" w:type="dxa"/>
            <w:tcBorders>
              <w:top w:val="nil"/>
              <w:left w:val="nil"/>
              <w:bottom w:val="single" w:sz="4" w:space="0" w:color="auto"/>
              <w:right w:val="single" w:sz="4" w:space="0" w:color="auto"/>
            </w:tcBorders>
            <w:shd w:val="clear" w:color="auto" w:fill="auto"/>
            <w:hideMark/>
          </w:tcPr>
          <w:p w14:paraId="6665E5F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E3511E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2595F2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19A4C21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Commercial Energy Efficiency Program</w:t>
            </w:r>
          </w:p>
        </w:tc>
      </w:tr>
      <w:tr w:rsidR="008A00FB" w:rsidRPr="008A00FB" w14:paraId="43EF9D11"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94F859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2AC3C27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SCE-13-SW-003B</w:t>
            </w:r>
          </w:p>
        </w:tc>
        <w:tc>
          <w:tcPr>
            <w:tcW w:w="2560" w:type="dxa"/>
            <w:tcBorders>
              <w:top w:val="nil"/>
              <w:left w:val="nil"/>
              <w:bottom w:val="single" w:sz="4" w:space="0" w:color="auto"/>
              <w:right w:val="single" w:sz="4" w:space="0" w:color="auto"/>
            </w:tcBorders>
            <w:shd w:val="clear" w:color="auto" w:fill="auto"/>
            <w:hideMark/>
          </w:tcPr>
          <w:p w14:paraId="3307872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Calculated Energy Efficiency Program</w:t>
            </w:r>
          </w:p>
        </w:tc>
        <w:tc>
          <w:tcPr>
            <w:tcW w:w="1310" w:type="dxa"/>
            <w:tcBorders>
              <w:top w:val="nil"/>
              <w:left w:val="nil"/>
              <w:bottom w:val="single" w:sz="4" w:space="0" w:color="auto"/>
              <w:right w:val="single" w:sz="4" w:space="0" w:color="auto"/>
            </w:tcBorders>
            <w:shd w:val="clear" w:color="auto" w:fill="auto"/>
            <w:hideMark/>
          </w:tcPr>
          <w:p w14:paraId="42D8A0A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0B99384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01112C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A0A0FF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F1469D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9F8430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242F417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Industrial Energy Efficiency Program</w:t>
            </w:r>
          </w:p>
        </w:tc>
      </w:tr>
      <w:tr w:rsidR="008A00FB" w:rsidRPr="008A00FB" w14:paraId="44EA4FA9"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A69746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1AA3B4D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SCE-13-SW-004B</w:t>
            </w:r>
          </w:p>
        </w:tc>
        <w:tc>
          <w:tcPr>
            <w:tcW w:w="2560" w:type="dxa"/>
            <w:tcBorders>
              <w:top w:val="nil"/>
              <w:left w:val="nil"/>
              <w:bottom w:val="single" w:sz="4" w:space="0" w:color="auto"/>
              <w:right w:val="single" w:sz="4" w:space="0" w:color="auto"/>
            </w:tcBorders>
            <w:shd w:val="clear" w:color="auto" w:fill="auto"/>
            <w:hideMark/>
          </w:tcPr>
          <w:p w14:paraId="155C732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Agriculture Calculated Energy Efficiency Program</w:t>
            </w:r>
          </w:p>
        </w:tc>
        <w:tc>
          <w:tcPr>
            <w:tcW w:w="1310" w:type="dxa"/>
            <w:tcBorders>
              <w:top w:val="nil"/>
              <w:left w:val="nil"/>
              <w:bottom w:val="single" w:sz="4" w:space="0" w:color="auto"/>
              <w:right w:val="single" w:sz="4" w:space="0" w:color="auto"/>
            </w:tcBorders>
            <w:shd w:val="clear" w:color="auto" w:fill="auto"/>
            <w:hideMark/>
          </w:tcPr>
          <w:p w14:paraId="16BA154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7BCF1F8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3F97CF8"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53C2AE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046E6F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61A0C4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605556A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Agriculture Energy Efficiency Program</w:t>
            </w:r>
          </w:p>
        </w:tc>
      </w:tr>
      <w:tr w:rsidR="008A00FB" w:rsidRPr="008A00FB" w14:paraId="0F0D1DAB"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6BFEDE0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2B99D33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SCE-13-TP-003</w:t>
            </w:r>
          </w:p>
        </w:tc>
        <w:tc>
          <w:tcPr>
            <w:tcW w:w="2560" w:type="dxa"/>
            <w:tcBorders>
              <w:top w:val="nil"/>
              <w:left w:val="nil"/>
              <w:bottom w:val="single" w:sz="4" w:space="0" w:color="auto"/>
              <w:right w:val="single" w:sz="4" w:space="0" w:color="auto"/>
            </w:tcBorders>
            <w:shd w:val="clear" w:color="auto" w:fill="auto"/>
            <w:hideMark/>
          </w:tcPr>
          <w:p w14:paraId="4748E93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Healthcare EE Program</w:t>
            </w:r>
          </w:p>
        </w:tc>
        <w:tc>
          <w:tcPr>
            <w:tcW w:w="1310" w:type="dxa"/>
            <w:tcBorders>
              <w:top w:val="nil"/>
              <w:left w:val="nil"/>
              <w:bottom w:val="single" w:sz="4" w:space="0" w:color="auto"/>
              <w:right w:val="single" w:sz="4" w:space="0" w:color="auto"/>
            </w:tcBorders>
            <w:shd w:val="clear" w:color="auto" w:fill="auto"/>
            <w:hideMark/>
          </w:tcPr>
          <w:p w14:paraId="532846C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4B2F87D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797C587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25AC0F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EAAC28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3B95F0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497E584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3P Programs</w:t>
            </w:r>
          </w:p>
        </w:tc>
      </w:tr>
      <w:tr w:rsidR="008A00FB" w:rsidRPr="008A00FB" w14:paraId="3C469D38"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0537F15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4E32E76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SCE-13-TP-004</w:t>
            </w:r>
          </w:p>
        </w:tc>
        <w:tc>
          <w:tcPr>
            <w:tcW w:w="2560" w:type="dxa"/>
            <w:tcBorders>
              <w:top w:val="nil"/>
              <w:left w:val="nil"/>
              <w:bottom w:val="single" w:sz="4" w:space="0" w:color="auto"/>
              <w:right w:val="single" w:sz="4" w:space="0" w:color="auto"/>
            </w:tcBorders>
            <w:shd w:val="clear" w:color="auto" w:fill="auto"/>
            <w:hideMark/>
          </w:tcPr>
          <w:p w14:paraId="11E549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Data Center Energy Efficiency</w:t>
            </w:r>
          </w:p>
        </w:tc>
        <w:tc>
          <w:tcPr>
            <w:tcW w:w="1310" w:type="dxa"/>
            <w:tcBorders>
              <w:top w:val="nil"/>
              <w:left w:val="nil"/>
              <w:bottom w:val="single" w:sz="4" w:space="0" w:color="auto"/>
              <w:right w:val="single" w:sz="4" w:space="0" w:color="auto"/>
            </w:tcBorders>
            <w:shd w:val="clear" w:color="auto" w:fill="auto"/>
            <w:hideMark/>
          </w:tcPr>
          <w:p w14:paraId="2449DAC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4059FFD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7B7EFB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674CDF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A0E98A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087231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4B594F5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3P Programs</w:t>
            </w:r>
          </w:p>
        </w:tc>
      </w:tr>
      <w:tr w:rsidR="008A00FB" w:rsidRPr="008A00FB" w14:paraId="4432C3DB"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7C0A3F8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303474F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SCE-13-TP-005</w:t>
            </w:r>
          </w:p>
        </w:tc>
        <w:tc>
          <w:tcPr>
            <w:tcW w:w="2560" w:type="dxa"/>
            <w:tcBorders>
              <w:top w:val="nil"/>
              <w:left w:val="nil"/>
              <w:bottom w:val="single" w:sz="4" w:space="0" w:color="auto"/>
              <w:right w:val="single" w:sz="4" w:space="0" w:color="auto"/>
            </w:tcBorders>
            <w:shd w:val="clear" w:color="auto" w:fill="auto"/>
            <w:hideMark/>
          </w:tcPr>
          <w:p w14:paraId="6776F2E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Lodging EE Program</w:t>
            </w:r>
          </w:p>
        </w:tc>
        <w:tc>
          <w:tcPr>
            <w:tcW w:w="1310" w:type="dxa"/>
            <w:tcBorders>
              <w:top w:val="nil"/>
              <w:left w:val="nil"/>
              <w:bottom w:val="single" w:sz="4" w:space="0" w:color="auto"/>
              <w:right w:val="single" w:sz="4" w:space="0" w:color="auto"/>
            </w:tcBorders>
            <w:shd w:val="clear" w:color="auto" w:fill="auto"/>
            <w:hideMark/>
          </w:tcPr>
          <w:p w14:paraId="595262D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48A6856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3759B70F"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7D09C1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9009F1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918862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3CDEA37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35723993"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6A90936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4773D75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SCE-13-TP-006</w:t>
            </w:r>
          </w:p>
        </w:tc>
        <w:tc>
          <w:tcPr>
            <w:tcW w:w="2560" w:type="dxa"/>
            <w:tcBorders>
              <w:top w:val="nil"/>
              <w:left w:val="nil"/>
              <w:bottom w:val="single" w:sz="4" w:space="0" w:color="auto"/>
              <w:right w:val="single" w:sz="4" w:space="0" w:color="auto"/>
            </w:tcBorders>
            <w:shd w:val="clear" w:color="auto" w:fill="auto"/>
            <w:hideMark/>
          </w:tcPr>
          <w:p w14:paraId="421A222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Food &amp; Kindred Products</w:t>
            </w:r>
          </w:p>
        </w:tc>
        <w:tc>
          <w:tcPr>
            <w:tcW w:w="1310" w:type="dxa"/>
            <w:tcBorders>
              <w:top w:val="nil"/>
              <w:left w:val="nil"/>
              <w:bottom w:val="single" w:sz="4" w:space="0" w:color="auto"/>
              <w:right w:val="single" w:sz="4" w:space="0" w:color="auto"/>
            </w:tcBorders>
            <w:shd w:val="clear" w:color="auto" w:fill="auto"/>
            <w:hideMark/>
          </w:tcPr>
          <w:p w14:paraId="7F9C959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3524C6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EE8E958"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84CC70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47B831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A248F2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67940AE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3C382B10"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7A177C1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7200675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SCE-13-TP-007</w:t>
            </w:r>
          </w:p>
        </w:tc>
        <w:tc>
          <w:tcPr>
            <w:tcW w:w="2560" w:type="dxa"/>
            <w:tcBorders>
              <w:top w:val="nil"/>
              <w:left w:val="nil"/>
              <w:bottom w:val="single" w:sz="4" w:space="0" w:color="auto"/>
              <w:right w:val="single" w:sz="4" w:space="0" w:color="auto"/>
            </w:tcBorders>
            <w:shd w:val="clear" w:color="auto" w:fill="auto"/>
            <w:hideMark/>
          </w:tcPr>
          <w:p w14:paraId="1488EDC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Primary and Fabricated Metals</w:t>
            </w:r>
          </w:p>
        </w:tc>
        <w:tc>
          <w:tcPr>
            <w:tcW w:w="1310" w:type="dxa"/>
            <w:tcBorders>
              <w:top w:val="nil"/>
              <w:left w:val="nil"/>
              <w:bottom w:val="single" w:sz="4" w:space="0" w:color="auto"/>
              <w:right w:val="single" w:sz="4" w:space="0" w:color="auto"/>
            </w:tcBorders>
            <w:shd w:val="clear" w:color="auto" w:fill="auto"/>
            <w:hideMark/>
          </w:tcPr>
          <w:p w14:paraId="641723F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66CC974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1D51826"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70C45F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CE4FE9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1830BF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3B6F69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01453884"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51D8CF8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059DD87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SCE-13-TP-008</w:t>
            </w:r>
          </w:p>
        </w:tc>
        <w:tc>
          <w:tcPr>
            <w:tcW w:w="2560" w:type="dxa"/>
            <w:tcBorders>
              <w:top w:val="nil"/>
              <w:left w:val="nil"/>
              <w:bottom w:val="single" w:sz="4" w:space="0" w:color="auto"/>
              <w:right w:val="single" w:sz="4" w:space="0" w:color="auto"/>
            </w:tcBorders>
            <w:shd w:val="clear" w:color="auto" w:fill="auto"/>
            <w:hideMark/>
          </w:tcPr>
          <w:p w14:paraId="13861B1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Nonmetallic Minerals and Products</w:t>
            </w:r>
          </w:p>
        </w:tc>
        <w:tc>
          <w:tcPr>
            <w:tcW w:w="1310" w:type="dxa"/>
            <w:tcBorders>
              <w:top w:val="nil"/>
              <w:left w:val="nil"/>
              <w:bottom w:val="single" w:sz="4" w:space="0" w:color="auto"/>
              <w:right w:val="single" w:sz="4" w:space="0" w:color="auto"/>
            </w:tcBorders>
            <w:shd w:val="clear" w:color="auto" w:fill="auto"/>
            <w:hideMark/>
          </w:tcPr>
          <w:p w14:paraId="1AC9C3E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496D558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275EE83"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14BD75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59187A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EA61B0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256726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718C3CF0"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5795C0F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2719D47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SCE-13-TP-009</w:t>
            </w:r>
          </w:p>
        </w:tc>
        <w:tc>
          <w:tcPr>
            <w:tcW w:w="2560" w:type="dxa"/>
            <w:tcBorders>
              <w:top w:val="nil"/>
              <w:left w:val="nil"/>
              <w:bottom w:val="single" w:sz="4" w:space="0" w:color="auto"/>
              <w:right w:val="single" w:sz="4" w:space="0" w:color="auto"/>
            </w:tcBorders>
            <w:shd w:val="clear" w:color="auto" w:fill="auto"/>
            <w:hideMark/>
          </w:tcPr>
          <w:p w14:paraId="24F80E9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Comprehensive Chemical Products</w:t>
            </w:r>
          </w:p>
        </w:tc>
        <w:tc>
          <w:tcPr>
            <w:tcW w:w="1310" w:type="dxa"/>
            <w:tcBorders>
              <w:top w:val="nil"/>
              <w:left w:val="nil"/>
              <w:bottom w:val="single" w:sz="4" w:space="0" w:color="auto"/>
              <w:right w:val="single" w:sz="4" w:space="0" w:color="auto"/>
            </w:tcBorders>
            <w:shd w:val="clear" w:color="auto" w:fill="auto"/>
            <w:hideMark/>
          </w:tcPr>
          <w:p w14:paraId="5B55071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67FD820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3711DE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5941F7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E87490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531BDA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10463C8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26822D70"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2C0AAAB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3044EFB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SCE-13-TP-010</w:t>
            </w:r>
          </w:p>
        </w:tc>
        <w:tc>
          <w:tcPr>
            <w:tcW w:w="2560" w:type="dxa"/>
            <w:tcBorders>
              <w:top w:val="nil"/>
              <w:left w:val="nil"/>
              <w:bottom w:val="single" w:sz="4" w:space="0" w:color="auto"/>
              <w:right w:val="single" w:sz="4" w:space="0" w:color="auto"/>
            </w:tcBorders>
            <w:shd w:val="clear" w:color="auto" w:fill="auto"/>
            <w:hideMark/>
          </w:tcPr>
          <w:p w14:paraId="5FAC741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Comprehensive Petroleum Refining</w:t>
            </w:r>
          </w:p>
        </w:tc>
        <w:tc>
          <w:tcPr>
            <w:tcW w:w="1310" w:type="dxa"/>
            <w:tcBorders>
              <w:top w:val="nil"/>
              <w:left w:val="nil"/>
              <w:bottom w:val="single" w:sz="4" w:space="0" w:color="auto"/>
              <w:right w:val="single" w:sz="4" w:space="0" w:color="auto"/>
            </w:tcBorders>
            <w:shd w:val="clear" w:color="auto" w:fill="auto"/>
            <w:hideMark/>
          </w:tcPr>
          <w:p w14:paraId="75EEED9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6A1EE75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3E9DFB1A"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DB6F00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E22553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2EF1FB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0A9F90C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2941B6DC"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6B15E0E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4162C9A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SCE-13-TP-011</w:t>
            </w:r>
          </w:p>
        </w:tc>
        <w:tc>
          <w:tcPr>
            <w:tcW w:w="2560" w:type="dxa"/>
            <w:tcBorders>
              <w:top w:val="nil"/>
              <w:left w:val="nil"/>
              <w:bottom w:val="single" w:sz="4" w:space="0" w:color="auto"/>
              <w:right w:val="single" w:sz="4" w:space="0" w:color="auto"/>
            </w:tcBorders>
            <w:shd w:val="clear" w:color="auto" w:fill="auto"/>
            <w:hideMark/>
          </w:tcPr>
          <w:p w14:paraId="05DDDDC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Oil Production</w:t>
            </w:r>
          </w:p>
        </w:tc>
        <w:tc>
          <w:tcPr>
            <w:tcW w:w="1310" w:type="dxa"/>
            <w:tcBorders>
              <w:top w:val="nil"/>
              <w:left w:val="nil"/>
              <w:bottom w:val="single" w:sz="4" w:space="0" w:color="auto"/>
              <w:right w:val="single" w:sz="4" w:space="0" w:color="auto"/>
            </w:tcBorders>
            <w:shd w:val="clear" w:color="auto" w:fill="auto"/>
            <w:hideMark/>
          </w:tcPr>
          <w:p w14:paraId="2B91452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7F15BAC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7FAC7D66"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753A8F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F85EFC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7C8D7C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3F0B22C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49CF173C"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910E0D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778ED73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SCE-13-TP-014</w:t>
            </w:r>
          </w:p>
        </w:tc>
        <w:tc>
          <w:tcPr>
            <w:tcW w:w="2560" w:type="dxa"/>
            <w:tcBorders>
              <w:top w:val="nil"/>
              <w:left w:val="nil"/>
              <w:bottom w:val="single" w:sz="4" w:space="0" w:color="auto"/>
              <w:right w:val="single" w:sz="4" w:space="0" w:color="auto"/>
            </w:tcBorders>
            <w:shd w:val="clear" w:color="auto" w:fill="auto"/>
            <w:hideMark/>
          </w:tcPr>
          <w:p w14:paraId="3DE473B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Utility Building Efficiency</w:t>
            </w:r>
          </w:p>
        </w:tc>
        <w:tc>
          <w:tcPr>
            <w:tcW w:w="1310" w:type="dxa"/>
            <w:tcBorders>
              <w:top w:val="nil"/>
              <w:left w:val="nil"/>
              <w:bottom w:val="single" w:sz="4" w:space="0" w:color="auto"/>
              <w:right w:val="single" w:sz="4" w:space="0" w:color="auto"/>
            </w:tcBorders>
            <w:shd w:val="clear" w:color="auto" w:fill="auto"/>
            <w:hideMark/>
          </w:tcPr>
          <w:p w14:paraId="0038EA3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227DD73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0B5F1EF"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F0F325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50B2F9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3ECC36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3D10D52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3P Programs</w:t>
            </w:r>
          </w:p>
        </w:tc>
      </w:tr>
      <w:tr w:rsidR="008A00FB" w:rsidRPr="008A00FB" w14:paraId="154A10FF"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28BB244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2E6A81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SCE-13-TP-020</w:t>
            </w:r>
          </w:p>
        </w:tc>
        <w:tc>
          <w:tcPr>
            <w:tcW w:w="2560" w:type="dxa"/>
            <w:tcBorders>
              <w:top w:val="nil"/>
              <w:left w:val="nil"/>
              <w:bottom w:val="single" w:sz="4" w:space="0" w:color="auto"/>
              <w:right w:val="single" w:sz="4" w:space="0" w:color="auto"/>
            </w:tcBorders>
            <w:shd w:val="clear" w:color="auto" w:fill="auto"/>
            <w:hideMark/>
          </w:tcPr>
          <w:p w14:paraId="46FF3AD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IDEEA365 Program</w:t>
            </w:r>
          </w:p>
        </w:tc>
        <w:tc>
          <w:tcPr>
            <w:tcW w:w="1310" w:type="dxa"/>
            <w:tcBorders>
              <w:top w:val="nil"/>
              <w:left w:val="nil"/>
              <w:bottom w:val="single" w:sz="4" w:space="0" w:color="auto"/>
              <w:right w:val="single" w:sz="4" w:space="0" w:color="auto"/>
            </w:tcBorders>
            <w:shd w:val="clear" w:color="auto" w:fill="auto"/>
            <w:hideMark/>
          </w:tcPr>
          <w:p w14:paraId="488169D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27C6B3E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CF15BE0"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25E4C8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6A9F08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44FE7AF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71C1078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Commercial/Industrial/Agricultural 3P Programs</w:t>
            </w:r>
          </w:p>
        </w:tc>
      </w:tr>
      <w:tr w:rsidR="008A00FB" w:rsidRPr="008A00FB" w14:paraId="411FDD44"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557AC96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628D21D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SCE-13-TP-021</w:t>
            </w:r>
          </w:p>
        </w:tc>
        <w:tc>
          <w:tcPr>
            <w:tcW w:w="2560" w:type="dxa"/>
            <w:tcBorders>
              <w:top w:val="nil"/>
              <w:left w:val="nil"/>
              <w:bottom w:val="single" w:sz="4" w:space="0" w:color="auto"/>
              <w:right w:val="single" w:sz="4" w:space="0" w:color="auto"/>
            </w:tcBorders>
            <w:shd w:val="clear" w:color="auto" w:fill="auto"/>
            <w:hideMark/>
          </w:tcPr>
          <w:p w14:paraId="5B57785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Enhanced Retrocommissioning</w:t>
            </w:r>
          </w:p>
        </w:tc>
        <w:tc>
          <w:tcPr>
            <w:tcW w:w="1310" w:type="dxa"/>
            <w:tcBorders>
              <w:top w:val="nil"/>
              <w:left w:val="nil"/>
              <w:bottom w:val="single" w:sz="4" w:space="0" w:color="auto"/>
              <w:right w:val="single" w:sz="4" w:space="0" w:color="auto"/>
            </w:tcBorders>
            <w:shd w:val="clear" w:color="auto" w:fill="auto"/>
            <w:hideMark/>
          </w:tcPr>
          <w:p w14:paraId="45B06F8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CB38AA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EDADEC4"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DA0E49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406E311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6B25DD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63C614F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 3P Programs</w:t>
            </w:r>
          </w:p>
        </w:tc>
      </w:tr>
      <w:tr w:rsidR="008A00FB" w:rsidRPr="008A00FB" w14:paraId="692B46E6"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E784BB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w:t>
            </w:r>
          </w:p>
        </w:tc>
        <w:tc>
          <w:tcPr>
            <w:tcW w:w="1380" w:type="dxa"/>
            <w:tcBorders>
              <w:top w:val="nil"/>
              <w:left w:val="nil"/>
              <w:bottom w:val="single" w:sz="4" w:space="0" w:color="auto"/>
              <w:right w:val="single" w:sz="4" w:space="0" w:color="auto"/>
            </w:tcBorders>
            <w:shd w:val="clear" w:color="auto" w:fill="auto"/>
            <w:hideMark/>
          </w:tcPr>
          <w:p w14:paraId="67FEDA9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SCE-13-TP-023</w:t>
            </w:r>
          </w:p>
        </w:tc>
        <w:tc>
          <w:tcPr>
            <w:tcW w:w="2560" w:type="dxa"/>
            <w:tcBorders>
              <w:top w:val="nil"/>
              <w:left w:val="nil"/>
              <w:bottom w:val="single" w:sz="4" w:space="0" w:color="auto"/>
              <w:right w:val="single" w:sz="4" w:space="0" w:color="auto"/>
            </w:tcBorders>
            <w:shd w:val="clear" w:color="auto" w:fill="auto"/>
            <w:hideMark/>
          </w:tcPr>
          <w:p w14:paraId="3715BF8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Midsize Industrial Customer Program</w:t>
            </w:r>
          </w:p>
        </w:tc>
        <w:tc>
          <w:tcPr>
            <w:tcW w:w="1310" w:type="dxa"/>
            <w:tcBorders>
              <w:top w:val="nil"/>
              <w:left w:val="nil"/>
              <w:bottom w:val="single" w:sz="4" w:space="0" w:color="auto"/>
              <w:right w:val="single" w:sz="4" w:space="0" w:color="auto"/>
            </w:tcBorders>
            <w:shd w:val="clear" w:color="auto" w:fill="auto"/>
            <w:hideMark/>
          </w:tcPr>
          <w:p w14:paraId="58619FF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3442C59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0A2D2D4"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2017</w:t>
            </w:r>
          </w:p>
        </w:tc>
        <w:tc>
          <w:tcPr>
            <w:tcW w:w="866" w:type="dxa"/>
            <w:tcBorders>
              <w:top w:val="nil"/>
              <w:left w:val="nil"/>
              <w:bottom w:val="single" w:sz="4" w:space="0" w:color="auto"/>
              <w:right w:val="single" w:sz="4" w:space="0" w:color="auto"/>
            </w:tcBorders>
            <w:shd w:val="clear" w:color="auto" w:fill="auto"/>
            <w:hideMark/>
          </w:tcPr>
          <w:p w14:paraId="017EBF8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685329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940152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4A7798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 3P Programs</w:t>
            </w:r>
          </w:p>
        </w:tc>
      </w:tr>
      <w:tr w:rsidR="008A00FB" w:rsidRPr="008A00FB" w14:paraId="6193CFAA"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3C4BE74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46F3929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SCG3708</w:t>
            </w:r>
          </w:p>
        </w:tc>
        <w:tc>
          <w:tcPr>
            <w:tcW w:w="2560" w:type="dxa"/>
            <w:tcBorders>
              <w:top w:val="nil"/>
              <w:left w:val="nil"/>
              <w:bottom w:val="single" w:sz="4" w:space="0" w:color="auto"/>
              <w:right w:val="single" w:sz="4" w:space="0" w:color="auto"/>
            </w:tcBorders>
            <w:shd w:val="clear" w:color="auto" w:fill="auto"/>
            <w:hideMark/>
          </w:tcPr>
          <w:p w14:paraId="094A720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COM-Energy Advisor</w:t>
            </w:r>
          </w:p>
        </w:tc>
        <w:tc>
          <w:tcPr>
            <w:tcW w:w="1310" w:type="dxa"/>
            <w:tcBorders>
              <w:top w:val="nil"/>
              <w:left w:val="nil"/>
              <w:bottom w:val="single" w:sz="4" w:space="0" w:color="auto"/>
              <w:right w:val="single" w:sz="4" w:space="0" w:color="auto"/>
            </w:tcBorders>
            <w:shd w:val="clear" w:color="auto" w:fill="auto"/>
            <w:hideMark/>
          </w:tcPr>
          <w:p w14:paraId="08048C7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18CC37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00335BB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D531B4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84A66C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1C2951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0DE0C8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6C12A879"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7E929C2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97E537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SCG3710</w:t>
            </w:r>
          </w:p>
        </w:tc>
        <w:tc>
          <w:tcPr>
            <w:tcW w:w="2560" w:type="dxa"/>
            <w:tcBorders>
              <w:top w:val="nil"/>
              <w:left w:val="nil"/>
              <w:bottom w:val="single" w:sz="4" w:space="0" w:color="auto"/>
              <w:right w:val="single" w:sz="4" w:space="0" w:color="auto"/>
            </w:tcBorders>
            <w:shd w:val="clear" w:color="auto" w:fill="auto"/>
            <w:hideMark/>
          </w:tcPr>
          <w:p w14:paraId="5E551CC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COM-Calculated Incentives</w:t>
            </w:r>
          </w:p>
        </w:tc>
        <w:tc>
          <w:tcPr>
            <w:tcW w:w="1310" w:type="dxa"/>
            <w:tcBorders>
              <w:top w:val="nil"/>
              <w:left w:val="nil"/>
              <w:bottom w:val="single" w:sz="4" w:space="0" w:color="auto"/>
              <w:right w:val="single" w:sz="4" w:space="0" w:color="auto"/>
            </w:tcBorders>
            <w:shd w:val="clear" w:color="auto" w:fill="auto"/>
            <w:hideMark/>
          </w:tcPr>
          <w:p w14:paraId="023EC82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D9063C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6751395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21294B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DE08BA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E47208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9B83D4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06812750"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22D61D3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0B2AEF1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SCG3711</w:t>
            </w:r>
          </w:p>
        </w:tc>
        <w:tc>
          <w:tcPr>
            <w:tcW w:w="2560" w:type="dxa"/>
            <w:tcBorders>
              <w:top w:val="nil"/>
              <w:left w:val="nil"/>
              <w:bottom w:val="single" w:sz="4" w:space="0" w:color="auto"/>
              <w:right w:val="single" w:sz="4" w:space="0" w:color="auto"/>
            </w:tcBorders>
            <w:shd w:val="clear" w:color="auto" w:fill="auto"/>
            <w:hideMark/>
          </w:tcPr>
          <w:p w14:paraId="09231CB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COM-Deemed Incentives</w:t>
            </w:r>
          </w:p>
        </w:tc>
        <w:tc>
          <w:tcPr>
            <w:tcW w:w="1310" w:type="dxa"/>
            <w:tcBorders>
              <w:top w:val="nil"/>
              <w:left w:val="nil"/>
              <w:bottom w:val="single" w:sz="4" w:space="0" w:color="auto"/>
              <w:right w:val="single" w:sz="4" w:space="0" w:color="auto"/>
            </w:tcBorders>
            <w:shd w:val="clear" w:color="auto" w:fill="auto"/>
            <w:hideMark/>
          </w:tcPr>
          <w:p w14:paraId="2311B71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9AA4EB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59B90E3"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C12216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E98CE4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1B9303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87CCAE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3ED4254A"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23CDD34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2A2FDD0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SCG3713</w:t>
            </w:r>
          </w:p>
        </w:tc>
        <w:tc>
          <w:tcPr>
            <w:tcW w:w="2560" w:type="dxa"/>
            <w:tcBorders>
              <w:top w:val="nil"/>
              <w:left w:val="nil"/>
              <w:bottom w:val="single" w:sz="4" w:space="0" w:color="auto"/>
              <w:right w:val="single" w:sz="4" w:space="0" w:color="auto"/>
            </w:tcBorders>
            <w:shd w:val="clear" w:color="auto" w:fill="auto"/>
            <w:hideMark/>
          </w:tcPr>
          <w:p w14:paraId="093F4E4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IND-Energy Advisor</w:t>
            </w:r>
          </w:p>
        </w:tc>
        <w:tc>
          <w:tcPr>
            <w:tcW w:w="1310" w:type="dxa"/>
            <w:tcBorders>
              <w:top w:val="nil"/>
              <w:left w:val="nil"/>
              <w:bottom w:val="single" w:sz="4" w:space="0" w:color="auto"/>
              <w:right w:val="single" w:sz="4" w:space="0" w:color="auto"/>
            </w:tcBorders>
            <w:shd w:val="clear" w:color="auto" w:fill="auto"/>
            <w:hideMark/>
          </w:tcPr>
          <w:p w14:paraId="5CA9DEF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7BDC85C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5604CC0E"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11507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ED6782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4BF89AD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B58F5A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789CB72F"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6BA74EC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lastRenderedPageBreak/>
              <w:t>SCG</w:t>
            </w:r>
          </w:p>
        </w:tc>
        <w:tc>
          <w:tcPr>
            <w:tcW w:w="1380" w:type="dxa"/>
            <w:tcBorders>
              <w:top w:val="nil"/>
              <w:left w:val="nil"/>
              <w:bottom w:val="single" w:sz="4" w:space="0" w:color="auto"/>
              <w:right w:val="single" w:sz="4" w:space="0" w:color="auto"/>
            </w:tcBorders>
            <w:shd w:val="clear" w:color="auto" w:fill="auto"/>
            <w:hideMark/>
          </w:tcPr>
          <w:p w14:paraId="0C85889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SCG3715</w:t>
            </w:r>
          </w:p>
        </w:tc>
        <w:tc>
          <w:tcPr>
            <w:tcW w:w="2560" w:type="dxa"/>
            <w:tcBorders>
              <w:top w:val="nil"/>
              <w:left w:val="nil"/>
              <w:bottom w:val="single" w:sz="4" w:space="0" w:color="auto"/>
              <w:right w:val="single" w:sz="4" w:space="0" w:color="auto"/>
            </w:tcBorders>
            <w:shd w:val="clear" w:color="auto" w:fill="auto"/>
            <w:hideMark/>
          </w:tcPr>
          <w:p w14:paraId="79D635D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IND-Calculated Incentives</w:t>
            </w:r>
          </w:p>
        </w:tc>
        <w:tc>
          <w:tcPr>
            <w:tcW w:w="1310" w:type="dxa"/>
            <w:tcBorders>
              <w:top w:val="nil"/>
              <w:left w:val="nil"/>
              <w:bottom w:val="single" w:sz="4" w:space="0" w:color="auto"/>
              <w:right w:val="single" w:sz="4" w:space="0" w:color="auto"/>
            </w:tcBorders>
            <w:shd w:val="clear" w:color="auto" w:fill="auto"/>
            <w:hideMark/>
          </w:tcPr>
          <w:p w14:paraId="29DD48C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293E174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4E0F7A26"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2CDD39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D3BA5F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A687CB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585C9D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459B219E"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2F2C78D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8259A9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SCG3716</w:t>
            </w:r>
          </w:p>
        </w:tc>
        <w:tc>
          <w:tcPr>
            <w:tcW w:w="2560" w:type="dxa"/>
            <w:tcBorders>
              <w:top w:val="nil"/>
              <w:left w:val="nil"/>
              <w:bottom w:val="single" w:sz="4" w:space="0" w:color="auto"/>
              <w:right w:val="single" w:sz="4" w:space="0" w:color="auto"/>
            </w:tcBorders>
            <w:shd w:val="clear" w:color="auto" w:fill="auto"/>
            <w:hideMark/>
          </w:tcPr>
          <w:p w14:paraId="35A95B3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IND-Deemed Incentives</w:t>
            </w:r>
          </w:p>
        </w:tc>
        <w:tc>
          <w:tcPr>
            <w:tcW w:w="1310" w:type="dxa"/>
            <w:tcBorders>
              <w:top w:val="nil"/>
              <w:left w:val="nil"/>
              <w:bottom w:val="single" w:sz="4" w:space="0" w:color="auto"/>
              <w:right w:val="single" w:sz="4" w:space="0" w:color="auto"/>
            </w:tcBorders>
            <w:shd w:val="clear" w:color="auto" w:fill="auto"/>
            <w:hideMark/>
          </w:tcPr>
          <w:p w14:paraId="3D1C3EB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7F9DE89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67F1A07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BA6799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C9410D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07F648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2403E1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35241725"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B6590C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326EF43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SCG3717</w:t>
            </w:r>
          </w:p>
        </w:tc>
        <w:tc>
          <w:tcPr>
            <w:tcW w:w="2560" w:type="dxa"/>
            <w:tcBorders>
              <w:top w:val="nil"/>
              <w:left w:val="nil"/>
              <w:bottom w:val="single" w:sz="4" w:space="0" w:color="auto"/>
              <w:right w:val="single" w:sz="4" w:space="0" w:color="auto"/>
            </w:tcBorders>
            <w:shd w:val="clear" w:color="auto" w:fill="auto"/>
            <w:hideMark/>
          </w:tcPr>
          <w:p w14:paraId="659C7D9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AG-Energy Advisor</w:t>
            </w:r>
          </w:p>
        </w:tc>
        <w:tc>
          <w:tcPr>
            <w:tcW w:w="1310" w:type="dxa"/>
            <w:tcBorders>
              <w:top w:val="nil"/>
              <w:left w:val="nil"/>
              <w:bottom w:val="single" w:sz="4" w:space="0" w:color="auto"/>
              <w:right w:val="single" w:sz="4" w:space="0" w:color="auto"/>
            </w:tcBorders>
            <w:shd w:val="clear" w:color="auto" w:fill="auto"/>
            <w:hideMark/>
          </w:tcPr>
          <w:p w14:paraId="3F8AAA8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45BCB80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73EC230E"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509B35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032EA8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44B98A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32CB4E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11B075CB"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4498C68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3403F11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SCG3719</w:t>
            </w:r>
          </w:p>
        </w:tc>
        <w:tc>
          <w:tcPr>
            <w:tcW w:w="2560" w:type="dxa"/>
            <w:tcBorders>
              <w:top w:val="nil"/>
              <w:left w:val="nil"/>
              <w:bottom w:val="single" w:sz="4" w:space="0" w:color="auto"/>
              <w:right w:val="single" w:sz="4" w:space="0" w:color="auto"/>
            </w:tcBorders>
            <w:shd w:val="clear" w:color="auto" w:fill="auto"/>
            <w:hideMark/>
          </w:tcPr>
          <w:p w14:paraId="1645025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AG-Calculated Incentives</w:t>
            </w:r>
          </w:p>
        </w:tc>
        <w:tc>
          <w:tcPr>
            <w:tcW w:w="1310" w:type="dxa"/>
            <w:tcBorders>
              <w:top w:val="nil"/>
              <w:left w:val="nil"/>
              <w:bottom w:val="single" w:sz="4" w:space="0" w:color="auto"/>
              <w:right w:val="single" w:sz="4" w:space="0" w:color="auto"/>
            </w:tcBorders>
            <w:shd w:val="clear" w:color="auto" w:fill="auto"/>
            <w:hideMark/>
          </w:tcPr>
          <w:p w14:paraId="70773DD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298C151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7E12890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8205BD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C700FD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A08C5F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6D9F41E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43903121"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39A3A0D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55D7B5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SCG3720</w:t>
            </w:r>
          </w:p>
        </w:tc>
        <w:tc>
          <w:tcPr>
            <w:tcW w:w="2560" w:type="dxa"/>
            <w:tcBorders>
              <w:top w:val="nil"/>
              <w:left w:val="nil"/>
              <w:bottom w:val="single" w:sz="4" w:space="0" w:color="auto"/>
              <w:right w:val="single" w:sz="4" w:space="0" w:color="auto"/>
            </w:tcBorders>
            <w:shd w:val="clear" w:color="auto" w:fill="auto"/>
            <w:hideMark/>
          </w:tcPr>
          <w:p w14:paraId="7E51BDC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AG-Deemed Incentives</w:t>
            </w:r>
          </w:p>
        </w:tc>
        <w:tc>
          <w:tcPr>
            <w:tcW w:w="1310" w:type="dxa"/>
            <w:tcBorders>
              <w:top w:val="nil"/>
              <w:left w:val="nil"/>
              <w:bottom w:val="single" w:sz="4" w:space="0" w:color="auto"/>
              <w:right w:val="single" w:sz="4" w:space="0" w:color="auto"/>
            </w:tcBorders>
            <w:shd w:val="clear" w:color="auto" w:fill="auto"/>
            <w:hideMark/>
          </w:tcPr>
          <w:p w14:paraId="20E9665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Agricultural</w:t>
            </w:r>
          </w:p>
        </w:tc>
        <w:tc>
          <w:tcPr>
            <w:tcW w:w="1568" w:type="dxa"/>
            <w:tcBorders>
              <w:top w:val="nil"/>
              <w:left w:val="nil"/>
              <w:bottom w:val="single" w:sz="4" w:space="0" w:color="auto"/>
              <w:right w:val="single" w:sz="4" w:space="0" w:color="auto"/>
            </w:tcBorders>
            <w:shd w:val="clear" w:color="auto" w:fill="auto"/>
            <w:hideMark/>
          </w:tcPr>
          <w:p w14:paraId="3507C73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6713D08"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13EFF0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8CB507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736CC4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6C48E54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42532F6C"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0DB9872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21826D3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SCG3735</w:t>
            </w:r>
          </w:p>
        </w:tc>
        <w:tc>
          <w:tcPr>
            <w:tcW w:w="2560" w:type="dxa"/>
            <w:tcBorders>
              <w:top w:val="nil"/>
              <w:left w:val="nil"/>
              <w:bottom w:val="single" w:sz="4" w:space="0" w:color="auto"/>
              <w:right w:val="single" w:sz="4" w:space="0" w:color="auto"/>
            </w:tcBorders>
            <w:shd w:val="clear" w:color="auto" w:fill="auto"/>
            <w:hideMark/>
          </w:tcPr>
          <w:p w14:paraId="23A4712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FIN-On-Bill Financing</w:t>
            </w:r>
          </w:p>
        </w:tc>
        <w:tc>
          <w:tcPr>
            <w:tcW w:w="1310" w:type="dxa"/>
            <w:tcBorders>
              <w:top w:val="nil"/>
              <w:left w:val="nil"/>
              <w:bottom w:val="single" w:sz="4" w:space="0" w:color="auto"/>
              <w:right w:val="single" w:sz="4" w:space="0" w:color="auto"/>
            </w:tcBorders>
            <w:shd w:val="clear" w:color="auto" w:fill="auto"/>
            <w:hideMark/>
          </w:tcPr>
          <w:p w14:paraId="7694E7E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4990D4B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Financing</w:t>
            </w:r>
          </w:p>
        </w:tc>
        <w:tc>
          <w:tcPr>
            <w:tcW w:w="928" w:type="dxa"/>
            <w:tcBorders>
              <w:top w:val="nil"/>
              <w:left w:val="nil"/>
              <w:bottom w:val="single" w:sz="4" w:space="0" w:color="auto"/>
              <w:right w:val="single" w:sz="4" w:space="0" w:color="auto"/>
            </w:tcBorders>
            <w:shd w:val="clear" w:color="auto" w:fill="auto"/>
            <w:hideMark/>
          </w:tcPr>
          <w:p w14:paraId="543C736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E24F05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A2622D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0982B5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18C46B4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42F6BAB2"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0C4F0C6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4F9C119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SCG3737</w:t>
            </w:r>
          </w:p>
        </w:tc>
        <w:tc>
          <w:tcPr>
            <w:tcW w:w="2560" w:type="dxa"/>
            <w:tcBorders>
              <w:top w:val="nil"/>
              <w:left w:val="nil"/>
              <w:bottom w:val="single" w:sz="4" w:space="0" w:color="auto"/>
              <w:right w:val="single" w:sz="4" w:space="0" w:color="auto"/>
            </w:tcBorders>
            <w:shd w:val="clear" w:color="auto" w:fill="auto"/>
            <w:hideMark/>
          </w:tcPr>
          <w:p w14:paraId="315C2BA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FIN-SW-New Financing Offerings</w:t>
            </w:r>
          </w:p>
        </w:tc>
        <w:tc>
          <w:tcPr>
            <w:tcW w:w="1310" w:type="dxa"/>
            <w:tcBorders>
              <w:top w:val="nil"/>
              <w:left w:val="nil"/>
              <w:bottom w:val="single" w:sz="4" w:space="0" w:color="auto"/>
              <w:right w:val="single" w:sz="4" w:space="0" w:color="auto"/>
            </w:tcBorders>
            <w:shd w:val="clear" w:color="auto" w:fill="auto"/>
            <w:hideMark/>
          </w:tcPr>
          <w:p w14:paraId="3803259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6BC60B1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Financing</w:t>
            </w:r>
          </w:p>
        </w:tc>
        <w:tc>
          <w:tcPr>
            <w:tcW w:w="928" w:type="dxa"/>
            <w:tcBorders>
              <w:top w:val="nil"/>
              <w:left w:val="nil"/>
              <w:bottom w:val="single" w:sz="4" w:space="0" w:color="auto"/>
              <w:right w:val="single" w:sz="4" w:space="0" w:color="auto"/>
            </w:tcBorders>
            <w:shd w:val="clear" w:color="auto" w:fill="auto"/>
            <w:hideMark/>
          </w:tcPr>
          <w:p w14:paraId="27A44726"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44A55E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2CE0AE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455B2C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 Financing</w:t>
            </w:r>
          </w:p>
        </w:tc>
        <w:tc>
          <w:tcPr>
            <w:tcW w:w="2608" w:type="dxa"/>
            <w:tcBorders>
              <w:top w:val="nil"/>
              <w:left w:val="nil"/>
              <w:bottom w:val="single" w:sz="4" w:space="0" w:color="auto"/>
              <w:right w:val="single" w:sz="4" w:space="0" w:color="auto"/>
            </w:tcBorders>
            <w:shd w:val="clear" w:color="auto" w:fill="auto"/>
            <w:hideMark/>
          </w:tcPr>
          <w:p w14:paraId="46B904B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Statewide Programs</w:t>
            </w:r>
          </w:p>
        </w:tc>
      </w:tr>
      <w:tr w:rsidR="008A00FB" w:rsidRPr="008A00FB" w14:paraId="2CDAD951"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E650CD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5A972B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SCG3757</w:t>
            </w:r>
          </w:p>
        </w:tc>
        <w:tc>
          <w:tcPr>
            <w:tcW w:w="2560" w:type="dxa"/>
            <w:tcBorders>
              <w:top w:val="nil"/>
              <w:left w:val="nil"/>
              <w:bottom w:val="single" w:sz="4" w:space="0" w:color="auto"/>
              <w:right w:val="single" w:sz="4" w:space="0" w:color="auto"/>
            </w:tcBorders>
            <w:shd w:val="clear" w:color="auto" w:fill="auto"/>
            <w:hideMark/>
          </w:tcPr>
          <w:p w14:paraId="60A2803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IND-Small Industrial Facility Upgrades</w:t>
            </w:r>
          </w:p>
        </w:tc>
        <w:tc>
          <w:tcPr>
            <w:tcW w:w="1310" w:type="dxa"/>
            <w:tcBorders>
              <w:top w:val="nil"/>
              <w:left w:val="nil"/>
              <w:bottom w:val="single" w:sz="4" w:space="0" w:color="auto"/>
              <w:right w:val="single" w:sz="4" w:space="0" w:color="auto"/>
            </w:tcBorders>
            <w:shd w:val="clear" w:color="auto" w:fill="auto"/>
            <w:hideMark/>
          </w:tcPr>
          <w:p w14:paraId="551D9E7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Industrial</w:t>
            </w:r>
          </w:p>
        </w:tc>
        <w:tc>
          <w:tcPr>
            <w:tcW w:w="1568" w:type="dxa"/>
            <w:tcBorders>
              <w:top w:val="nil"/>
              <w:left w:val="nil"/>
              <w:bottom w:val="single" w:sz="4" w:space="0" w:color="auto"/>
              <w:right w:val="single" w:sz="4" w:space="0" w:color="auto"/>
            </w:tcBorders>
            <w:shd w:val="clear" w:color="auto" w:fill="auto"/>
            <w:hideMark/>
          </w:tcPr>
          <w:p w14:paraId="6C55F97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394F9B0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DFB24E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6C35EB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FFAE9E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7EC3C8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3DCF6A98"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62CFBCD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68C315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SCG3762</w:t>
            </w:r>
          </w:p>
        </w:tc>
        <w:tc>
          <w:tcPr>
            <w:tcW w:w="2560" w:type="dxa"/>
            <w:tcBorders>
              <w:top w:val="nil"/>
              <w:left w:val="nil"/>
              <w:bottom w:val="single" w:sz="4" w:space="0" w:color="auto"/>
              <w:right w:val="single" w:sz="4" w:space="0" w:color="auto"/>
            </w:tcBorders>
            <w:shd w:val="clear" w:color="auto" w:fill="auto"/>
            <w:hideMark/>
          </w:tcPr>
          <w:p w14:paraId="5B4E8B8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RES-CLEO</w:t>
            </w:r>
          </w:p>
        </w:tc>
        <w:tc>
          <w:tcPr>
            <w:tcW w:w="1310" w:type="dxa"/>
            <w:tcBorders>
              <w:top w:val="nil"/>
              <w:left w:val="nil"/>
              <w:bottom w:val="single" w:sz="4" w:space="0" w:color="auto"/>
              <w:right w:val="single" w:sz="4" w:space="0" w:color="auto"/>
            </w:tcBorders>
            <w:shd w:val="clear" w:color="auto" w:fill="auto"/>
            <w:hideMark/>
          </w:tcPr>
          <w:p w14:paraId="6F4BDCE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Residential</w:t>
            </w:r>
          </w:p>
        </w:tc>
        <w:tc>
          <w:tcPr>
            <w:tcW w:w="1568" w:type="dxa"/>
            <w:tcBorders>
              <w:top w:val="nil"/>
              <w:left w:val="nil"/>
              <w:bottom w:val="single" w:sz="4" w:space="0" w:color="auto"/>
              <w:right w:val="single" w:sz="4" w:space="0" w:color="auto"/>
            </w:tcBorders>
            <w:shd w:val="clear" w:color="auto" w:fill="auto"/>
            <w:hideMark/>
          </w:tcPr>
          <w:p w14:paraId="4C67B8A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4224CECA"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91E049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FA2A2D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296EC74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9DFE7E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3A5C9514"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9392A7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011F5B5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SCG3793</w:t>
            </w:r>
          </w:p>
        </w:tc>
        <w:tc>
          <w:tcPr>
            <w:tcW w:w="2560" w:type="dxa"/>
            <w:tcBorders>
              <w:top w:val="nil"/>
              <w:left w:val="nil"/>
              <w:bottom w:val="single" w:sz="4" w:space="0" w:color="auto"/>
              <w:right w:val="single" w:sz="4" w:space="0" w:color="auto"/>
            </w:tcBorders>
            <w:shd w:val="clear" w:color="auto" w:fill="auto"/>
            <w:hideMark/>
          </w:tcPr>
          <w:p w14:paraId="2AFF19D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COM-Instant Rebates! Foodservice POS</w:t>
            </w:r>
          </w:p>
        </w:tc>
        <w:tc>
          <w:tcPr>
            <w:tcW w:w="1310" w:type="dxa"/>
            <w:tcBorders>
              <w:top w:val="nil"/>
              <w:left w:val="nil"/>
              <w:bottom w:val="single" w:sz="4" w:space="0" w:color="auto"/>
              <w:right w:val="single" w:sz="4" w:space="0" w:color="auto"/>
            </w:tcBorders>
            <w:shd w:val="clear" w:color="auto" w:fill="auto"/>
            <w:hideMark/>
          </w:tcPr>
          <w:p w14:paraId="178EA6F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56A84BF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17789C8"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1ED724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D45151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8B1B44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45EF7F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216D2485"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CCFF6E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213F150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SCG3797</w:t>
            </w:r>
          </w:p>
        </w:tc>
        <w:tc>
          <w:tcPr>
            <w:tcW w:w="2560" w:type="dxa"/>
            <w:tcBorders>
              <w:top w:val="nil"/>
              <w:left w:val="nil"/>
              <w:bottom w:val="single" w:sz="4" w:space="0" w:color="auto"/>
              <w:right w:val="single" w:sz="4" w:space="0" w:color="auto"/>
            </w:tcBorders>
            <w:shd w:val="clear" w:color="auto" w:fill="auto"/>
            <w:hideMark/>
          </w:tcPr>
          <w:p w14:paraId="0C1711C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3P-IDEEA365-Energy Advantage Program for Small Business</w:t>
            </w:r>
          </w:p>
        </w:tc>
        <w:tc>
          <w:tcPr>
            <w:tcW w:w="1310" w:type="dxa"/>
            <w:tcBorders>
              <w:top w:val="nil"/>
              <w:left w:val="nil"/>
              <w:bottom w:val="single" w:sz="4" w:space="0" w:color="auto"/>
              <w:right w:val="single" w:sz="4" w:space="0" w:color="auto"/>
            </w:tcBorders>
            <w:shd w:val="clear" w:color="auto" w:fill="auto"/>
            <w:hideMark/>
          </w:tcPr>
          <w:p w14:paraId="6C11BD6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F9C2ED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Financing</w:t>
            </w:r>
          </w:p>
        </w:tc>
        <w:tc>
          <w:tcPr>
            <w:tcW w:w="928" w:type="dxa"/>
            <w:tcBorders>
              <w:top w:val="nil"/>
              <w:left w:val="nil"/>
              <w:bottom w:val="single" w:sz="4" w:space="0" w:color="auto"/>
              <w:right w:val="single" w:sz="4" w:space="0" w:color="auto"/>
            </w:tcBorders>
            <w:shd w:val="clear" w:color="auto" w:fill="auto"/>
            <w:hideMark/>
          </w:tcPr>
          <w:p w14:paraId="25BF170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EE31E5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5A0EDAC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FF5739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 Financing</w:t>
            </w:r>
          </w:p>
        </w:tc>
        <w:tc>
          <w:tcPr>
            <w:tcW w:w="2608" w:type="dxa"/>
            <w:tcBorders>
              <w:top w:val="nil"/>
              <w:left w:val="nil"/>
              <w:bottom w:val="single" w:sz="4" w:space="0" w:color="auto"/>
              <w:right w:val="single" w:sz="4" w:space="0" w:color="auto"/>
            </w:tcBorders>
            <w:shd w:val="clear" w:color="auto" w:fill="auto"/>
            <w:hideMark/>
          </w:tcPr>
          <w:p w14:paraId="4661650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0BB4C04C"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731EC28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7E19A86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SCG3798</w:t>
            </w:r>
          </w:p>
        </w:tc>
        <w:tc>
          <w:tcPr>
            <w:tcW w:w="2560" w:type="dxa"/>
            <w:tcBorders>
              <w:top w:val="nil"/>
              <w:left w:val="nil"/>
              <w:bottom w:val="single" w:sz="4" w:space="0" w:color="auto"/>
              <w:right w:val="single" w:sz="4" w:space="0" w:color="auto"/>
            </w:tcBorders>
            <w:shd w:val="clear" w:color="auto" w:fill="auto"/>
            <w:hideMark/>
          </w:tcPr>
          <w:p w14:paraId="395F79A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3P-IDEEA365-Connect</w:t>
            </w:r>
          </w:p>
        </w:tc>
        <w:tc>
          <w:tcPr>
            <w:tcW w:w="1310" w:type="dxa"/>
            <w:tcBorders>
              <w:top w:val="nil"/>
              <w:left w:val="nil"/>
              <w:bottom w:val="single" w:sz="4" w:space="0" w:color="auto"/>
              <w:right w:val="single" w:sz="4" w:space="0" w:color="auto"/>
            </w:tcBorders>
            <w:shd w:val="clear" w:color="auto" w:fill="auto"/>
            <w:hideMark/>
          </w:tcPr>
          <w:p w14:paraId="1ECBA31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053D4B0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1B742DE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5312A38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D18685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461129C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B7C542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0C9B2AE9"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3041E79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6B5D9C3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SCG3804</w:t>
            </w:r>
          </w:p>
        </w:tc>
        <w:tc>
          <w:tcPr>
            <w:tcW w:w="2560" w:type="dxa"/>
            <w:tcBorders>
              <w:top w:val="nil"/>
              <w:left w:val="nil"/>
              <w:bottom w:val="single" w:sz="4" w:space="0" w:color="auto"/>
              <w:right w:val="single" w:sz="4" w:space="0" w:color="auto"/>
            </w:tcBorders>
            <w:shd w:val="clear" w:color="auto" w:fill="auto"/>
            <w:hideMark/>
          </w:tcPr>
          <w:p w14:paraId="013EAB1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COM-On-</w:t>
            </w:r>
            <w:proofErr w:type="gramStart"/>
            <w:r w:rsidRPr="008A00FB">
              <w:rPr>
                <w:rFonts w:eastAsia="Times New Roman" w:cs="Arial"/>
                <w:color w:val="000000"/>
                <w:sz w:val="16"/>
                <w:szCs w:val="16"/>
              </w:rPr>
              <w:t>Premise</w:t>
            </w:r>
            <w:proofErr w:type="gramEnd"/>
            <w:r w:rsidRPr="008A00FB">
              <w:rPr>
                <w:rFonts w:eastAsia="Times New Roman" w:cs="Arial"/>
                <w:color w:val="000000"/>
                <w:sz w:val="16"/>
                <w:szCs w:val="16"/>
              </w:rPr>
              <w:t xml:space="preserve"> Ozone Laundry</w:t>
            </w:r>
          </w:p>
        </w:tc>
        <w:tc>
          <w:tcPr>
            <w:tcW w:w="1310" w:type="dxa"/>
            <w:tcBorders>
              <w:top w:val="nil"/>
              <w:left w:val="nil"/>
              <w:bottom w:val="single" w:sz="4" w:space="0" w:color="auto"/>
              <w:right w:val="single" w:sz="4" w:space="0" w:color="auto"/>
            </w:tcBorders>
            <w:shd w:val="clear" w:color="auto" w:fill="auto"/>
            <w:hideMark/>
          </w:tcPr>
          <w:p w14:paraId="5C368BB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39AB6B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51603125"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24A27C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1E557F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C8A5A5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2B95FC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296A92BD"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37C9DE2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65D1A4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SCG3805</w:t>
            </w:r>
          </w:p>
        </w:tc>
        <w:tc>
          <w:tcPr>
            <w:tcW w:w="2560" w:type="dxa"/>
            <w:tcBorders>
              <w:top w:val="nil"/>
              <w:left w:val="nil"/>
              <w:bottom w:val="single" w:sz="4" w:space="0" w:color="auto"/>
              <w:right w:val="single" w:sz="4" w:space="0" w:color="auto"/>
            </w:tcBorders>
            <w:shd w:val="clear" w:color="auto" w:fill="auto"/>
            <w:hideMark/>
          </w:tcPr>
          <w:p w14:paraId="4CC6A70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COM-Direct Install Program</w:t>
            </w:r>
          </w:p>
        </w:tc>
        <w:tc>
          <w:tcPr>
            <w:tcW w:w="1310" w:type="dxa"/>
            <w:tcBorders>
              <w:top w:val="nil"/>
              <w:left w:val="nil"/>
              <w:bottom w:val="single" w:sz="4" w:space="0" w:color="auto"/>
              <w:right w:val="single" w:sz="4" w:space="0" w:color="auto"/>
            </w:tcBorders>
            <w:shd w:val="clear" w:color="auto" w:fill="auto"/>
            <w:hideMark/>
          </w:tcPr>
          <w:p w14:paraId="7C03AEE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345AE16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D866A37"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48A57721"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0ED7FAD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4AA63ED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OBF</w:t>
            </w:r>
          </w:p>
        </w:tc>
        <w:tc>
          <w:tcPr>
            <w:tcW w:w="2608" w:type="dxa"/>
            <w:tcBorders>
              <w:top w:val="nil"/>
              <w:left w:val="nil"/>
              <w:bottom w:val="single" w:sz="4" w:space="0" w:color="auto"/>
              <w:right w:val="single" w:sz="4" w:space="0" w:color="auto"/>
            </w:tcBorders>
            <w:shd w:val="clear" w:color="auto" w:fill="auto"/>
            <w:hideMark/>
          </w:tcPr>
          <w:p w14:paraId="66C4DD4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616DD27A"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788C263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33A3DA3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SCG3807</w:t>
            </w:r>
          </w:p>
        </w:tc>
        <w:tc>
          <w:tcPr>
            <w:tcW w:w="2560" w:type="dxa"/>
            <w:tcBorders>
              <w:top w:val="nil"/>
              <w:left w:val="nil"/>
              <w:bottom w:val="single" w:sz="4" w:space="0" w:color="auto"/>
              <w:right w:val="single" w:sz="4" w:space="0" w:color="auto"/>
            </w:tcBorders>
            <w:shd w:val="clear" w:color="auto" w:fill="auto"/>
            <w:hideMark/>
          </w:tcPr>
          <w:p w14:paraId="2FF8152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COM-HOPPS-CRR Program</w:t>
            </w:r>
          </w:p>
        </w:tc>
        <w:tc>
          <w:tcPr>
            <w:tcW w:w="1310" w:type="dxa"/>
            <w:tcBorders>
              <w:top w:val="nil"/>
              <w:left w:val="nil"/>
              <w:bottom w:val="single" w:sz="4" w:space="0" w:color="auto"/>
              <w:right w:val="single" w:sz="4" w:space="0" w:color="auto"/>
            </w:tcBorders>
            <w:shd w:val="clear" w:color="auto" w:fill="auto"/>
            <w:hideMark/>
          </w:tcPr>
          <w:p w14:paraId="5B512FF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54AA280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ECE0303"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056509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A5ED47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68304AE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1FB798C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16ECFB34"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4D3082A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59108BC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SCG3816</w:t>
            </w:r>
          </w:p>
        </w:tc>
        <w:tc>
          <w:tcPr>
            <w:tcW w:w="2560" w:type="dxa"/>
            <w:tcBorders>
              <w:top w:val="nil"/>
              <w:left w:val="nil"/>
              <w:bottom w:val="single" w:sz="4" w:space="0" w:color="auto"/>
              <w:right w:val="single" w:sz="4" w:space="0" w:color="auto"/>
            </w:tcBorders>
            <w:shd w:val="clear" w:color="auto" w:fill="auto"/>
            <w:hideMark/>
          </w:tcPr>
          <w:p w14:paraId="6ACED54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PUB-Deemed Incentives</w:t>
            </w:r>
          </w:p>
        </w:tc>
        <w:tc>
          <w:tcPr>
            <w:tcW w:w="1310" w:type="dxa"/>
            <w:tcBorders>
              <w:top w:val="nil"/>
              <w:left w:val="nil"/>
              <w:bottom w:val="single" w:sz="4" w:space="0" w:color="auto"/>
              <w:right w:val="single" w:sz="4" w:space="0" w:color="auto"/>
            </w:tcBorders>
            <w:shd w:val="clear" w:color="auto" w:fill="auto"/>
            <w:hideMark/>
          </w:tcPr>
          <w:p w14:paraId="1BD85D3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Public</w:t>
            </w:r>
          </w:p>
        </w:tc>
        <w:tc>
          <w:tcPr>
            <w:tcW w:w="1568" w:type="dxa"/>
            <w:tcBorders>
              <w:top w:val="nil"/>
              <w:left w:val="nil"/>
              <w:bottom w:val="single" w:sz="4" w:space="0" w:color="auto"/>
              <w:right w:val="single" w:sz="4" w:space="0" w:color="auto"/>
            </w:tcBorders>
            <w:shd w:val="clear" w:color="auto" w:fill="auto"/>
            <w:hideMark/>
          </w:tcPr>
          <w:p w14:paraId="567D7DD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7529AE5"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866" w:type="dxa"/>
            <w:tcBorders>
              <w:top w:val="nil"/>
              <w:left w:val="nil"/>
              <w:bottom w:val="single" w:sz="4" w:space="0" w:color="auto"/>
              <w:right w:val="single" w:sz="4" w:space="0" w:color="auto"/>
            </w:tcBorders>
            <w:shd w:val="clear" w:color="auto" w:fill="auto"/>
            <w:hideMark/>
          </w:tcPr>
          <w:p w14:paraId="270D169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C2858B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A121B5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73AEE0A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Programs</w:t>
            </w:r>
          </w:p>
        </w:tc>
      </w:tr>
      <w:tr w:rsidR="008A00FB" w:rsidRPr="008A00FB" w14:paraId="4F58E2E0"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1C6DA4A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35534FD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SCG3817</w:t>
            </w:r>
          </w:p>
        </w:tc>
        <w:tc>
          <w:tcPr>
            <w:tcW w:w="2560" w:type="dxa"/>
            <w:tcBorders>
              <w:top w:val="nil"/>
              <w:left w:val="nil"/>
              <w:bottom w:val="single" w:sz="4" w:space="0" w:color="auto"/>
              <w:right w:val="single" w:sz="4" w:space="0" w:color="auto"/>
            </w:tcBorders>
            <w:shd w:val="clear" w:color="auto" w:fill="auto"/>
            <w:hideMark/>
          </w:tcPr>
          <w:p w14:paraId="582A165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PUB-Direct Install Program</w:t>
            </w:r>
          </w:p>
        </w:tc>
        <w:tc>
          <w:tcPr>
            <w:tcW w:w="1310" w:type="dxa"/>
            <w:tcBorders>
              <w:top w:val="nil"/>
              <w:left w:val="nil"/>
              <w:bottom w:val="single" w:sz="4" w:space="0" w:color="auto"/>
              <w:right w:val="single" w:sz="4" w:space="0" w:color="auto"/>
            </w:tcBorders>
            <w:shd w:val="clear" w:color="auto" w:fill="auto"/>
            <w:hideMark/>
          </w:tcPr>
          <w:p w14:paraId="61A8B6E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Public</w:t>
            </w:r>
          </w:p>
        </w:tc>
        <w:tc>
          <w:tcPr>
            <w:tcW w:w="1568" w:type="dxa"/>
            <w:tcBorders>
              <w:top w:val="nil"/>
              <w:left w:val="nil"/>
              <w:bottom w:val="single" w:sz="4" w:space="0" w:color="auto"/>
              <w:right w:val="single" w:sz="4" w:space="0" w:color="auto"/>
            </w:tcBorders>
            <w:shd w:val="clear" w:color="auto" w:fill="auto"/>
            <w:hideMark/>
          </w:tcPr>
          <w:p w14:paraId="207E13A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FC42BE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866" w:type="dxa"/>
            <w:tcBorders>
              <w:top w:val="nil"/>
              <w:left w:val="nil"/>
              <w:bottom w:val="single" w:sz="4" w:space="0" w:color="auto"/>
              <w:right w:val="single" w:sz="4" w:space="0" w:color="auto"/>
            </w:tcBorders>
            <w:shd w:val="clear" w:color="auto" w:fill="auto"/>
            <w:hideMark/>
          </w:tcPr>
          <w:p w14:paraId="43D4448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41550D0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568D246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7FBB4BD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75B34EA8"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200483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683DE33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SCG3834</w:t>
            </w:r>
          </w:p>
        </w:tc>
        <w:tc>
          <w:tcPr>
            <w:tcW w:w="2560" w:type="dxa"/>
            <w:tcBorders>
              <w:top w:val="nil"/>
              <w:left w:val="nil"/>
              <w:bottom w:val="single" w:sz="4" w:space="0" w:color="auto"/>
              <w:right w:val="single" w:sz="4" w:space="0" w:color="auto"/>
            </w:tcBorders>
            <w:shd w:val="clear" w:color="auto" w:fill="auto"/>
            <w:hideMark/>
          </w:tcPr>
          <w:p w14:paraId="29437A3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COM-LADWP Direct Install</w:t>
            </w:r>
          </w:p>
        </w:tc>
        <w:tc>
          <w:tcPr>
            <w:tcW w:w="1310" w:type="dxa"/>
            <w:tcBorders>
              <w:top w:val="nil"/>
              <w:left w:val="nil"/>
              <w:bottom w:val="single" w:sz="4" w:space="0" w:color="auto"/>
              <w:right w:val="single" w:sz="4" w:space="0" w:color="auto"/>
            </w:tcBorders>
            <w:shd w:val="clear" w:color="auto" w:fill="auto"/>
            <w:hideMark/>
          </w:tcPr>
          <w:p w14:paraId="1CB5899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B6D5E3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DC472CC"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866" w:type="dxa"/>
            <w:tcBorders>
              <w:top w:val="nil"/>
              <w:left w:val="nil"/>
              <w:bottom w:val="single" w:sz="4" w:space="0" w:color="auto"/>
              <w:right w:val="single" w:sz="4" w:space="0" w:color="auto"/>
            </w:tcBorders>
            <w:shd w:val="clear" w:color="auto" w:fill="auto"/>
            <w:hideMark/>
          </w:tcPr>
          <w:p w14:paraId="6474B7A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CB7513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1A75AF8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FDABDE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7253A64C"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7ADD6EC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w:t>
            </w:r>
          </w:p>
        </w:tc>
        <w:tc>
          <w:tcPr>
            <w:tcW w:w="1380" w:type="dxa"/>
            <w:tcBorders>
              <w:top w:val="nil"/>
              <w:left w:val="nil"/>
              <w:bottom w:val="single" w:sz="4" w:space="0" w:color="auto"/>
              <w:right w:val="single" w:sz="4" w:space="0" w:color="auto"/>
            </w:tcBorders>
            <w:shd w:val="clear" w:color="auto" w:fill="auto"/>
            <w:hideMark/>
          </w:tcPr>
          <w:p w14:paraId="1BEFA9E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SCG3835</w:t>
            </w:r>
          </w:p>
        </w:tc>
        <w:tc>
          <w:tcPr>
            <w:tcW w:w="2560" w:type="dxa"/>
            <w:tcBorders>
              <w:top w:val="nil"/>
              <w:left w:val="nil"/>
              <w:bottom w:val="single" w:sz="4" w:space="0" w:color="auto"/>
              <w:right w:val="single" w:sz="4" w:space="0" w:color="auto"/>
            </w:tcBorders>
            <w:shd w:val="clear" w:color="auto" w:fill="auto"/>
            <w:hideMark/>
          </w:tcPr>
          <w:p w14:paraId="5456B6A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COM-Pasadena Direct Install</w:t>
            </w:r>
          </w:p>
        </w:tc>
        <w:tc>
          <w:tcPr>
            <w:tcW w:w="1310" w:type="dxa"/>
            <w:tcBorders>
              <w:top w:val="nil"/>
              <w:left w:val="nil"/>
              <w:bottom w:val="single" w:sz="4" w:space="0" w:color="auto"/>
              <w:right w:val="single" w:sz="4" w:space="0" w:color="auto"/>
            </w:tcBorders>
            <w:shd w:val="clear" w:color="auto" w:fill="auto"/>
            <w:hideMark/>
          </w:tcPr>
          <w:p w14:paraId="1DA9D81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7D2F53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3172909"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866" w:type="dxa"/>
            <w:tcBorders>
              <w:top w:val="nil"/>
              <w:left w:val="nil"/>
              <w:bottom w:val="single" w:sz="4" w:space="0" w:color="auto"/>
              <w:right w:val="single" w:sz="4" w:space="0" w:color="auto"/>
            </w:tcBorders>
            <w:shd w:val="clear" w:color="auto" w:fill="auto"/>
            <w:hideMark/>
          </w:tcPr>
          <w:p w14:paraId="7A8E0C1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673D08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5D31337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38F7A4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16C8997A"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0E1FB90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72093DE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SDGE3215</w:t>
            </w:r>
          </w:p>
        </w:tc>
        <w:tc>
          <w:tcPr>
            <w:tcW w:w="2560" w:type="dxa"/>
            <w:tcBorders>
              <w:top w:val="nil"/>
              <w:left w:val="nil"/>
              <w:bottom w:val="single" w:sz="4" w:space="0" w:color="auto"/>
              <w:right w:val="single" w:sz="4" w:space="0" w:color="auto"/>
            </w:tcBorders>
            <w:shd w:val="clear" w:color="auto" w:fill="auto"/>
            <w:hideMark/>
          </w:tcPr>
          <w:p w14:paraId="67984E8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SW-COM-Strategic Energy Management</w:t>
            </w:r>
          </w:p>
        </w:tc>
        <w:tc>
          <w:tcPr>
            <w:tcW w:w="1310" w:type="dxa"/>
            <w:tcBorders>
              <w:top w:val="nil"/>
              <w:left w:val="nil"/>
              <w:bottom w:val="single" w:sz="4" w:space="0" w:color="auto"/>
              <w:right w:val="single" w:sz="4" w:space="0" w:color="auto"/>
            </w:tcBorders>
            <w:shd w:val="clear" w:color="auto" w:fill="auto"/>
            <w:hideMark/>
          </w:tcPr>
          <w:p w14:paraId="590AB22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0A61FCE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6C2F14BC"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53B57B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1132" w:type="dxa"/>
            <w:tcBorders>
              <w:top w:val="nil"/>
              <w:left w:val="nil"/>
              <w:bottom w:val="single" w:sz="4" w:space="0" w:color="auto"/>
              <w:right w:val="single" w:sz="4" w:space="0" w:color="auto"/>
            </w:tcBorders>
            <w:shd w:val="clear" w:color="auto" w:fill="auto"/>
            <w:hideMark/>
          </w:tcPr>
          <w:p w14:paraId="30A03AF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60EBAF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6E28300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6275619F"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28B491B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3246323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SDGE3216</w:t>
            </w:r>
          </w:p>
        </w:tc>
        <w:tc>
          <w:tcPr>
            <w:tcW w:w="2560" w:type="dxa"/>
            <w:tcBorders>
              <w:top w:val="nil"/>
              <w:left w:val="nil"/>
              <w:bottom w:val="single" w:sz="4" w:space="0" w:color="auto"/>
              <w:right w:val="single" w:sz="4" w:space="0" w:color="auto"/>
            </w:tcBorders>
            <w:shd w:val="clear" w:color="auto" w:fill="auto"/>
            <w:hideMark/>
          </w:tcPr>
          <w:p w14:paraId="4A01CFB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SW-COM-Customer Services-Benchmarking</w:t>
            </w:r>
          </w:p>
        </w:tc>
        <w:tc>
          <w:tcPr>
            <w:tcW w:w="1310" w:type="dxa"/>
            <w:tcBorders>
              <w:top w:val="nil"/>
              <w:left w:val="nil"/>
              <w:bottom w:val="single" w:sz="4" w:space="0" w:color="auto"/>
              <w:right w:val="single" w:sz="4" w:space="0" w:color="auto"/>
            </w:tcBorders>
            <w:shd w:val="clear" w:color="auto" w:fill="auto"/>
            <w:hideMark/>
          </w:tcPr>
          <w:p w14:paraId="428B320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10AB1A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Market Education Outreach</w:t>
            </w:r>
          </w:p>
        </w:tc>
        <w:tc>
          <w:tcPr>
            <w:tcW w:w="928" w:type="dxa"/>
            <w:tcBorders>
              <w:top w:val="nil"/>
              <w:left w:val="nil"/>
              <w:bottom w:val="single" w:sz="4" w:space="0" w:color="auto"/>
              <w:right w:val="single" w:sz="4" w:space="0" w:color="auto"/>
            </w:tcBorders>
            <w:shd w:val="clear" w:color="auto" w:fill="auto"/>
            <w:hideMark/>
          </w:tcPr>
          <w:p w14:paraId="424EF4BE"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A0FEE2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2020</w:t>
            </w:r>
          </w:p>
        </w:tc>
        <w:tc>
          <w:tcPr>
            <w:tcW w:w="1132" w:type="dxa"/>
            <w:tcBorders>
              <w:top w:val="nil"/>
              <w:left w:val="nil"/>
              <w:bottom w:val="single" w:sz="4" w:space="0" w:color="auto"/>
              <w:right w:val="single" w:sz="4" w:space="0" w:color="auto"/>
            </w:tcBorders>
            <w:shd w:val="clear" w:color="auto" w:fill="auto"/>
            <w:hideMark/>
          </w:tcPr>
          <w:p w14:paraId="0030DCF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6EC5E6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4EE3BB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29914513"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4C2F0CE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440F6C6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SDGE3217</w:t>
            </w:r>
          </w:p>
        </w:tc>
        <w:tc>
          <w:tcPr>
            <w:tcW w:w="2560" w:type="dxa"/>
            <w:tcBorders>
              <w:top w:val="nil"/>
              <w:left w:val="nil"/>
              <w:bottom w:val="single" w:sz="4" w:space="0" w:color="auto"/>
              <w:right w:val="single" w:sz="4" w:space="0" w:color="auto"/>
            </w:tcBorders>
            <w:shd w:val="clear" w:color="auto" w:fill="auto"/>
            <w:hideMark/>
          </w:tcPr>
          <w:p w14:paraId="1EBDE3B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xml:space="preserve">SW-COM-Customer Services- Audits </w:t>
            </w:r>
            <w:proofErr w:type="spellStart"/>
            <w:r w:rsidRPr="008A00FB">
              <w:rPr>
                <w:rFonts w:eastAsia="Times New Roman" w:cs="Arial"/>
                <w:color w:val="000000"/>
                <w:sz w:val="16"/>
                <w:szCs w:val="16"/>
              </w:rPr>
              <w:t>NonRes</w:t>
            </w:r>
            <w:proofErr w:type="spellEnd"/>
          </w:p>
        </w:tc>
        <w:tc>
          <w:tcPr>
            <w:tcW w:w="1310" w:type="dxa"/>
            <w:tcBorders>
              <w:top w:val="nil"/>
              <w:left w:val="nil"/>
              <w:bottom w:val="single" w:sz="4" w:space="0" w:color="auto"/>
              <w:right w:val="single" w:sz="4" w:space="0" w:color="auto"/>
            </w:tcBorders>
            <w:shd w:val="clear" w:color="auto" w:fill="auto"/>
            <w:hideMark/>
          </w:tcPr>
          <w:p w14:paraId="75D59D7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F071B6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Audit</w:t>
            </w:r>
          </w:p>
        </w:tc>
        <w:tc>
          <w:tcPr>
            <w:tcW w:w="928" w:type="dxa"/>
            <w:tcBorders>
              <w:top w:val="nil"/>
              <w:left w:val="nil"/>
              <w:bottom w:val="single" w:sz="4" w:space="0" w:color="auto"/>
              <w:right w:val="single" w:sz="4" w:space="0" w:color="auto"/>
            </w:tcBorders>
            <w:shd w:val="clear" w:color="auto" w:fill="auto"/>
            <w:hideMark/>
          </w:tcPr>
          <w:p w14:paraId="6EB3F0CC"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829B7E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4380BAB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C4CFAF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704531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41FB008C"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4513ACA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lastRenderedPageBreak/>
              <w:t>SDGE</w:t>
            </w:r>
          </w:p>
        </w:tc>
        <w:tc>
          <w:tcPr>
            <w:tcW w:w="1380" w:type="dxa"/>
            <w:tcBorders>
              <w:top w:val="nil"/>
              <w:left w:val="nil"/>
              <w:bottom w:val="single" w:sz="4" w:space="0" w:color="auto"/>
              <w:right w:val="single" w:sz="4" w:space="0" w:color="auto"/>
            </w:tcBorders>
            <w:shd w:val="clear" w:color="auto" w:fill="auto"/>
            <w:hideMark/>
          </w:tcPr>
          <w:p w14:paraId="1ED3C98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SDGE3220</w:t>
            </w:r>
          </w:p>
        </w:tc>
        <w:tc>
          <w:tcPr>
            <w:tcW w:w="2560" w:type="dxa"/>
            <w:tcBorders>
              <w:top w:val="nil"/>
              <w:left w:val="nil"/>
              <w:bottom w:val="single" w:sz="4" w:space="0" w:color="auto"/>
              <w:right w:val="single" w:sz="4" w:space="0" w:color="auto"/>
            </w:tcBorders>
            <w:shd w:val="clear" w:color="auto" w:fill="auto"/>
            <w:hideMark/>
          </w:tcPr>
          <w:p w14:paraId="3DE71CB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SW-COM-Calculated Incentives-Calculated</w:t>
            </w:r>
          </w:p>
        </w:tc>
        <w:tc>
          <w:tcPr>
            <w:tcW w:w="1310" w:type="dxa"/>
            <w:tcBorders>
              <w:top w:val="nil"/>
              <w:left w:val="nil"/>
              <w:bottom w:val="single" w:sz="4" w:space="0" w:color="auto"/>
              <w:right w:val="single" w:sz="4" w:space="0" w:color="auto"/>
            </w:tcBorders>
            <w:shd w:val="clear" w:color="auto" w:fill="auto"/>
            <w:hideMark/>
          </w:tcPr>
          <w:p w14:paraId="6645FFD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2675712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028334B9"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7E8A563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C1AD1A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09AB0E3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024C3E3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72AC6626"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550C26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163F5F4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SDGE3222</w:t>
            </w:r>
          </w:p>
        </w:tc>
        <w:tc>
          <w:tcPr>
            <w:tcW w:w="2560" w:type="dxa"/>
            <w:tcBorders>
              <w:top w:val="nil"/>
              <w:left w:val="nil"/>
              <w:bottom w:val="single" w:sz="4" w:space="0" w:color="auto"/>
              <w:right w:val="single" w:sz="4" w:space="0" w:color="auto"/>
            </w:tcBorders>
            <w:shd w:val="clear" w:color="auto" w:fill="auto"/>
            <w:hideMark/>
          </w:tcPr>
          <w:p w14:paraId="18363F6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SW-COM-Calculated Incentives-Savings by Design</w:t>
            </w:r>
          </w:p>
        </w:tc>
        <w:tc>
          <w:tcPr>
            <w:tcW w:w="1310" w:type="dxa"/>
            <w:tcBorders>
              <w:top w:val="nil"/>
              <w:left w:val="nil"/>
              <w:bottom w:val="single" w:sz="4" w:space="0" w:color="auto"/>
              <w:right w:val="single" w:sz="4" w:space="0" w:color="auto"/>
            </w:tcBorders>
            <w:shd w:val="clear" w:color="auto" w:fill="auto"/>
            <w:hideMark/>
          </w:tcPr>
          <w:p w14:paraId="742AC60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27FCE20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New Construction</w:t>
            </w:r>
          </w:p>
        </w:tc>
        <w:tc>
          <w:tcPr>
            <w:tcW w:w="928" w:type="dxa"/>
            <w:tcBorders>
              <w:top w:val="nil"/>
              <w:left w:val="nil"/>
              <w:bottom w:val="single" w:sz="4" w:space="0" w:color="auto"/>
              <w:right w:val="single" w:sz="4" w:space="0" w:color="auto"/>
            </w:tcBorders>
            <w:shd w:val="clear" w:color="auto" w:fill="auto"/>
            <w:hideMark/>
          </w:tcPr>
          <w:p w14:paraId="2B78D3FB"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5569140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3B334F0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70FBD6B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 Financing</w:t>
            </w:r>
          </w:p>
        </w:tc>
        <w:tc>
          <w:tcPr>
            <w:tcW w:w="2608" w:type="dxa"/>
            <w:tcBorders>
              <w:top w:val="nil"/>
              <w:left w:val="nil"/>
              <w:bottom w:val="single" w:sz="4" w:space="0" w:color="auto"/>
              <w:right w:val="single" w:sz="4" w:space="0" w:color="auto"/>
            </w:tcBorders>
            <w:shd w:val="clear" w:color="auto" w:fill="auto"/>
            <w:hideMark/>
          </w:tcPr>
          <w:p w14:paraId="086A578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0F129F39"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AD7C20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223B7B0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SDGE3223</w:t>
            </w:r>
          </w:p>
        </w:tc>
        <w:tc>
          <w:tcPr>
            <w:tcW w:w="2560" w:type="dxa"/>
            <w:tcBorders>
              <w:top w:val="nil"/>
              <w:left w:val="nil"/>
              <w:bottom w:val="single" w:sz="4" w:space="0" w:color="auto"/>
              <w:right w:val="single" w:sz="4" w:space="0" w:color="auto"/>
            </w:tcBorders>
            <w:shd w:val="clear" w:color="auto" w:fill="auto"/>
            <w:hideMark/>
          </w:tcPr>
          <w:p w14:paraId="5EECB33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SW-COM-Deemed Incentives-Commercial Rebates</w:t>
            </w:r>
          </w:p>
        </w:tc>
        <w:tc>
          <w:tcPr>
            <w:tcW w:w="1310" w:type="dxa"/>
            <w:tcBorders>
              <w:top w:val="nil"/>
              <w:left w:val="nil"/>
              <w:bottom w:val="single" w:sz="4" w:space="0" w:color="auto"/>
              <w:right w:val="single" w:sz="4" w:space="0" w:color="auto"/>
            </w:tcBorders>
            <w:shd w:val="clear" w:color="auto" w:fill="auto"/>
            <w:hideMark/>
          </w:tcPr>
          <w:p w14:paraId="39A4D4E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038835B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1B80EC12"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BED326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15B448C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4FF6A21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3B4EDC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5344C928"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872FC7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4E4C21E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SDGE3224</w:t>
            </w:r>
          </w:p>
        </w:tc>
        <w:tc>
          <w:tcPr>
            <w:tcW w:w="2560" w:type="dxa"/>
            <w:tcBorders>
              <w:top w:val="nil"/>
              <w:left w:val="nil"/>
              <w:bottom w:val="single" w:sz="4" w:space="0" w:color="auto"/>
              <w:right w:val="single" w:sz="4" w:space="0" w:color="auto"/>
            </w:tcBorders>
            <w:shd w:val="clear" w:color="auto" w:fill="auto"/>
            <w:hideMark/>
          </w:tcPr>
          <w:p w14:paraId="59BD1EA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SW-COM-Deemed Incentives-HVAC Commercial</w:t>
            </w:r>
          </w:p>
        </w:tc>
        <w:tc>
          <w:tcPr>
            <w:tcW w:w="1310" w:type="dxa"/>
            <w:tcBorders>
              <w:top w:val="nil"/>
              <w:left w:val="nil"/>
              <w:bottom w:val="single" w:sz="4" w:space="0" w:color="auto"/>
              <w:right w:val="single" w:sz="4" w:space="0" w:color="auto"/>
            </w:tcBorders>
            <w:shd w:val="clear" w:color="auto" w:fill="auto"/>
            <w:hideMark/>
          </w:tcPr>
          <w:p w14:paraId="474E3CB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1F7D2ED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207A1A6A"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07540C1C"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2021</w:t>
            </w:r>
          </w:p>
        </w:tc>
        <w:tc>
          <w:tcPr>
            <w:tcW w:w="1132" w:type="dxa"/>
            <w:tcBorders>
              <w:top w:val="nil"/>
              <w:left w:val="nil"/>
              <w:bottom w:val="single" w:sz="4" w:space="0" w:color="auto"/>
              <w:right w:val="single" w:sz="4" w:space="0" w:color="auto"/>
            </w:tcBorders>
            <w:shd w:val="clear" w:color="auto" w:fill="auto"/>
            <w:hideMark/>
          </w:tcPr>
          <w:p w14:paraId="3E61391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3B277EA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75337CB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773A7823"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10E5D86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5CAC9FB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SDGE3225</w:t>
            </w:r>
          </w:p>
        </w:tc>
        <w:tc>
          <w:tcPr>
            <w:tcW w:w="2560" w:type="dxa"/>
            <w:tcBorders>
              <w:top w:val="nil"/>
              <w:left w:val="nil"/>
              <w:bottom w:val="single" w:sz="4" w:space="0" w:color="auto"/>
              <w:right w:val="single" w:sz="4" w:space="0" w:color="auto"/>
            </w:tcBorders>
            <w:shd w:val="clear" w:color="auto" w:fill="auto"/>
            <w:hideMark/>
          </w:tcPr>
          <w:p w14:paraId="657832A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SW-COM-Deemed Incentives-HVAC Core</w:t>
            </w:r>
          </w:p>
        </w:tc>
        <w:tc>
          <w:tcPr>
            <w:tcW w:w="1310" w:type="dxa"/>
            <w:tcBorders>
              <w:top w:val="nil"/>
              <w:left w:val="nil"/>
              <w:bottom w:val="single" w:sz="4" w:space="0" w:color="auto"/>
              <w:right w:val="single" w:sz="4" w:space="0" w:color="auto"/>
            </w:tcBorders>
            <w:shd w:val="clear" w:color="auto" w:fill="auto"/>
            <w:hideMark/>
          </w:tcPr>
          <w:p w14:paraId="4F3D191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75F7BBE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3BF06A21"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11244C55"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1132" w:type="dxa"/>
            <w:tcBorders>
              <w:top w:val="nil"/>
              <w:left w:val="nil"/>
              <w:bottom w:val="single" w:sz="4" w:space="0" w:color="auto"/>
              <w:right w:val="single" w:sz="4" w:space="0" w:color="auto"/>
            </w:tcBorders>
            <w:shd w:val="clear" w:color="auto" w:fill="auto"/>
            <w:hideMark/>
          </w:tcPr>
          <w:p w14:paraId="3891124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C761CA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3A37516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 COMMERCIAL</w:t>
            </w:r>
          </w:p>
        </w:tc>
      </w:tr>
      <w:tr w:rsidR="008A00FB" w:rsidRPr="008A00FB" w14:paraId="2CF128F4" w14:textId="77777777" w:rsidTr="008A00FB">
        <w:trPr>
          <w:trHeight w:val="320"/>
        </w:trPr>
        <w:tc>
          <w:tcPr>
            <w:tcW w:w="670" w:type="dxa"/>
            <w:tcBorders>
              <w:top w:val="nil"/>
              <w:left w:val="single" w:sz="4" w:space="0" w:color="auto"/>
              <w:bottom w:val="single" w:sz="4" w:space="0" w:color="auto"/>
              <w:right w:val="single" w:sz="4" w:space="0" w:color="auto"/>
            </w:tcBorders>
            <w:shd w:val="clear" w:color="auto" w:fill="auto"/>
            <w:hideMark/>
          </w:tcPr>
          <w:p w14:paraId="191FDED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76B5796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SDGE3226</w:t>
            </w:r>
          </w:p>
        </w:tc>
        <w:tc>
          <w:tcPr>
            <w:tcW w:w="2560" w:type="dxa"/>
            <w:tcBorders>
              <w:top w:val="nil"/>
              <w:left w:val="nil"/>
              <w:bottom w:val="single" w:sz="4" w:space="0" w:color="auto"/>
              <w:right w:val="single" w:sz="4" w:space="0" w:color="auto"/>
            </w:tcBorders>
            <w:shd w:val="clear" w:color="auto" w:fill="auto"/>
            <w:hideMark/>
          </w:tcPr>
          <w:p w14:paraId="2AFF82A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SW-COM Direct Install</w:t>
            </w:r>
          </w:p>
        </w:tc>
        <w:tc>
          <w:tcPr>
            <w:tcW w:w="1310" w:type="dxa"/>
            <w:tcBorders>
              <w:top w:val="nil"/>
              <w:left w:val="nil"/>
              <w:bottom w:val="single" w:sz="4" w:space="0" w:color="auto"/>
              <w:right w:val="single" w:sz="4" w:space="0" w:color="auto"/>
            </w:tcBorders>
            <w:shd w:val="clear" w:color="auto" w:fill="auto"/>
            <w:hideMark/>
          </w:tcPr>
          <w:p w14:paraId="2744A59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Commercial</w:t>
            </w:r>
          </w:p>
        </w:tc>
        <w:tc>
          <w:tcPr>
            <w:tcW w:w="1568" w:type="dxa"/>
            <w:tcBorders>
              <w:top w:val="nil"/>
              <w:left w:val="nil"/>
              <w:bottom w:val="single" w:sz="4" w:space="0" w:color="auto"/>
              <w:right w:val="single" w:sz="4" w:space="0" w:color="auto"/>
            </w:tcBorders>
            <w:shd w:val="clear" w:color="auto" w:fill="auto"/>
            <w:hideMark/>
          </w:tcPr>
          <w:p w14:paraId="0F90CED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Other</w:t>
            </w:r>
          </w:p>
        </w:tc>
        <w:tc>
          <w:tcPr>
            <w:tcW w:w="928" w:type="dxa"/>
            <w:tcBorders>
              <w:top w:val="nil"/>
              <w:left w:val="nil"/>
              <w:bottom w:val="single" w:sz="4" w:space="0" w:color="auto"/>
              <w:right w:val="single" w:sz="4" w:space="0" w:color="auto"/>
            </w:tcBorders>
            <w:shd w:val="clear" w:color="auto" w:fill="auto"/>
            <w:hideMark/>
          </w:tcPr>
          <w:p w14:paraId="415D0C04"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9A2C87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64F1ADA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Yes</w:t>
            </w:r>
          </w:p>
        </w:tc>
        <w:tc>
          <w:tcPr>
            <w:tcW w:w="1180" w:type="dxa"/>
            <w:tcBorders>
              <w:top w:val="nil"/>
              <w:left w:val="nil"/>
              <w:bottom w:val="single" w:sz="4" w:space="0" w:color="auto"/>
              <w:right w:val="single" w:sz="4" w:space="0" w:color="auto"/>
            </w:tcBorders>
            <w:shd w:val="clear" w:color="auto" w:fill="auto"/>
            <w:hideMark/>
          </w:tcPr>
          <w:p w14:paraId="0AFE5D9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5B5A295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Third Party Programs</w:t>
            </w:r>
          </w:p>
        </w:tc>
      </w:tr>
      <w:tr w:rsidR="008A00FB" w:rsidRPr="008A00FB" w14:paraId="0A498DEB"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3ABCE884"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7C30DB8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SDGE3254</w:t>
            </w:r>
          </w:p>
        </w:tc>
        <w:tc>
          <w:tcPr>
            <w:tcW w:w="2560" w:type="dxa"/>
            <w:tcBorders>
              <w:top w:val="nil"/>
              <w:left w:val="nil"/>
              <w:bottom w:val="single" w:sz="4" w:space="0" w:color="auto"/>
              <w:right w:val="single" w:sz="4" w:space="0" w:color="auto"/>
            </w:tcBorders>
            <w:shd w:val="clear" w:color="auto" w:fill="auto"/>
            <w:hideMark/>
          </w:tcPr>
          <w:p w14:paraId="7963BAF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Local WE&amp;T-Integrated Energy Education &amp; Training (IEET)</w:t>
            </w:r>
          </w:p>
        </w:tc>
        <w:tc>
          <w:tcPr>
            <w:tcW w:w="1310" w:type="dxa"/>
            <w:tcBorders>
              <w:top w:val="nil"/>
              <w:left w:val="nil"/>
              <w:bottom w:val="single" w:sz="4" w:space="0" w:color="auto"/>
              <w:right w:val="single" w:sz="4" w:space="0" w:color="auto"/>
            </w:tcBorders>
            <w:shd w:val="clear" w:color="auto" w:fill="auto"/>
            <w:hideMark/>
          </w:tcPr>
          <w:p w14:paraId="0209650A"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3D75DE1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and Training</w:t>
            </w:r>
          </w:p>
        </w:tc>
        <w:tc>
          <w:tcPr>
            <w:tcW w:w="928" w:type="dxa"/>
            <w:tcBorders>
              <w:top w:val="nil"/>
              <w:left w:val="nil"/>
              <w:bottom w:val="single" w:sz="4" w:space="0" w:color="auto"/>
              <w:right w:val="single" w:sz="4" w:space="0" w:color="auto"/>
            </w:tcBorders>
            <w:shd w:val="clear" w:color="auto" w:fill="auto"/>
            <w:hideMark/>
          </w:tcPr>
          <w:p w14:paraId="6DD6E231"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67B0529B"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725DF83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529BF8C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4A508A5"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&amp; Training Programs</w:t>
            </w:r>
          </w:p>
        </w:tc>
      </w:tr>
      <w:tr w:rsidR="008A00FB" w:rsidRPr="008A00FB" w14:paraId="4E817D19"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42D61A0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2AB17E7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SDGE3255</w:t>
            </w:r>
          </w:p>
        </w:tc>
        <w:tc>
          <w:tcPr>
            <w:tcW w:w="2560" w:type="dxa"/>
            <w:tcBorders>
              <w:top w:val="nil"/>
              <w:left w:val="nil"/>
              <w:bottom w:val="single" w:sz="4" w:space="0" w:color="auto"/>
              <w:right w:val="single" w:sz="4" w:space="0" w:color="auto"/>
            </w:tcBorders>
            <w:shd w:val="clear" w:color="auto" w:fill="auto"/>
            <w:hideMark/>
          </w:tcPr>
          <w:p w14:paraId="764CB793"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SW-WE&amp;T-Connections</w:t>
            </w:r>
          </w:p>
        </w:tc>
        <w:tc>
          <w:tcPr>
            <w:tcW w:w="1310" w:type="dxa"/>
            <w:tcBorders>
              <w:top w:val="nil"/>
              <w:left w:val="nil"/>
              <w:bottom w:val="single" w:sz="4" w:space="0" w:color="auto"/>
              <w:right w:val="single" w:sz="4" w:space="0" w:color="auto"/>
            </w:tcBorders>
            <w:shd w:val="clear" w:color="auto" w:fill="auto"/>
            <w:hideMark/>
          </w:tcPr>
          <w:p w14:paraId="782B6C46"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34E5AC98"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and Training</w:t>
            </w:r>
          </w:p>
        </w:tc>
        <w:tc>
          <w:tcPr>
            <w:tcW w:w="928" w:type="dxa"/>
            <w:tcBorders>
              <w:top w:val="nil"/>
              <w:left w:val="nil"/>
              <w:bottom w:val="single" w:sz="4" w:space="0" w:color="auto"/>
              <w:right w:val="single" w:sz="4" w:space="0" w:color="auto"/>
            </w:tcBorders>
            <w:shd w:val="clear" w:color="auto" w:fill="auto"/>
            <w:hideMark/>
          </w:tcPr>
          <w:p w14:paraId="6A1B2419"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2E44CDF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 </w:t>
            </w:r>
          </w:p>
        </w:tc>
        <w:tc>
          <w:tcPr>
            <w:tcW w:w="1132" w:type="dxa"/>
            <w:tcBorders>
              <w:top w:val="nil"/>
              <w:left w:val="nil"/>
              <w:bottom w:val="single" w:sz="4" w:space="0" w:color="auto"/>
              <w:right w:val="single" w:sz="4" w:space="0" w:color="auto"/>
            </w:tcBorders>
            <w:shd w:val="clear" w:color="auto" w:fill="auto"/>
            <w:hideMark/>
          </w:tcPr>
          <w:p w14:paraId="209E5260"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299725A2"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268B712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&amp; Training Programs</w:t>
            </w:r>
          </w:p>
        </w:tc>
      </w:tr>
      <w:tr w:rsidR="008A00FB" w:rsidRPr="008A00FB" w14:paraId="570EF972" w14:textId="77777777" w:rsidTr="008A00FB">
        <w:trPr>
          <w:trHeight w:val="480"/>
        </w:trPr>
        <w:tc>
          <w:tcPr>
            <w:tcW w:w="670" w:type="dxa"/>
            <w:tcBorders>
              <w:top w:val="nil"/>
              <w:left w:val="single" w:sz="4" w:space="0" w:color="auto"/>
              <w:bottom w:val="single" w:sz="4" w:space="0" w:color="auto"/>
              <w:right w:val="single" w:sz="4" w:space="0" w:color="auto"/>
            </w:tcBorders>
            <w:shd w:val="clear" w:color="auto" w:fill="auto"/>
            <w:hideMark/>
          </w:tcPr>
          <w:p w14:paraId="58A9194C"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w:t>
            </w:r>
          </w:p>
        </w:tc>
        <w:tc>
          <w:tcPr>
            <w:tcW w:w="1380" w:type="dxa"/>
            <w:tcBorders>
              <w:top w:val="nil"/>
              <w:left w:val="nil"/>
              <w:bottom w:val="single" w:sz="4" w:space="0" w:color="auto"/>
              <w:right w:val="single" w:sz="4" w:space="0" w:color="auto"/>
            </w:tcBorders>
            <w:shd w:val="clear" w:color="auto" w:fill="auto"/>
            <w:hideMark/>
          </w:tcPr>
          <w:p w14:paraId="6A3C640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SDGE3257</w:t>
            </w:r>
          </w:p>
        </w:tc>
        <w:tc>
          <w:tcPr>
            <w:tcW w:w="2560" w:type="dxa"/>
            <w:tcBorders>
              <w:top w:val="nil"/>
              <w:left w:val="nil"/>
              <w:bottom w:val="single" w:sz="4" w:space="0" w:color="auto"/>
              <w:right w:val="single" w:sz="4" w:space="0" w:color="auto"/>
            </w:tcBorders>
            <w:shd w:val="clear" w:color="auto" w:fill="auto"/>
            <w:hideMark/>
          </w:tcPr>
          <w:p w14:paraId="29D7590F"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SW-WE&amp;T-Strategic Planning</w:t>
            </w:r>
          </w:p>
        </w:tc>
        <w:tc>
          <w:tcPr>
            <w:tcW w:w="1310" w:type="dxa"/>
            <w:tcBorders>
              <w:top w:val="nil"/>
              <w:left w:val="nil"/>
              <w:bottom w:val="single" w:sz="4" w:space="0" w:color="auto"/>
              <w:right w:val="single" w:sz="4" w:space="0" w:color="auto"/>
            </w:tcBorders>
            <w:shd w:val="clear" w:color="auto" w:fill="auto"/>
            <w:hideMark/>
          </w:tcPr>
          <w:p w14:paraId="45806479"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Cross-Cutting</w:t>
            </w:r>
          </w:p>
        </w:tc>
        <w:tc>
          <w:tcPr>
            <w:tcW w:w="1568" w:type="dxa"/>
            <w:tcBorders>
              <w:top w:val="nil"/>
              <w:left w:val="nil"/>
              <w:bottom w:val="single" w:sz="4" w:space="0" w:color="auto"/>
              <w:right w:val="single" w:sz="4" w:space="0" w:color="auto"/>
            </w:tcBorders>
            <w:shd w:val="clear" w:color="auto" w:fill="auto"/>
            <w:hideMark/>
          </w:tcPr>
          <w:p w14:paraId="699B4F7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and Training</w:t>
            </w:r>
          </w:p>
        </w:tc>
        <w:tc>
          <w:tcPr>
            <w:tcW w:w="928" w:type="dxa"/>
            <w:tcBorders>
              <w:top w:val="nil"/>
              <w:left w:val="nil"/>
              <w:bottom w:val="single" w:sz="4" w:space="0" w:color="auto"/>
              <w:right w:val="single" w:sz="4" w:space="0" w:color="auto"/>
            </w:tcBorders>
            <w:shd w:val="clear" w:color="auto" w:fill="auto"/>
            <w:hideMark/>
          </w:tcPr>
          <w:p w14:paraId="0645974D"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2016</w:t>
            </w:r>
          </w:p>
        </w:tc>
        <w:tc>
          <w:tcPr>
            <w:tcW w:w="866" w:type="dxa"/>
            <w:tcBorders>
              <w:top w:val="nil"/>
              <w:left w:val="nil"/>
              <w:bottom w:val="single" w:sz="4" w:space="0" w:color="auto"/>
              <w:right w:val="single" w:sz="4" w:space="0" w:color="auto"/>
            </w:tcBorders>
            <w:shd w:val="clear" w:color="auto" w:fill="auto"/>
            <w:hideMark/>
          </w:tcPr>
          <w:p w14:paraId="36CA287C" w14:textId="77777777" w:rsidR="008A00FB" w:rsidRPr="008A00FB" w:rsidRDefault="008A00FB" w:rsidP="008A00FB">
            <w:pPr>
              <w:spacing w:after="0" w:line="240" w:lineRule="auto"/>
              <w:jc w:val="right"/>
              <w:rPr>
                <w:rFonts w:eastAsia="Times New Roman" w:cs="Arial"/>
                <w:color w:val="000000"/>
                <w:sz w:val="16"/>
                <w:szCs w:val="16"/>
              </w:rPr>
            </w:pPr>
            <w:r w:rsidRPr="008A00FB">
              <w:rPr>
                <w:rFonts w:eastAsia="Times New Roman" w:cs="Arial"/>
                <w:color w:val="000000"/>
                <w:sz w:val="16"/>
                <w:szCs w:val="16"/>
              </w:rPr>
              <w:t>2019</w:t>
            </w:r>
          </w:p>
        </w:tc>
        <w:tc>
          <w:tcPr>
            <w:tcW w:w="1132" w:type="dxa"/>
            <w:tcBorders>
              <w:top w:val="nil"/>
              <w:left w:val="nil"/>
              <w:bottom w:val="single" w:sz="4" w:space="0" w:color="auto"/>
              <w:right w:val="single" w:sz="4" w:space="0" w:color="auto"/>
            </w:tcBorders>
            <w:shd w:val="clear" w:color="auto" w:fill="auto"/>
            <w:hideMark/>
          </w:tcPr>
          <w:p w14:paraId="047FE9C7"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w:t>
            </w:r>
          </w:p>
        </w:tc>
        <w:tc>
          <w:tcPr>
            <w:tcW w:w="1180" w:type="dxa"/>
            <w:tcBorders>
              <w:top w:val="nil"/>
              <w:left w:val="nil"/>
              <w:bottom w:val="single" w:sz="4" w:space="0" w:color="auto"/>
              <w:right w:val="single" w:sz="4" w:space="0" w:color="auto"/>
            </w:tcBorders>
            <w:shd w:val="clear" w:color="auto" w:fill="auto"/>
            <w:hideMark/>
          </w:tcPr>
          <w:p w14:paraId="17CD993E"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None</w:t>
            </w:r>
          </w:p>
        </w:tc>
        <w:tc>
          <w:tcPr>
            <w:tcW w:w="2608" w:type="dxa"/>
            <w:tcBorders>
              <w:top w:val="nil"/>
              <w:left w:val="nil"/>
              <w:bottom w:val="single" w:sz="4" w:space="0" w:color="auto"/>
              <w:right w:val="single" w:sz="4" w:space="0" w:color="auto"/>
            </w:tcBorders>
            <w:shd w:val="clear" w:color="auto" w:fill="auto"/>
            <w:hideMark/>
          </w:tcPr>
          <w:p w14:paraId="457C928D" w14:textId="77777777" w:rsidR="008A00FB" w:rsidRPr="008A00FB" w:rsidRDefault="008A00FB" w:rsidP="008A00FB">
            <w:pPr>
              <w:spacing w:after="0" w:line="240" w:lineRule="auto"/>
              <w:rPr>
                <w:rFonts w:eastAsia="Times New Roman" w:cs="Arial"/>
                <w:color w:val="000000"/>
                <w:sz w:val="16"/>
                <w:szCs w:val="16"/>
              </w:rPr>
            </w:pPr>
            <w:r w:rsidRPr="008A00FB">
              <w:rPr>
                <w:rFonts w:eastAsia="Times New Roman" w:cs="Arial"/>
                <w:color w:val="000000"/>
                <w:sz w:val="16"/>
                <w:szCs w:val="16"/>
              </w:rPr>
              <w:t>Workforce Education &amp; Training Programs</w:t>
            </w:r>
          </w:p>
        </w:tc>
      </w:tr>
    </w:tbl>
    <w:p w14:paraId="67580668" w14:textId="77777777" w:rsidR="008A00FB" w:rsidRPr="00DB1FD0" w:rsidRDefault="008A00FB" w:rsidP="00DB1FD0"/>
    <w:sectPr w:rsidR="008A00FB" w:rsidRPr="00DB1FD0" w:rsidSect="008A00FB">
      <w:footerReference w:type="default" r:id="rId39"/>
      <w:pgSz w:w="15840" w:h="12240" w:orient="landscape"/>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0A34" w14:textId="77777777" w:rsidR="00DB1658" w:rsidRDefault="00DB1658" w:rsidP="0056007C">
      <w:r>
        <w:separator/>
      </w:r>
    </w:p>
  </w:endnote>
  <w:endnote w:type="continuationSeparator" w:id="0">
    <w:p w14:paraId="77157321" w14:textId="77777777" w:rsidR="00DB1658" w:rsidRDefault="00DB1658" w:rsidP="0056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w:altName w:val="﷽﷽﷽﷽﷽﷽﷽﷽夡"/>
    <w:panose1 w:val="000000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792851"/>
      <w:docPartObj>
        <w:docPartGallery w:val="Page Numbers (Bottom of Page)"/>
        <w:docPartUnique/>
      </w:docPartObj>
    </w:sdtPr>
    <w:sdtEndPr>
      <w:rPr>
        <w:rStyle w:val="PageNumber"/>
      </w:rPr>
    </w:sdtEndPr>
    <w:sdtContent>
      <w:p w14:paraId="5B466A9E" w14:textId="232375FA" w:rsidR="00385A26" w:rsidRDefault="00385A26" w:rsidP="008E10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97731060"/>
      <w:docPartObj>
        <w:docPartGallery w:val="Page Numbers (Bottom of Page)"/>
        <w:docPartUnique/>
      </w:docPartObj>
    </w:sdtPr>
    <w:sdtEndPr>
      <w:rPr>
        <w:rStyle w:val="PageNumber"/>
      </w:rPr>
    </w:sdtEndPr>
    <w:sdtContent>
      <w:p w14:paraId="23A6DAB5" w14:textId="39D4806D" w:rsidR="00385A26" w:rsidRDefault="00385A26" w:rsidP="008E1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F31464" w14:textId="77777777" w:rsidR="00385A26" w:rsidRDefault="00385A26" w:rsidP="00D87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45BD" w14:textId="23B2FA5E" w:rsidR="00385A26" w:rsidRPr="00D87E33" w:rsidRDefault="00385A26" w:rsidP="002727B8">
    <w:pPr>
      <w:pStyle w:val="Footer"/>
      <w:tabs>
        <w:tab w:val="left" w:pos="4227"/>
        <w:tab w:val="center" w:pos="4680"/>
        <w:tab w:val="left" w:pos="7377"/>
      </w:tabs>
      <w:spacing w:before="100" w:beforeAutospacing="1" w:after="120"/>
      <w:ind w:right="360"/>
      <w:rPr>
        <w:rStyle w:val="SubtleEmphasis"/>
      </w:rPr>
    </w:pPr>
    <w:r w:rsidRPr="002727B8">
      <w:rPr>
        <w:caps/>
        <w:noProof/>
        <w:sz w:val="18"/>
        <w:lang w:eastAsia="zh-CN"/>
      </w:rPr>
      <mc:AlternateContent>
        <mc:Choice Requires="wps">
          <w:drawing>
            <wp:anchor distT="0" distB="0" distL="0" distR="0" simplePos="0" relativeHeight="251659264" behindDoc="0" locked="0" layoutInCell="1" allowOverlap="1" wp14:anchorId="66E227CB" wp14:editId="612F02F8">
              <wp:simplePos x="0" y="0"/>
              <wp:positionH relativeFrom="rightMargin">
                <wp:posOffset>92075</wp:posOffset>
              </wp:positionH>
              <wp:positionV relativeFrom="bottomMargin">
                <wp:posOffset>208893</wp:posOffset>
              </wp:positionV>
              <wp:extent cx="457200" cy="33655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36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47EA2" w14:textId="77777777" w:rsidR="00385A26" w:rsidRPr="002727B8" w:rsidRDefault="00385A26">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227CB" id="Rectangle 40" o:spid="_x0000_s1026" style="position:absolute;margin-left:7.25pt;margin-top:16.45pt;width:36pt;height:26.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wIMjgIAAHAFAAAOAAAAZHJzL2Uyb0RvYy54bWysVE1PGzEQvVfqf7B8L5sAoRCxQRGIqhIC&#13;&#10;BFScHa+dXclftZ3spr++z97N8nmqmsNm7Jl5M/P87POLTiuyFT401pR0ejChRBhuq8asS/rr6frb&#13;&#10;KSUhMlMxZY0o6U4EerH4+uW8dXNxaGurKuEJQEyYt66kdYxuXhSB10KzcGCdMHBK6zWLWPp1UXnW&#13;&#10;Al2r4nAyOSla6yvnLRchYPeqd9JFxpdS8HgnZRCRqJKit5i/Pn9X6Vssztl87ZmrGz60wf6hC80a&#13;&#10;g6Ij1BWLjGx88wFKN9zbYGU84FYXVsqGizwDpplO3k3zWDMn8iwgJ7iRpvD/YPnt9t6TpirpMegx&#13;&#10;TOOMHsAaM2slCPZAUOvCHHGP7t4PqwAzTdtJr9M/5iBdJnU3kiq6SDg2j2ffcVCUcLiOjk5ms4xZ&#13;&#10;vCQ7H+IPYTVJRkk9qmcq2fYmRBRE6D4k1TL2ulEqn5sypAXo6RT4b1xIUQaZqfO+12zFnRIpTpkH&#13;&#10;ITE0ujvMiVlu4lJ5smUQCuNcmDjtXTWrRL89m+CXCAH8mJFXGTAhS7Q2Yg8AScofsXuYIT6liqzW&#13;&#10;MbmfaCzztrE+eczIla2JY7JujPWfTaYw1VC5j9+T1FOTWIrdqkNIMle22kEd3vbXJjh+3eCMbliI&#13;&#10;98zjnuBYcffjHT5SWZyFHSxKauv/fLaf4iFfeClpce9KGn5vmBeUqJ8Gwj6bHiclxrzI2qHEv/as&#13;&#10;XnvMRl9anNgUr4zj2USyj2pvSm/1M56IZaoKFzMctUu62puXsX8N8MRwsVzmIFxNx+KNeXQ8QSd6&#13;&#10;kwKfumfm3SDTCH3f2v0NZfN3au1jU6axy020sslSfmF1IB7XOitoeILSu/F6naNeHsrFXwAAAP//&#13;&#10;AwBQSwMEFAAGAAgAAAAhAB2fjBHiAAAADAEAAA8AAABkcnMvZG93bnJldi54bWxMT8lOwzAQvSPx&#13;&#10;D9YgcUHUodCqSeNUiOVQIbGUgsTNjSeLsMchdtrw9wwnuMzo6c28JV+Nzoo99qH1pOBikoBAKr1p&#13;&#10;qVawfb0/X4AIUZPR1hMq+MYAq+L4KNeZ8Qd6wf0m1oJFKGRaQRNjl0kZygadDhPfITFX+d7pyLCv&#13;&#10;pen1gcWdldMkmUunW2KHRnd402D5uRmcgnR4f/p6+LDbfv38ttaPd5U9M5VSpyfj7ZLH9RJExDH+&#13;&#10;fcBvB84PBQfb+YFMEJbx1YwvFVxOUxDML+aMd7xnKcgil/9LFD8AAAD//wMAUEsBAi0AFAAGAAgA&#13;&#10;AAAhALaDOJL+AAAA4QEAABMAAAAAAAAAAAAAAAAAAAAAAFtDb250ZW50X1R5cGVzXS54bWxQSwEC&#13;&#10;LQAUAAYACAAAACEAOP0h/9YAAACUAQAACwAAAAAAAAAAAAAAAAAvAQAAX3JlbHMvLnJlbHNQSwEC&#13;&#10;LQAUAAYACAAAACEAwQsCDI4CAABwBQAADgAAAAAAAAAAAAAAAAAuAgAAZHJzL2Uyb0RvYy54bWxQ&#13;&#10;SwECLQAUAAYACAAAACEAHZ+MEeIAAAAMAQAADwAAAAAAAAAAAAAAAADoBAAAZHJzL2Rvd25yZXYu&#13;&#10;eG1sUEsFBgAAAAAEAAQA8wAAAPcFAAAAAA==&#13;&#10;" filled="f" stroked="f" strokeweight="3pt">
              <v:textbox>
                <w:txbxContent>
                  <w:p w14:paraId="77447EA2" w14:textId="77777777" w:rsidR="00385A26" w:rsidRPr="002727B8" w:rsidRDefault="00385A26">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v:textbox>
              <w10:wrap type="square" anchorx="margin" anchory="margin"/>
            </v:rect>
          </w:pict>
        </mc:Fallback>
      </mc:AlternateContent>
    </w:r>
    <w:r w:rsidRPr="002727B8">
      <w:rPr>
        <w:caps/>
        <w:noProof/>
        <w:color w:val="808080" w:themeColor="background1" w:themeShade="80"/>
        <w:sz w:val="18"/>
        <w:lang w:eastAsia="zh-CN"/>
      </w:rPr>
      <mc:AlternateContent>
        <mc:Choice Requires="wpg">
          <w:drawing>
            <wp:anchor distT="0" distB="0" distL="0" distR="0" simplePos="0" relativeHeight="251660288" behindDoc="0" locked="0" layoutInCell="1" allowOverlap="1" wp14:anchorId="38E218F8" wp14:editId="309D5944">
              <wp:simplePos x="0" y="0"/>
              <wp:positionH relativeFrom="margin">
                <wp:posOffset>-194733</wp:posOffset>
              </wp:positionH>
              <wp:positionV relativeFrom="bottomMargin">
                <wp:posOffset>186267</wp:posOffset>
              </wp:positionV>
              <wp:extent cx="6637866" cy="320040"/>
              <wp:effectExtent l="0" t="0" r="4445" b="0"/>
              <wp:wrapSquare wrapText="bothSides"/>
              <wp:docPr id="37" name="Group 37"/>
              <wp:cNvGraphicFramePr/>
              <a:graphic xmlns:a="http://schemas.openxmlformats.org/drawingml/2006/main">
                <a:graphicData uri="http://schemas.microsoft.com/office/word/2010/wordprocessingGroup">
                  <wpg:wgp>
                    <wpg:cNvGrpSpPr/>
                    <wpg:grpSpPr>
                      <a:xfrm>
                        <a:off x="0" y="0"/>
                        <a:ext cx="6637866"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F7767" w14:textId="77777777" w:rsidR="00385A26" w:rsidRDefault="00385A2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218F8" id="Group 37" o:spid="_x0000_s1027" style="position:absolute;margin-left:-15.35pt;margin-top:14.65pt;width:522.6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y2+egMAAJQKAAAOAAAAZHJzL2Uyb0RvYy54bWzMVltP2zAUfp+0/2D5faRpadpGBMRgoEkI&#13;&#10;EDDx7DpOE82xPdslYb9+x3aSQqk2xCREH1JfzvU75zvJwVFbc/TAtKmkyHC8N8KICSrzSqwy/OPu&#13;&#10;7MscI2OJyAmXgmX4kRl8dPj500GjUjaWpeQ50wiMCJM2KsOltSqNIkNLVhOzJxUTcFlIXRMLW72K&#13;&#10;ck0asF7zaDwaJVEjda60pMwYOD0Nl/jQ2y8KRu1VURhmEc8wxGb9U/vn0j2jwwOSrjRRZUW7MMgb&#13;&#10;oqhJJcDpYOqUWILWunphqq6olkYWdo/KOpJFUVHmc4Bs4tFWNudarpXPZZU2KzXABNBu4fRms/Ty&#13;&#10;4VqjKs/wZIaRIDXUyLtFsAdwGrVKQeZcq1t1rbuDVdi5fNtC1+4fMkGth/VxgJW1FlE4TJLJbJ4k&#13;&#10;GFG4m0DV9jvcaQnFeaFGy2+d4nSRjJMplC0oTubT2MUU9W4jF90QTKOghcwGJfN/KN2WRDEPvnEI&#13;&#10;9ChBPweUbqC3iFhxhibzgJSXG2AyqQHEdmAUL0Yup5c4TRf7k2TUpRvP5+PkWbYkVdrYcyZr5BYZ&#13;&#10;1hCBbzrycGFsAKYXcX6N5FV+VnHuN45R7IRr9ECAC7btoXwmxYWTFdJpBYPuBHDus/Er+8iZk+Pi&#13;&#10;hhXQPFDjsQ/E03bjhFDKhI3DVUlyFnxPR/DrUhs0fFm9QWe5AP+D7c7A8wR62yHKTt6pMs/6QXn0&#13;&#10;t8CC8qDhPUthB+W6ElLvMsAhq85zkO9BCtA4lJYyf4Sm0TLMHKPoWQVluyDGXhMNQwYKDYPTXsGj&#13;&#10;4LLJsOxWGJVS/9517uShq+EWowaGVobNrzXRDCP+XUC/L+J94BayfrM/nY1ho5/eLJ/eiHV9IqEX&#13;&#10;YhjRivqlk7e8XxZa1vcwX4+dV7gigoLvDFOr+82JDcMUJjRlx8deDCabIvZC3CrqjDtUXVvetfdE&#13;&#10;q653LQyHS9lzjKRbLRxknaaQx2sri8r39wbXDm/gu5tR70H8RU/8OzfXvsoWTRZbvEe2hXOXM/SG&#13;&#10;Z8ruCQBQAvuTJJl5hkPPDgPvyQQYT2fxbNq1WT9ne36/cgQMTHZkRdBjyQRmT8D1Ocd74nSTZBO9&#13;&#10;X+1g/CuItZvOr1B8bzrnP/9JZ9suW/+eHIr7gQkODfZmci8/ErX9Gx4+ffzboftMc99WT/d+FGw+&#13;&#10;Jg//AAAA//8DAFBLAwQUAAYACAAAACEA855llOQAAAAPAQAADwAAAGRycy9kb3ducmV2LnhtbExP&#13;&#10;S2vCQBC+F/oflin0prsxrakxExH7OEmhWii9rdkxCWZ3Q3ZN4r/veqqXgY/5ntlq1A3rqXO1NQjR&#13;&#10;VAAjU1hVmxLhe/8+eQHmvDRKNtYQwoUcrPL7u0ymyg7mi/qdL1kwMS6VCJX3bcq5KyrS0k1tSyb8&#13;&#10;jrbT0gfYlVx1cgjmuuEzIeZcy9qEhEq2tKmoOO3OGuFjkMM6jt767em4ufzunz9/thEhPj6Mr8tw&#13;&#10;1ktgnkb/r4DrhtAf8lDsYM9GOdYgTGKRBCrCbBEDuxJE9DQHdkBIFgnwPOO3O/I/AAAA//8DAFBL&#13;&#10;AQItABQABgAIAAAAIQC2gziS/gAAAOEBAAATAAAAAAAAAAAAAAAAAAAAAABbQ29udGVudF9UeXBl&#13;&#10;c10ueG1sUEsBAi0AFAAGAAgAAAAhADj9If/WAAAAlAEAAAsAAAAAAAAAAAAAAAAALwEAAF9yZWxz&#13;&#10;Ly5yZWxzUEsBAi0AFAAGAAgAAAAhAG+TLb56AwAAlAoAAA4AAAAAAAAAAAAAAAAALgIAAGRycy9l&#13;&#10;Mm9Eb2MueG1sUEsBAi0AFAAGAAgAAAAhAPOeZZTkAAAADwEAAA8AAAAAAAAAAAAAAAAA1AUAAGRy&#13;&#10;cy9kb3ducmV2LnhtbFBLBQYAAAAABAAEAPMAAADlBgAAAAA=&#13;&#10;">
              <v:rect id="Rectangle 38" o:spid="_x0000_s1028"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qRPxwAAAOAAAAAPAAAAZHJzL2Rvd25yZXYueG1sRI/BasMw&#13;&#10;DIbvg72D0WC31VkLpUvrlrKusNOgWRg7iliNQ2I5xG6avf10KPQi+BH/J32b3eQ7NdIQm8AGXmcZ&#13;&#10;KOIq2IZrA+X38WUFKiZki11gMvBHEXbbx4cN5jZc+URjkWolEI45GnAp9bnWsXLkMc5CTyy7cxg8&#13;&#10;JolDre2AV4H7Ts+zbKk9NiwXHPb07qhqi4s3UP8eP8apdRROcVFc2v6t/Pqxxjw/TYe1jP0aVKIp&#13;&#10;3Rs3xKc1sJCPRUhkQG//AQAA//8DAFBLAQItABQABgAIAAAAIQDb4fbL7gAAAIUBAAATAAAAAAAA&#13;&#10;AAAAAAAAAAAAAABbQ29udGVudF9UeXBlc10ueG1sUEsBAi0AFAAGAAgAAAAhAFr0LFu/AAAAFQEA&#13;&#10;AAsAAAAAAAAAAAAAAAAAHwEAAF9yZWxzLy5yZWxzUEsBAi0AFAAGAAgAAAAhAF9apE/HAAAA4AAA&#13;&#10;AA8AAAAAAAAAAAAAAAAABwIAAGRycy9kb3ducmV2LnhtbFBLBQYAAAAAAwADALcAAAD7AgAAAAA=&#13;&#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14:paraId="486F7767" w14:textId="77777777" w:rsidR="00385A26" w:rsidRDefault="00385A26">
                      <w:pPr>
                        <w:jc w:val="right"/>
                        <w:rPr>
                          <w:color w:val="808080" w:themeColor="background1" w:themeShade="80"/>
                        </w:rPr>
                      </w:pPr>
                    </w:p>
                  </w:txbxContent>
                </v:textbox>
              </v:shape>
              <w10:wrap type="square" anchorx="margin"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358A" w14:textId="27D88330" w:rsidR="00531760" w:rsidRPr="00D87E33" w:rsidRDefault="00531760" w:rsidP="002727B8">
    <w:pPr>
      <w:pStyle w:val="Footer"/>
      <w:tabs>
        <w:tab w:val="left" w:pos="4227"/>
        <w:tab w:val="center" w:pos="4680"/>
        <w:tab w:val="left" w:pos="7377"/>
      </w:tabs>
      <w:spacing w:before="100" w:beforeAutospacing="1" w:after="120"/>
      <w:ind w:right="360"/>
      <w:rPr>
        <w:rStyle w:val="SubtleEmphasis"/>
      </w:rPr>
    </w:pPr>
    <w:r w:rsidRPr="002727B8">
      <w:rPr>
        <w:caps/>
        <w:noProof/>
        <w:color w:val="808080" w:themeColor="background1" w:themeShade="80"/>
        <w:sz w:val="18"/>
        <w:lang w:eastAsia="zh-CN"/>
      </w:rPr>
      <mc:AlternateContent>
        <mc:Choice Requires="wpg">
          <w:drawing>
            <wp:anchor distT="0" distB="0" distL="0" distR="0" simplePos="0" relativeHeight="251667456" behindDoc="0" locked="0" layoutInCell="1" allowOverlap="1" wp14:anchorId="1A79A931" wp14:editId="343408DB">
              <wp:simplePos x="0" y="0"/>
              <wp:positionH relativeFrom="margin">
                <wp:posOffset>-194945</wp:posOffset>
              </wp:positionH>
              <wp:positionV relativeFrom="bottomMargin">
                <wp:posOffset>186055</wp:posOffset>
              </wp:positionV>
              <wp:extent cx="9109710" cy="320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9109710" cy="320040"/>
                        <a:chOff x="0" y="0"/>
                        <a:chExt cx="5962650" cy="323851"/>
                      </a:xfrm>
                    </wpg:grpSpPr>
                    <wps:wsp>
                      <wps:cNvPr id="13" name="Rectangle 13"/>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703C2" w14:textId="77777777" w:rsidR="00531760" w:rsidRDefault="0053176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79A931" id="Group 10" o:spid="_x0000_s1030" style="position:absolute;margin-left:-15.35pt;margin-top:14.65pt;width:717.3pt;height:25.2pt;z-index:251667456;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USAcwMAAJQKAAAOAAAAZHJzL2Uyb0RvYy54bWzMVltP2zAUfp+0/2DlfSRpm5RGpKhjA01C&#13;&#10;gICJZ9dxmmiO7dluE/brd+xc2kK1MSYh+pD6cq7fOd9JTk6biqENVboUPPXCo8BDlBORlXyVet/v&#13;&#10;zz8de0gbzDPMBKep90i1dzr/+OGklgkdiUKwjCoERrhOapl6hTEy8X1NClphfSQk5XCZC1VhA1u1&#13;&#10;8jOFa7BeMX8UBLFfC5VJJQjVGk6/tJfe3NnPc0rMdZ5rahBLPYjNuKdyz6V9+vMTnKwUlkVJujDw&#13;&#10;K6KocMnB6WDqCzYYrVX5zFRVEiW0yM0REZUv8rwk1OUA2YTBk2wulFhLl8sqqVdygAmgfYLTq82S&#13;&#10;q82NQmUGtQN4OK6gRs4tgj2AU8tVAjIXSt7JG9UdrNqdzbfJVWX/IRPUOFgfB1hpYxCBw1kYzKbW&#13;&#10;PIG7MVRt0uFOCijOMzVSfO0Uo1k8iqNBcXwchTYmv3fr2+iGYGoJLaS3KOn/Q+muwJI68LVFoEdp&#13;&#10;3KN0C72F+YpRFI5bpJzcAJNONCB2AKNwFticnuMUzSbjOOjSDY+PR/FetjiRSpsLKipkF6mnIALX&#13;&#10;dHhzqU0LTC9i/WrByuy8ZMxtLKPoGVNog4ELpumh3JNi3MpyYbVag/YEcO6zcSvzyKiVY/yW5tA8&#13;&#10;UOORC8TRdusEE0K5CdurAme09R0F8OtSGzRcWZ1BazkH/4PtzsB+Ar3tNspO3qpSx/pBOfhTYK3y&#13;&#10;oOE8C24G5arkQh0ywCCrznMr34PUQmNRWorsEZpGiXbmaEnOSyjbJdbmBisYMlBoGJzmGh45E3Xq&#13;&#10;iW7loUKoX4fOrTx0Ndx6qIahlXr65xor6iH2jUO/z8IJcAsZt5lE0xFs1O7NcveGr6szAb0QwoiW&#13;&#10;xC2tvGH9MleieoD5urBe4QpzAr5TjxjVb85MO0xhQhO6WDgxmGwSm0t+J4k1blG1bXnfPGAlu941&#13;&#10;MByuRM8xnDxp4VbWanKxWBuRl66/t7h2eAPf7Yx6C+JHPfHv7Vz7LBoURk94j0wD5zZn6A3HlMMT&#13;&#10;AKAE9sdxPHUMh54dBt7OBBhF03DqXAwD759HwMBkS1YEPRaPYfa0uO5zvCdON0m20bvVAca/gFiH&#13;&#10;6fwCxbemc/bjr3Q2zbJx78lRX9x3THBosFeTe/meqO3e8PDp494O3Wea/bba3btRsP2YnP8GAAD/&#13;&#10;/wMAUEsDBBQABgAIAAAAIQCoqL8S5AAAAA8BAAAPAAAAZHJzL2Rvd25yZXYueG1sTE/JasMwEL0X&#13;&#10;+g9iCr0lkuO2rh3LIaTLKRSaFEpvijWxTayRsRTb+fsqp/Yy8Ji35qvJtGzA3jWWJERzAQyptLqh&#13;&#10;SsLX/m32DMx5RVq1llDCBR2situbXGXajvSJw85XLJiQy5SE2vsu49yVNRrl5rZDCr+j7Y3yAfYV&#13;&#10;170ag7lp+UKIJ25UQyGhVh1uaixPu7OR8D6qcR1Hr8P2dNxcfvaPH9/bCKW8v5teluGsl8A8Tv5P&#13;&#10;AdcNoT8UodjBnkk71kqYxSIJVAmLNAZ2JTyIOAV2kJCkCfAi5/93FL8AAAD//wMAUEsBAi0AFAAG&#13;&#10;AAgAAAAhALaDOJL+AAAA4QEAABMAAAAAAAAAAAAAAAAAAAAAAFtDb250ZW50X1R5cGVzXS54bWxQ&#13;&#10;SwECLQAUAAYACAAAACEAOP0h/9YAAACUAQAACwAAAAAAAAAAAAAAAAAvAQAAX3JlbHMvLnJlbHNQ&#13;&#10;SwECLQAUAAYACAAAACEA4NVEgHMDAACUCgAADgAAAAAAAAAAAAAAAAAuAgAAZHJzL2Uyb0RvYy54&#13;&#10;bWxQSwECLQAUAAYACAAAACEAqKi/EuQAAAAPAQAADwAAAAAAAAAAAAAAAADNBQAAZHJzL2Rvd25y&#13;&#10;ZXYueG1sUEsFBgAAAAAEAAQA8wAAAN4GAAAAAA==&#13;&#10;">
              <v:rect id="Rectangle 13" o:spid="_x0000_s1031"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2pexgAAAOAAAAAPAAAAZHJzL2Rvd25yZXYueG1sRI/BasMw&#13;&#10;DIbvg76DUaG3xdkCY03rltGusNOgaSg7iliLQ2I5xE6avv08GOwiJH7+T3zb/Ww7MdHgG8cKnpIU&#13;&#10;BHHldMO1gvJyenwF4QOyxs4xKbiTh/1u8bDFXLsbn2kqQi0ihH2OCkwIfS6lrwxZ9InriWP27QaL&#13;&#10;IZ5DLfWAtwi3nXxO0xdpseH4wWBPB0NVW4xWQf11ep/m1pA7+6wY235dfl61UqvlfNzE8bYBEWgO&#13;&#10;/40/xIeODhn8CsUF5O4HAAD//wMAUEsBAi0AFAAGAAgAAAAhANvh9svuAAAAhQEAABMAAAAAAAAA&#13;&#10;AAAAAAAAAAAAAFtDb250ZW50X1R5cGVzXS54bWxQSwECLQAUAAYACAAAACEAWvQsW78AAAAVAQAA&#13;&#10;CwAAAAAAAAAAAAAAAAAfAQAAX3JlbHMvLnJlbHNQSwECLQAUAAYACAAAACEAGktqXsYAAADg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Text Box 15" o:spid="_x0000_s1032"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1FxyAAAAOAAAAAPAAAAZHJzL2Rvd25yZXYueG1sRI/BagIx&#13;&#10;EIbvQt8hjNCbZt2ilNUoYintSajVg7dhM25WN5MlyerWp28KBS/DDD//N3yLVW8bcSUfascKJuMM&#13;&#10;BHHpdM2Vgv33++gVRIjIGhvHpOCHAqyWT4MFFtrd+Iuuu1iJBOFQoAITY1tIGUpDFsPYtcQpOzlv&#13;&#10;MabTV1J7vCW4bWSeZTNpseb0wWBLG0PlZddZBf6wzdeb8/HQ5R/yXpl996JnW6Weh/3bPI31HESk&#13;&#10;Pj4a/4hPnRym8CeUFpDLXwAAAP//AwBQSwECLQAUAAYACAAAACEA2+H2y+4AAACFAQAAEwAAAAAA&#13;&#10;AAAAAAAAAAAAAAAAW0NvbnRlbnRfVHlwZXNdLnhtbFBLAQItABQABgAIAAAAIQBa9CxbvwAAABUB&#13;&#10;AAALAAAAAAAAAAAAAAAAAB8BAABfcmVscy8ucmVsc1BLAQItABQABgAIAAAAIQAJG1FxyAAAAOAA&#13;&#10;AAAPAAAAAAAAAAAAAAAAAAcCAABkcnMvZG93bnJldi54bWxQSwUGAAAAAAMAAwC3AAAA/AIAAAAA&#13;&#10;" filled="f" stroked="f" strokeweight=".5pt">
                <v:textbox inset=",,,0">
                  <w:txbxContent>
                    <w:p w14:paraId="37B703C2" w14:textId="77777777" w:rsidR="00531760" w:rsidRDefault="00531760">
                      <w:pPr>
                        <w:jc w:val="right"/>
                        <w:rPr>
                          <w:color w:val="808080" w:themeColor="background1" w:themeShade="80"/>
                        </w:rPr>
                      </w:pPr>
                    </w:p>
                  </w:txbxContent>
                </v:textbox>
              </v:shape>
              <w10:wrap type="square" anchorx="margin" anchory="margin"/>
            </v:group>
          </w:pict>
        </mc:Fallback>
      </mc:AlternateContent>
    </w:r>
    <w:r w:rsidRPr="002727B8">
      <w:rPr>
        <w:caps/>
        <w:noProof/>
        <w:sz w:val="18"/>
        <w:lang w:eastAsia="zh-CN"/>
      </w:rPr>
      <mc:AlternateContent>
        <mc:Choice Requires="wps">
          <w:drawing>
            <wp:anchor distT="0" distB="0" distL="0" distR="0" simplePos="0" relativeHeight="251666432" behindDoc="0" locked="0" layoutInCell="1" allowOverlap="1" wp14:anchorId="1A7CC275" wp14:editId="186C0A0E">
              <wp:simplePos x="0" y="0"/>
              <wp:positionH relativeFrom="rightMargin">
                <wp:posOffset>92075</wp:posOffset>
              </wp:positionH>
              <wp:positionV relativeFrom="bottomMargin">
                <wp:posOffset>208893</wp:posOffset>
              </wp:positionV>
              <wp:extent cx="457200" cy="336550"/>
              <wp:effectExtent l="0" t="0" r="0" b="0"/>
              <wp:wrapSquare wrapText="bothSides"/>
              <wp:docPr id="6" name="Rectangle 6"/>
              <wp:cNvGraphicFramePr/>
              <a:graphic xmlns:a="http://schemas.openxmlformats.org/drawingml/2006/main">
                <a:graphicData uri="http://schemas.microsoft.com/office/word/2010/wordprocessingShape">
                  <wps:wsp>
                    <wps:cNvSpPr/>
                    <wps:spPr>
                      <a:xfrm>
                        <a:off x="0" y="0"/>
                        <a:ext cx="457200" cy="336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9D8B2" w14:textId="77777777" w:rsidR="00531760" w:rsidRPr="002727B8" w:rsidRDefault="0053176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CC275" id="Rectangle 6" o:spid="_x0000_s1033" style="position:absolute;margin-left:7.25pt;margin-top:16.45pt;width:36pt;height:26.5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sW0kgIAAHUFAAAOAAAAZHJzL2Uyb0RvYy54bWysVEtv2zAMvg/YfxB0X520TdYFdYqgRYcB&#13;&#10;RVe0HXpWZCk2IIsapcTOfv0oyXGfp2E5KJJJfiQ/Ps4v+tawnULfgC359GjCmbISqsZuSv7r8frL&#13;&#10;GWc+CFsJA1aVfK88v1h+/nTeuYU6hhpMpZARiPWLzpW8DsEtisLLWrXCH4FTloQasBWBnrgpKhQd&#13;&#10;obemOJ5M5kUHWDkEqbynr1dZyJcJX2slw0+tvQrMlJxiC+nEdK7jWSzPxWKDwtWNHMIQ/xBFKxpL&#13;&#10;TkeoKxEE22LzDqptJIIHHY4ktAVo3UiVcqBsppM32TzUwqmUC5Hj3UiT/3+w8nZ3h6ypSj7nzIqW&#13;&#10;SnRPpAm7MYrNIz2d8wvSenB3OLw8XWOuvcY2/lMWrE+U7kdKVR+YpI+ns69UJs4kiU5O5rNZorx4&#13;&#10;Nnbow3cFLYuXkiM5T0SK3Y0P5JBUDyrRl4XrxphUNWNZR6BnU8J/JSITY8kyRp5jTbewNyrqGXuv&#13;&#10;NKVM0R0nw9Rs6tIg2wlqEyGlsmGaRbWoVP48m9AvEkLwo0V6JcCIrCm0EXsAiI38HjvDDPrRVKVe&#13;&#10;HY1zRqOb14Fl49EieQYbRuO2sYAfZWYoq8Fz1j+QlKmJLIV+3ad2ODnUfg3VnloEIc+Od/K6oVLd&#13;&#10;CB/uBNKwUHVpAYSfdGgDVBIYbpzVgH8++h71qYdJyllHw1dy/3srUHFmfljq7m/T09M4remRWogz&#13;&#10;fClZv5TYbXsJVLgprRon05WMMZjDVSO0T7QnVtEriYSV5Lvk68P1MuSVQHtGqtUqKdF8OhFu7IOT&#13;&#10;ETqyHBvxsX8S6IZuDdTmt3AYU7F407RZN1paWG0D6CZ1dOQ5szrwT7OdGmnYQ3F5vHwnredtufwL&#13;&#10;AAD//wMAUEsDBBQABgAIAAAAIQAdn4wR4gAAAAwBAAAPAAAAZHJzL2Rvd25yZXYueG1sTE/JTsMw&#13;&#10;EL0j8Q/WIHFB1KHQqknjVIjlUCGxlILEzY0ni7DHIXba8PcMJ7jM6OnNvCVfjc6KPfah9aTgYpKA&#13;&#10;QCq9aalWsH29P1+ACFGT0dYTKvjGAKvi+CjXmfEHesH9JtaCRShkWkETY5dJGcoGnQ4T3yExV/ne&#13;&#10;6ciwr6Xp9YHFnZXTJJlLp1tih0Z3eNNg+bkZnIJ0eH/6eviw2379/LbWj3eVPTOVUqcn4+2Sx/US&#13;&#10;RMQx/n3AbwfODwUH2/mBTBCW8dWMLxVcTlMQzC/mjHe8ZynIIpf/SxQ/AAAA//8DAFBLAQItABQA&#13;&#10;BgAIAAAAIQC2gziS/gAAAOEBAAATAAAAAAAAAAAAAAAAAAAAAABbQ29udGVudF9UeXBlc10ueG1s&#13;&#10;UEsBAi0AFAAGAAgAAAAhADj9If/WAAAAlAEAAAsAAAAAAAAAAAAAAAAALwEAAF9yZWxzLy5yZWxz&#13;&#10;UEsBAi0AFAAGAAgAAAAhANb2xbSSAgAAdQUAAA4AAAAAAAAAAAAAAAAALgIAAGRycy9lMm9Eb2Mu&#13;&#10;eG1sUEsBAi0AFAAGAAgAAAAhAB2fjBHiAAAADAEAAA8AAAAAAAAAAAAAAAAA7AQAAGRycy9kb3du&#13;&#10;cmV2LnhtbFBLBQYAAAAABAAEAPMAAAD7BQAAAAA=&#13;&#10;" filled="f" stroked="f" strokeweight="3pt">
              <v:textbox>
                <w:txbxContent>
                  <w:p w14:paraId="1A79D8B2" w14:textId="77777777" w:rsidR="00531760" w:rsidRPr="002727B8" w:rsidRDefault="0053176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v:textbox>
              <w10:wrap type="square" anchorx="margin"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10E5" w14:textId="77777777" w:rsidR="00531760" w:rsidRPr="00D87E33" w:rsidRDefault="00531760" w:rsidP="002727B8">
    <w:pPr>
      <w:pStyle w:val="Footer"/>
      <w:tabs>
        <w:tab w:val="left" w:pos="4227"/>
        <w:tab w:val="center" w:pos="4680"/>
        <w:tab w:val="left" w:pos="7377"/>
      </w:tabs>
      <w:spacing w:before="100" w:beforeAutospacing="1" w:after="120"/>
      <w:ind w:right="360"/>
      <w:rPr>
        <w:rStyle w:val="SubtleEmphasis"/>
      </w:rPr>
    </w:pPr>
    <w:r w:rsidRPr="002727B8">
      <w:rPr>
        <w:caps/>
        <w:noProof/>
        <w:sz w:val="18"/>
        <w:lang w:eastAsia="zh-CN"/>
      </w:rPr>
      <mc:AlternateContent>
        <mc:Choice Requires="wps">
          <w:drawing>
            <wp:anchor distT="0" distB="0" distL="0" distR="0" simplePos="0" relativeHeight="251669504" behindDoc="0" locked="0" layoutInCell="1" allowOverlap="1" wp14:anchorId="460ECF46" wp14:editId="41327F1B">
              <wp:simplePos x="0" y="0"/>
              <wp:positionH relativeFrom="rightMargin">
                <wp:posOffset>92075</wp:posOffset>
              </wp:positionH>
              <wp:positionV relativeFrom="bottomMargin">
                <wp:posOffset>208893</wp:posOffset>
              </wp:positionV>
              <wp:extent cx="457200" cy="336550"/>
              <wp:effectExtent l="0" t="0" r="0" b="0"/>
              <wp:wrapSquare wrapText="bothSides"/>
              <wp:docPr id="16" name="Rectangle 16"/>
              <wp:cNvGraphicFramePr/>
              <a:graphic xmlns:a="http://schemas.openxmlformats.org/drawingml/2006/main">
                <a:graphicData uri="http://schemas.microsoft.com/office/word/2010/wordprocessingShape">
                  <wps:wsp>
                    <wps:cNvSpPr/>
                    <wps:spPr>
                      <a:xfrm>
                        <a:off x="0" y="0"/>
                        <a:ext cx="457200" cy="336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FE7CC" w14:textId="77777777" w:rsidR="00531760" w:rsidRPr="002727B8" w:rsidRDefault="0053176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ECF46" id="Rectangle 16" o:spid="_x0000_s1034" style="position:absolute;margin-left:7.25pt;margin-top:16.45pt;width:36pt;height:26.5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EGMkwIAAHcFAAAOAAAAZHJzL2Uyb0RvYy54bWysVE1vGyEQvVfqf0Dcm7UTO02trCMrUapK&#13;&#10;URolqXLGLHhXYoEC9q776/uA9ebzVNWHNTAzb2befJxf9K0iO+F8Y3RJp0cTSoTmpmr0pqS/Hq+/&#13;&#10;nFHiA9MVU0aLku6FpxfLz5/OO7sQx6Y2qhKOAET7RWdLWodgF0XheS1a5o+MFRpCaVzLAq5uU1SO&#13;&#10;dUBvVXE8mZwWnXGVdYYL7/F6lYV0mfClFDz8lNKLQFRJEVtIX5e+6/gtludssXHM1g0fwmD/EEXL&#13;&#10;Gg2nI9QVC4xsXfMOqm24M97IcMRNWxgpGy5SDshmOnmTzUPNrEi5gBxvR5r8/4Plt7s7R5oKtTul&#13;&#10;RLMWNboHa0xvlCB4A0Gd9QvoPdg7N9w8jjHbXro2/iMP0idS9yOpog+E43E2/4pCUcIhOjk5nc8T&#13;&#10;6cWzsXU+fBemJfFQUgfviUq2u/EBDqF6UIm+tLlulEp1U5p0AD2bAv+VCCZKwzJGnmNNp7BXIuop&#13;&#10;fS8kkkZ0x8kwtZu4VI7sGBqFcS50mGZRzSqRn+cT/CIhgB8t0i0BRmSJ0EbsASC28nvsDDPoR1OR&#13;&#10;unU0zhmNbl4Hlo1Hi+TZ6DAat4027qPMFLIaPGf9A0mZmshS6Nd9aojZofZrU+3RJM7k6fGWXzco&#13;&#10;1Q3z4Y45jAuqixUQfuIjlUFJzHCipDbuz0fvUR9dDCklHcavpP73ljlBifqh0d/fprNZnNd0SS1E&#13;&#10;iXspWb+U6G17aVC4KZaN5ekIYxfU4SidaZ+wKVbRK0RMc/gu6fpwvAx5KWDTcLFaJSVMqGXhRj9Y&#13;&#10;HqEjy7ERH/sn5uzQrQFtfmsOg8oWb5o260ZLbVbbYGSTOjrynFkd+Md0p0YaNlFcHy/vSet5Xy7/&#13;&#10;AgAA//8DAFBLAwQUAAYACAAAACEAHZ+MEeIAAAAMAQAADwAAAGRycy9kb3ducmV2LnhtbExPyU7D&#13;&#10;MBC9I/EP1iBxQdSh0KpJ41SI5VAhsZSCxM2NJ4uwxyF22vD3DCe4zOjpzbwlX43Oij32ofWk4GKS&#13;&#10;gEAqvWmpVrB9vT9fgAhRk9HWEyr4xgCr4vgo15nxB3rB/SbWgkUoZFpBE2OXSRnKBp0OE98hMVf5&#13;&#10;3unIsK+l6fWBxZ2V0ySZS6dbYodGd3jTYPm5GZyCdHh/+nr4sNt+/fy21o93lT0zlVKnJ+Ptksf1&#13;&#10;EkTEMf59wG8Hzg8FB9v5gUwQlvHVjC8VXE5TEMwv5ox3vGcpyCKX/0sUPwAAAP//AwBQSwECLQAU&#13;&#10;AAYACAAAACEAtoM4kv4AAADhAQAAEwAAAAAAAAAAAAAAAAAAAAAAW0NvbnRlbnRfVHlwZXNdLnht&#13;&#10;bFBLAQItABQABgAIAAAAIQA4/SH/1gAAAJQBAAALAAAAAAAAAAAAAAAAAC8BAABfcmVscy8ucmVs&#13;&#10;c1BLAQItABQABgAIAAAAIQCM9EGMkwIAAHcFAAAOAAAAAAAAAAAAAAAAAC4CAABkcnMvZTJvRG9j&#13;&#10;LnhtbFBLAQItABQABgAIAAAAIQAdn4wR4gAAAAwBAAAPAAAAAAAAAAAAAAAAAO0EAABkcnMvZG93&#13;&#10;bnJldi54bWxQSwUGAAAAAAQABADzAAAA/AUAAAAA&#13;&#10;" filled="f" stroked="f" strokeweight="3pt">
              <v:textbox>
                <w:txbxContent>
                  <w:p w14:paraId="39BFE7CC" w14:textId="77777777" w:rsidR="00531760" w:rsidRPr="002727B8" w:rsidRDefault="0053176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v:textbox>
              <w10:wrap type="square" anchorx="margin" anchory="margin"/>
            </v:rect>
          </w:pict>
        </mc:Fallback>
      </mc:AlternateContent>
    </w:r>
    <w:r w:rsidRPr="002727B8">
      <w:rPr>
        <w:caps/>
        <w:noProof/>
        <w:color w:val="808080" w:themeColor="background1" w:themeShade="80"/>
        <w:sz w:val="18"/>
        <w:lang w:eastAsia="zh-CN"/>
      </w:rPr>
      <mc:AlternateContent>
        <mc:Choice Requires="wpg">
          <w:drawing>
            <wp:anchor distT="0" distB="0" distL="0" distR="0" simplePos="0" relativeHeight="251670528" behindDoc="0" locked="0" layoutInCell="1" allowOverlap="1" wp14:anchorId="4942FE02" wp14:editId="2A176C58">
              <wp:simplePos x="0" y="0"/>
              <wp:positionH relativeFrom="margin">
                <wp:posOffset>-194733</wp:posOffset>
              </wp:positionH>
              <wp:positionV relativeFrom="bottomMargin">
                <wp:posOffset>186267</wp:posOffset>
              </wp:positionV>
              <wp:extent cx="6637866" cy="320040"/>
              <wp:effectExtent l="0" t="0" r="4445" b="0"/>
              <wp:wrapSquare wrapText="bothSides"/>
              <wp:docPr id="17" name="Group 17"/>
              <wp:cNvGraphicFramePr/>
              <a:graphic xmlns:a="http://schemas.openxmlformats.org/drawingml/2006/main">
                <a:graphicData uri="http://schemas.microsoft.com/office/word/2010/wordprocessingGroup">
                  <wpg:wgp>
                    <wpg:cNvGrpSpPr/>
                    <wpg:grpSpPr>
                      <a:xfrm>
                        <a:off x="0" y="0"/>
                        <a:ext cx="6637866" cy="320040"/>
                        <a:chOff x="0" y="0"/>
                        <a:chExt cx="5962650" cy="323851"/>
                      </a:xfrm>
                    </wpg:grpSpPr>
                    <wps:wsp>
                      <wps:cNvPr id="18" name="Rectangle 1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5F339" w14:textId="77777777" w:rsidR="00531760" w:rsidRDefault="0053176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2FE02" id="Group 17" o:spid="_x0000_s1035" style="position:absolute;margin-left:-15.35pt;margin-top:14.65pt;width:522.65pt;height:25.2pt;z-index:251670528;mso-wrap-distance-left:0;mso-wrap-distance-right:0;mso-position-horizontal-relative:margin;mso-position-vertical-relative:bottom-margin-area;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guzhAMAAJQKAAAOAAAAZHJzL2Uyb0RvYy54bWzMVttu2zgQfV9g/4Hg+0aWHcuOEKXIpk2w&#13;&#10;QJAGTRZ9pinKEpYiWZKOlH79zpCScnPbIAWK+kHmZa5n5ox0/K5vJbkT1jVaFTQ9mFEiFNdlo7YF&#13;&#10;/ff2/K81Jc4zVTKplSjovXD03cmffxx3JhdzXWtZCkvAiHJ5Zwpae2/yJHG8Fi1zB9oIBZeVti3z&#13;&#10;sLXbpLSsA+utTOazWZZ02pbGai6cg9P38ZKeBPtVJbj/WFVOeCILCrH58LThucFncnLM8q1lpm74&#13;&#10;EAZ7QxQtaxQ4nUy9Z56RnW1emGobbrXTlT/guk10VTVchBwgm3T2LJsLq3cm5LLNu62ZYAJon+H0&#13;&#10;ZrP86u7akqaE2q0oUayFGgW3BPYATme2OchcWHNjru1wsI07zLevbIv/kAnpA6z3E6yi94TDYZYt&#13;&#10;Vusso4TD3QKqdjjgzmsozgs1Xn8YFJdH2TxbQtmi4mK9TDGmZHSbYHRTMJ2BFnIPKLmfQ+mmZkYE&#13;&#10;8B0iMKIE/RxR+gS9xdRWCpKuI1JBboLJ5Q4Q24NRejTDnF7itDw6XGSzId10vZ5nT7JlubHOXwjd&#13;&#10;ElwU1EIEoenY3aXzEZhRBP06LZvyvJEybJBR4kxacseAC74foXwiJRXKKo1a0SCeAM5jNmHl76VA&#13;&#10;Oak+iQqaB2o8D4EE2j44YZwL5dN4VbNSRN/LGfyG1CaNUNZgEC1X4H+yPRh4msBoO0Y5yKOqCKyf&#13;&#10;lGffCywqTxrBs1Z+Um4bpe0+AxKyGjxH+RGkCA2itNHlPTSN1XHmOMPPGyjbJXP+mlkYMlBoGJz+&#13;&#10;IzwqqbuC6mFFSa3t133nKA9dDbeUdDC0Cuq+7JgVlMh/FPT7UXoI3CI+bA6Xqzls7OObzeMbtWvP&#13;&#10;NPRCCiPa8LBEeS/HZWV1+xnm6yl6hSumOPguKPd23Jz5OExhQnNxehrEYLIZ5i/VjeFoHFHFtrzt&#13;&#10;PzNrht71MByu9Mgxlj9r4SiLmkqf7ryumtDfD7gOeAPfcUb9AuIjlJH4tzjX/tY9gSPoAfQO8wF5&#13;&#10;T3wP55jzcP6NCQCmgP1Zlq0Cw6Fnp4H3aALMl6t0tRzabJyzI79fOQImJiNZCfRYtoDZE3F9yvGR&#13;&#10;OMMkwaxi9GG1h/GvINZ+Or9C8VfTufzvh3T2/aYP78lQEQTlNyY49upbyb35nagd3vDw6RPeDsNn&#13;&#10;Gn5bPd6HUfDwMXnyPwAAAP//AwBQSwMEFAAGAAgAAAAhAPOeZZTkAAAADwEAAA8AAABkcnMvZG93&#13;&#10;bnJldi54bWxMT0trwkAQvhf6H5Yp9Ka7Ma2pMRMR+zhJoVoova3ZMQlmd0N2TeK/73qql4GP+Z7Z&#13;&#10;atQN66lztTUI0VQAI1NYVZsS4Xv/PnkB5rw0SjbWEMKFHKzy+7tMpsoO5ov6nS9ZMDEulQiV923K&#13;&#10;uSsq0tJNbUsm/I6209IH2JVcdXII5rrhMyHmXMvahIRKtrSpqDjtzhrhY5DDOo7e+u3puLn87p8/&#13;&#10;f7YRIT4+jK/LcNZLYJ5G/6+A64bQH/JQ7GDPRjnWIExikQQqwmwRA7sSRPQ0B3ZASBYJ8Dzjtzvy&#13;&#10;PwAAAP//AwBQSwECLQAUAAYACAAAACEAtoM4kv4AAADhAQAAEwAAAAAAAAAAAAAAAAAAAAAAW0Nv&#13;&#10;bnRlbnRfVHlwZXNdLnhtbFBLAQItABQABgAIAAAAIQA4/SH/1gAAAJQBAAALAAAAAAAAAAAAAAAA&#13;&#10;AC8BAABfcmVscy8ucmVsc1BLAQItABQABgAIAAAAIQB6EguzhAMAAJQKAAAOAAAAAAAAAAAAAAAA&#13;&#10;AC4CAABkcnMvZTJvRG9jLnhtbFBLAQItABQABgAIAAAAIQDznmWU5AAAAA8BAAAPAAAAAAAAAAAA&#13;&#10;AAAAAN4FAABkcnMvZG93bnJldi54bWxQSwUGAAAAAAQABADzAAAA7wYAAAAA&#13;&#10;">
              <v:rect id="Rectangle 18" o:spid="_x0000_s1036"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7/gvxgAAAOAAAAAPAAAAZHJzL2Rvd25yZXYueG1sRI9Ba8JA&#13;&#10;EIXvgv9hGaE33dhCsdFVpK3QU8EoxeOQHbMh2dmQXWP67zuHgpfHPB7zzbzNbvStGqiPdWADy0UG&#13;&#10;irgMtubKwPl0mK9AxYRssQ1MBn4pwm47nWwwt+HORxqKVCmBcMzRgEupy7WOpSOPcRE6YsmuofeY&#13;&#10;xPaVtj3eBe5b/Zxlr9pjzXLBYUfvjsqmuHkD1eXwOYyNo3CML8Wt6d7O3z/WmKfZ+LEW2a9BJRrT&#13;&#10;Y+Mf8WWlg3wshWQAvf0DAAD//wMAUEsBAi0AFAAGAAgAAAAhANvh9svuAAAAhQEAABMAAAAAAAAA&#13;&#10;AAAAAAAAAAAAAFtDb250ZW50X1R5cGVzXS54bWxQSwECLQAUAAYACAAAACEAWvQsW78AAAAVAQAA&#13;&#10;CwAAAAAAAAAAAAAAAAAfAQAAX3JlbHMvLnJlbHNQSwECLQAUAAYACAAAACEAFO/4L8YAAADgAAAA&#13;&#10;DwAAAAAAAAAAAAAAAAAHAgAAZHJzL2Rvd25yZXYueG1sUEsFBgAAAAADAAMAtwAAAPoCAAAAAA==&#13;&#10;" fillcolor="black [3213]" stroked="f" strokeweight="2pt"/>
              <v:shapetype id="_x0000_t202" coordsize="21600,21600" o:spt="202" path="m,l,21600r21600,l21600,xe">
                <v:stroke joinstyle="miter"/>
                <v:path gradientshapeok="t" o:connecttype="rect"/>
              </v:shapetype>
              <v:shape id="Text Box 20" o:spid="_x0000_s1037"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DhUyAAAAOAAAAAPAAAAZHJzL2Rvd25yZXYueG1sRI9BawIx&#13;&#10;EIXvhf6HMIXearZbkLIaRRRpT0KtHrwNm+lm281kSbK67a/vHAQvA4/hfY9vvhx9p84UUxvYwPOk&#13;&#10;AEVcB9tyY+DwuX16BZUyssUuMBn4pQTLxf3dHCsbLvxB531ulEA4VWjA5dxXWqfakcc0CT2x/L5C&#13;&#10;9JglxkbbiBeB+06XRTHVHluWBYc9rR3VP/vBG4jHXblaf5+OQ/mm/xp3GF7sdGfM48O4mclZzUBl&#13;&#10;GvOtcUW8WwOlKIiQyIBe/AMAAP//AwBQSwECLQAUAAYACAAAACEA2+H2y+4AAACFAQAAEwAAAAAA&#13;&#10;AAAAAAAAAAAAAAAAW0NvbnRlbnRfVHlwZXNdLnhtbFBLAQItABQABgAIAAAAIQBa9CxbvwAAABUB&#13;&#10;AAALAAAAAAAAAAAAAAAAAB8BAABfcmVscy8ucmVsc1BLAQItABQABgAIAAAAIQDXADhUyAAAAOAA&#13;&#10;AAAPAAAAAAAAAAAAAAAAAAcCAABkcnMvZG93bnJldi54bWxQSwUGAAAAAAMAAwC3AAAA/AIAAAAA&#13;&#10;" filled="f" stroked="f" strokeweight=".5pt">
                <v:textbox inset=",,,0">
                  <w:txbxContent>
                    <w:p w14:paraId="4AA5F339" w14:textId="77777777" w:rsidR="00531760" w:rsidRDefault="00531760">
                      <w:pPr>
                        <w:jc w:val="right"/>
                        <w:rPr>
                          <w:color w:val="808080" w:themeColor="background1" w:themeShade="80"/>
                        </w:rPr>
                      </w:pPr>
                    </w:p>
                  </w:txbxContent>
                </v:textbox>
              </v:shape>
              <w10:wrap type="square" anchorx="margin" anchory="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2297" w14:textId="53CB5174" w:rsidR="000C2990" w:rsidRPr="00D87E33" w:rsidRDefault="000C2990" w:rsidP="002727B8">
    <w:pPr>
      <w:pStyle w:val="Footer"/>
      <w:tabs>
        <w:tab w:val="left" w:pos="4227"/>
        <w:tab w:val="center" w:pos="4680"/>
        <w:tab w:val="left" w:pos="7377"/>
      </w:tabs>
      <w:spacing w:before="100" w:beforeAutospacing="1" w:after="120"/>
      <w:ind w:right="360"/>
      <w:rPr>
        <w:rStyle w:val="SubtleEmphasis"/>
      </w:rPr>
    </w:pPr>
    <w:r w:rsidRPr="002727B8">
      <w:rPr>
        <w:caps/>
        <w:noProof/>
        <w:sz w:val="18"/>
        <w:lang w:eastAsia="zh-CN"/>
      </w:rPr>
      <mc:AlternateContent>
        <mc:Choice Requires="wps">
          <w:drawing>
            <wp:anchor distT="0" distB="0" distL="0" distR="0" simplePos="0" relativeHeight="251664384" behindDoc="0" locked="0" layoutInCell="1" allowOverlap="1" wp14:anchorId="3AA5DD50" wp14:editId="08281378">
              <wp:simplePos x="0" y="0"/>
              <wp:positionH relativeFrom="rightMargin">
                <wp:posOffset>92075</wp:posOffset>
              </wp:positionH>
              <wp:positionV relativeFrom="bottomMargin">
                <wp:posOffset>208893</wp:posOffset>
              </wp:positionV>
              <wp:extent cx="457200" cy="336550"/>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457200" cy="336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B90B1B" w14:textId="77777777" w:rsidR="000C2990" w:rsidRPr="002727B8" w:rsidRDefault="000C299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5DD50" id="Rectangle 14" o:spid="_x0000_s1038" style="position:absolute;margin-left:7.25pt;margin-top:16.45pt;width:36pt;height:26.5pt;z-index:25166438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z5EkwIAAHcFAAAOAAAAZHJzL2Uyb0RvYy54bWysVE1vGyEQvVfqf0Dcm7UTO02trCMrUapK&#13;&#10;URolqXLGLHhXYoEC9q776/uA9ebzVNWHNTAzb2befJxf9K0iO+F8Y3RJp0cTSoTmpmr0pqS/Hq+/&#13;&#10;nFHiA9MVU0aLku6FpxfLz5/OO7sQx6Y2qhKOAET7RWdLWodgF0XheS1a5o+MFRpCaVzLAq5uU1SO&#13;&#10;dUBvVXE8mZwWnXGVdYYL7/F6lYV0mfClFDz8lNKLQFRJEVtIX5e+6/gtludssXHM1g0fwmD/EEXL&#13;&#10;Gg2nI9QVC4xsXfMOqm24M97IcMRNWxgpGy5SDshmOnmTzUPNrEi5gBxvR5r8/4Plt7s7R5oKtZtR&#13;&#10;olmLGt2DNaY3ShC8gaDO+gX0HuydG24ex5htL10b/5EH6ROp+5FU0QfC8Tibf0WhKOEQnZyczueJ&#13;&#10;9OLZ2DofvgvTkngoqYP3RCXb3fgAh1A9qERf2lw3SqW6KU06gJ5Ngf9KBBOlYRkjz7GmU9grEfWU&#13;&#10;vhcSSSO642SY2k1cKkd2DI3COBc6TLOoZpXIz/MJfpEQwI8W6ZYAI7JEaCP2ABBb+T12hhn0o6lI&#13;&#10;3Toa54xGN68Dy8ajRfJsdBiN20Yb91FmClkNnrP+gaRMTWQp9Os+NcTpofZrU+3RJM7k6fGWXzco&#13;&#10;1Q3z4Y45jAuqixUQfuIjlUFJzHCipDbuz0fvUR9dDCklHcavpP73ljlBifqh0d/fprNZnNd0SS1E&#13;&#10;iXspWb+U6G17aVC4KZaN5ekIYxfU4SidaZ+wKVbRK0RMc/gu6fpwvAx5KWDTcLFaJSVMqGXhRj9Y&#13;&#10;HqEjy7ERH/sn5uzQrQFtfmsOg8oWb5o260ZLbVbbYGSTOjrynFkd+Md0p0YaNlFcHy/vSet5Xy7/&#13;&#10;AgAA//8DAFBLAwQUAAYACAAAACEAHZ+MEeIAAAAMAQAADwAAAGRycy9kb3ducmV2LnhtbExPyU7D&#13;&#10;MBC9I/EP1iBxQdSh0KpJ41SI5VAhsZSCxM2NJ4uwxyF22vD3DCe4zOjpzbwlX43Oij32ofWk4GKS&#13;&#10;gEAqvWmpVrB9vT9fgAhRk9HWEyr4xgCr4vgo15nxB3rB/SbWgkUoZFpBE2OXSRnKBp0OE98hMVf5&#13;&#10;3unIsK+l6fWBxZ2V0ySZS6dbYodGd3jTYPm5GZyCdHh/+nr4sNt+/fy21o93lT0zlVKnJ+Ptksf1&#13;&#10;EkTEMf59wG8Hzg8FB9v5gUwQlvHVjC8VXE5TEMwv5ox3vGcpyCKX/0sUPwAAAP//AwBQSwECLQAU&#13;&#10;AAYACAAAACEAtoM4kv4AAADhAQAAEwAAAAAAAAAAAAAAAAAAAAAAW0NvbnRlbnRfVHlwZXNdLnht&#13;&#10;bFBLAQItABQABgAIAAAAIQA4/SH/1gAAAJQBAAALAAAAAAAAAAAAAAAAAC8BAABfcmVscy8ucmVs&#13;&#10;c1BLAQItABQABgAIAAAAIQADQz5EkwIAAHcFAAAOAAAAAAAAAAAAAAAAAC4CAABkcnMvZTJvRG9j&#13;&#10;LnhtbFBLAQItABQABgAIAAAAIQAdn4wR4gAAAAwBAAAPAAAAAAAAAAAAAAAAAO0EAABkcnMvZG93&#13;&#10;bnJldi54bWxQSwUGAAAAAAQABADzAAAA/AUAAAAA&#13;&#10;" filled="f" stroked="f" strokeweight="3pt">
              <v:textbox>
                <w:txbxContent>
                  <w:p w14:paraId="15B90B1B" w14:textId="77777777" w:rsidR="000C2990" w:rsidRPr="002727B8" w:rsidRDefault="000C2990">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v:textbox>
              <w10:wrap type="square"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4AF0" w14:textId="5F2D201E" w:rsidR="008A00FB" w:rsidRPr="00D87E33" w:rsidRDefault="008A00FB" w:rsidP="002727B8">
    <w:pPr>
      <w:pStyle w:val="Footer"/>
      <w:tabs>
        <w:tab w:val="left" w:pos="4227"/>
        <w:tab w:val="center" w:pos="4680"/>
        <w:tab w:val="left" w:pos="7377"/>
      </w:tabs>
      <w:spacing w:before="100" w:beforeAutospacing="1" w:after="120"/>
      <w:ind w:right="360"/>
      <w:rPr>
        <w:rStyle w:val="SubtleEmphasis"/>
      </w:rPr>
    </w:pPr>
    <w:r w:rsidRPr="002727B8">
      <w:rPr>
        <w:caps/>
        <w:noProof/>
        <w:sz w:val="18"/>
        <w:lang w:eastAsia="zh-CN"/>
      </w:rPr>
      <mc:AlternateContent>
        <mc:Choice Requires="wps">
          <w:drawing>
            <wp:anchor distT="0" distB="0" distL="0" distR="0" simplePos="0" relativeHeight="251662336" behindDoc="0" locked="0" layoutInCell="1" allowOverlap="1" wp14:anchorId="32D895F5" wp14:editId="39FD9765">
              <wp:simplePos x="0" y="0"/>
              <wp:positionH relativeFrom="rightMargin">
                <wp:posOffset>92075</wp:posOffset>
              </wp:positionH>
              <wp:positionV relativeFrom="bottomMargin">
                <wp:posOffset>208893</wp:posOffset>
              </wp:positionV>
              <wp:extent cx="457200" cy="33655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457200" cy="3365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FC3FC" w14:textId="77777777" w:rsidR="008A00FB" w:rsidRPr="002727B8" w:rsidRDefault="008A00FB">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895F5" id="Rectangle 4" o:spid="_x0000_s1039" style="position:absolute;margin-left:7.25pt;margin-top:16.45pt;width:36pt;height:26.5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8t1kgIAAHUFAAAOAAAAZHJzL2Uyb0RvYy54bWysVEtv2zAMvg/YfxB0X520SdsFdYogRYYB&#13;&#10;RRu0HXpWZCk2IImapMTOfv0oyXGfp2E5KJJJfiQ/Pq6uO63IXjjfgCnp+GREiTAcqsZsS/rrafXt&#13;&#10;khIfmKmYAiNKehCeXs+/frlq7UycQg2qEo4giPGz1pa0DsHOisLzWmjmT8AKg0IJTrOAT7ctKsda&#13;&#10;RNeqOB2NzosWXGUdcOE9fr3JQjpP+FIKHu6l9CIQVVKMLaTTpXMTz2J+xWZbx2zd8D4M9g9RaNYY&#13;&#10;dDpA3bDAyM41H6B0wx14kOGEgy5AyoaLlANmMx69y+axZlakXJAcbwea/P+D5Xf7tSNNVdIJJYZp&#13;&#10;LNEDksbMVgkyifS01s9Q69GuXf/yeI25dtLp+I9ZkC5RehgoFV0gHD9OphdYJko4is7OzqfTRHnx&#13;&#10;YmydDz8EaBIvJXXoPBHJ9rc+oENUPapEXwZWjVKpasqQFkEvx4j/RoQmyqBljDzHmm7hoETUU+ZB&#13;&#10;SEwZoztNhqnZxFI5smfYJoxzYcI4i2pWifx5OsJfJAThB4v0SoARWWJoA3YPEBv5I3aG6fWjqUi9&#13;&#10;OhjnjAY3bwPLxoNF8gwmDMa6MeA+y0xhVr3nrH8kKVMTWQrdpkvtcHGs/QaqA7aIgzw73vJVg6W6&#13;&#10;ZT6smcNhweriAgj3eEgFWBLob5TU4P589j3qYw+jlJIWh6+k/veOOUGJ+mmwu7+PJ5M4remRWogS&#13;&#10;91qyeS0xO70ELNwYV43l6YrGLqjjVTrQz7gnFtEripjh6Lukm+N1GfJKwD3DxWKRlHA+LQu35tHy&#13;&#10;CB1Zjo341D0zZ/tuDdjmd3AcUzZ717RZN1oaWOwCyCZ1dOQ5s9rzj7OdGqnfQ3F5vH4nrZdtOf8L&#13;&#10;AAD//wMAUEsDBBQABgAIAAAAIQAdn4wR4gAAAAwBAAAPAAAAZHJzL2Rvd25yZXYueG1sTE/JTsMw&#13;&#10;EL0j8Q/WIHFB1KHQqknjVIjlUCGxlILEzY0ni7DHIXba8PcMJ7jM6OnNvCVfjc6KPfah9aTgYpKA&#13;&#10;QCq9aalWsH29P1+ACFGT0dYTKvjGAKvi+CjXmfEHesH9JtaCRShkWkETY5dJGcoGnQ4T3yExV/ne&#13;&#10;6ciwr6Xp9YHFnZXTJJlLp1tih0Z3eNNg+bkZnIJ0eH/6eviw2379/LbWj3eVPTOVUqcn4+2Sx/US&#13;&#10;RMQx/n3AbwfODwUH2/mBTBCW8dWMLxVcTlMQzC/mjHe8ZynIIpf/SxQ/AAAA//8DAFBLAQItABQA&#13;&#10;BgAIAAAAIQC2gziS/gAAAOEBAAATAAAAAAAAAAAAAAAAAAAAAABbQ29udGVudF9UeXBlc10ueG1s&#13;&#10;UEsBAi0AFAAGAAgAAAAhADj9If/WAAAAlAEAAAsAAAAAAAAAAAAAAAAALwEAAF9yZWxzLy5yZWxz&#13;&#10;UEsBAi0AFAAGAAgAAAAhAK3jy3WSAgAAdQUAAA4AAAAAAAAAAAAAAAAALgIAAGRycy9lMm9Eb2Mu&#13;&#10;eG1sUEsBAi0AFAAGAAgAAAAhAB2fjBHiAAAADAEAAA8AAAAAAAAAAAAAAAAA7AQAAGRycy9kb3du&#13;&#10;cmV2LnhtbFBLBQYAAAAABAAEAPMAAAD7BQAAAAA=&#13;&#10;" filled="f" stroked="f" strokeweight="3pt">
              <v:textbox>
                <w:txbxContent>
                  <w:p w14:paraId="203FC3FC" w14:textId="77777777" w:rsidR="008A00FB" w:rsidRPr="002727B8" w:rsidRDefault="008A00FB">
                    <w:pPr>
                      <w:jc w:val="right"/>
                      <w:rPr>
                        <w:color w:val="000000" w:themeColor="text1"/>
                        <w:szCs w:val="22"/>
                      </w:rPr>
                    </w:pPr>
                    <w:r w:rsidRPr="002727B8">
                      <w:rPr>
                        <w:color w:val="000000" w:themeColor="text1"/>
                        <w:szCs w:val="22"/>
                      </w:rPr>
                      <w:fldChar w:fldCharType="begin"/>
                    </w:r>
                    <w:r w:rsidRPr="002727B8">
                      <w:rPr>
                        <w:color w:val="000000" w:themeColor="text1"/>
                        <w:szCs w:val="22"/>
                      </w:rPr>
                      <w:instrText xml:space="preserve"> PAGE   \* MERGEFORMAT </w:instrText>
                    </w:r>
                    <w:r w:rsidRPr="002727B8">
                      <w:rPr>
                        <w:color w:val="000000" w:themeColor="text1"/>
                        <w:szCs w:val="22"/>
                      </w:rPr>
                      <w:fldChar w:fldCharType="separate"/>
                    </w:r>
                    <w:r w:rsidRPr="002727B8">
                      <w:rPr>
                        <w:noProof/>
                        <w:color w:val="000000" w:themeColor="text1"/>
                        <w:szCs w:val="22"/>
                      </w:rPr>
                      <w:t>2</w:t>
                    </w:r>
                    <w:r w:rsidRPr="002727B8">
                      <w:rPr>
                        <w:noProof/>
                        <w:color w:val="000000" w:themeColor="text1"/>
                        <w:szCs w:val="22"/>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9E0C" w14:textId="77777777" w:rsidR="00DB1658" w:rsidRDefault="00DB1658" w:rsidP="0056007C">
      <w:r>
        <w:separator/>
      </w:r>
    </w:p>
  </w:footnote>
  <w:footnote w:type="continuationSeparator" w:id="0">
    <w:p w14:paraId="280F4341" w14:textId="77777777" w:rsidR="00DB1658" w:rsidRDefault="00DB1658" w:rsidP="0056007C">
      <w:r>
        <w:continuationSeparator/>
      </w:r>
    </w:p>
  </w:footnote>
  <w:footnote w:id="1">
    <w:p w14:paraId="28D5D499" w14:textId="5128318E" w:rsidR="00861AA5" w:rsidRDefault="00861AA5">
      <w:pPr>
        <w:pStyle w:val="FootnoteText"/>
      </w:pPr>
      <w:r>
        <w:rPr>
          <w:rStyle w:val="FootnoteReference"/>
        </w:rPr>
        <w:footnoteRef/>
      </w:r>
      <w:r>
        <w:t xml:space="preserve"> Pacific Gas &amp; Electric, Southern California Edison, San Diego Gas &amp; Electric, and Southern California Gas Company.</w:t>
      </w:r>
    </w:p>
  </w:footnote>
  <w:footnote w:id="2">
    <w:p w14:paraId="2BFDF115" w14:textId="6CCC6836" w:rsidR="003325EB" w:rsidRDefault="003325EB">
      <w:pPr>
        <w:pStyle w:val="FootnoteText"/>
      </w:pPr>
      <w:r>
        <w:rPr>
          <w:rStyle w:val="FootnoteReference"/>
        </w:rPr>
        <w:footnoteRef/>
      </w:r>
      <w:r>
        <w:t xml:space="preserve"> See the full list of programs in Appendix </w:t>
      </w:r>
      <w:r>
        <w:fldChar w:fldCharType="begin"/>
      </w:r>
      <w:r>
        <w:instrText xml:space="preserve"> REF _Ref74920722 \r \h </w:instrText>
      </w:r>
      <w:r>
        <w:fldChar w:fldCharType="separate"/>
      </w:r>
      <w:r w:rsidR="00A74C64">
        <w:t>8.3</w:t>
      </w:r>
      <w:r>
        <w:fldChar w:fldCharType="end"/>
      </w:r>
    </w:p>
  </w:footnote>
  <w:footnote w:id="3">
    <w:p w14:paraId="0B525498" w14:textId="28D4870A" w:rsidR="007C57C2" w:rsidRDefault="007C57C2">
      <w:pPr>
        <w:pStyle w:val="FootnoteText"/>
      </w:pPr>
      <w:r>
        <w:rPr>
          <w:rStyle w:val="FootnoteReference"/>
        </w:rPr>
        <w:footnoteRef/>
      </w:r>
      <w:r>
        <w:t xml:space="preserve"> Energy savings were the sum of electric savings in kWh and natural gas savings converted to kWh, in order to include as much energy efficiency program activity as possible.</w:t>
      </w:r>
    </w:p>
  </w:footnote>
  <w:footnote w:id="4">
    <w:p w14:paraId="0F9C5E67" w14:textId="2888F874" w:rsidR="00CA379E" w:rsidRDefault="00CA379E">
      <w:pPr>
        <w:pStyle w:val="FootnoteText"/>
      </w:pPr>
      <w:r>
        <w:rPr>
          <w:rStyle w:val="FootnoteReference"/>
        </w:rPr>
        <w:footnoteRef/>
      </w:r>
      <w:r>
        <w:t xml:space="preserve"> S</w:t>
      </w:r>
      <w:r w:rsidRPr="00AD6813">
        <w:t>DG&amp;E eligibility for commercial programs is based on electrical consumption only, per contracts</w:t>
      </w:r>
    </w:p>
  </w:footnote>
  <w:footnote w:id="5">
    <w:p w14:paraId="73F641BB" w14:textId="4D982CC5" w:rsidR="003E0FCF" w:rsidRDefault="003E0FCF">
      <w:pPr>
        <w:pStyle w:val="FootnoteText"/>
      </w:pPr>
      <w:r>
        <w:rPr>
          <w:rStyle w:val="FootnoteReference"/>
        </w:rPr>
        <w:footnoteRef/>
      </w:r>
      <w:r>
        <w:t xml:space="preserve"> In CEDARS, there are fields for both Electric and Gas Rate classes, however these are optional field that are inconsistently utilized by IOUs and were not</w:t>
      </w:r>
      <w:r w:rsidR="007A678A">
        <w:t xml:space="preserve"> found to be</w:t>
      </w:r>
      <w:r>
        <w:t xml:space="preserve"> helpful in the analysis.</w:t>
      </w:r>
    </w:p>
  </w:footnote>
  <w:footnote w:id="6">
    <w:p w14:paraId="55361F9F" w14:textId="0B364A26" w:rsidR="007A678A" w:rsidRDefault="007A678A">
      <w:pPr>
        <w:pStyle w:val="FootnoteText"/>
      </w:pPr>
      <w:r>
        <w:rPr>
          <w:rStyle w:val="FootnoteReference"/>
        </w:rPr>
        <w:footnoteRef/>
      </w:r>
      <w:r>
        <w:t xml:space="preserve"> </w:t>
      </w:r>
      <w:r w:rsidR="00A54EA8" w:rsidRPr="00A54EA8">
        <w:t>https://oehha.ca.gov/calenviroscreen/sb535</w:t>
      </w:r>
    </w:p>
  </w:footnote>
  <w:footnote w:id="7">
    <w:p w14:paraId="23D4AC7A" w14:textId="02C294EB" w:rsidR="00B36D86" w:rsidRDefault="00B36D86">
      <w:pPr>
        <w:pStyle w:val="FootnoteText"/>
      </w:pPr>
      <w:r>
        <w:rPr>
          <w:rStyle w:val="FootnoteReference"/>
        </w:rPr>
        <w:footnoteRef/>
      </w:r>
      <w:r>
        <w:t xml:space="preserve"> All incentives, costs, and savings are gross values.</w:t>
      </w:r>
    </w:p>
  </w:footnote>
  <w:footnote w:id="8">
    <w:p w14:paraId="14A20099" w14:textId="3A180CF7" w:rsidR="00F77F23" w:rsidRDefault="00F77F23">
      <w:pPr>
        <w:pStyle w:val="FootnoteText"/>
      </w:pPr>
      <w:r>
        <w:rPr>
          <w:rStyle w:val="FootnoteReference"/>
        </w:rPr>
        <w:footnoteRef/>
      </w:r>
      <w:r>
        <w:t xml:space="preserve"> For a statistically significant results at the 90% confidence interval, the p-value would be less than or equal to 0.1, 95% requires a p-value of 0.05, 99% a p-value of 0.01, and so on. The general rule of thumb for social sciences is to maintain a confidence interval of 90% (p-value of 0.1)</w:t>
      </w:r>
    </w:p>
  </w:footnote>
  <w:footnote w:id="9">
    <w:p w14:paraId="3D67EAC8" w14:textId="404C0C90" w:rsidR="008364F3" w:rsidRDefault="008364F3" w:rsidP="008364F3">
      <w:r>
        <w:rPr>
          <w:rStyle w:val="FootnoteReference"/>
        </w:rPr>
        <w:footnoteRef/>
      </w:r>
      <w:r>
        <w:t xml:space="preserve"> It is worth mentioning that a 1 percentage point share from businesses larger than medium is very raree, with most ZIP Codes having less than 1% share for these types of firms.</w:t>
      </w:r>
    </w:p>
    <w:p w14:paraId="687682B8" w14:textId="56A6D17F" w:rsidR="008364F3" w:rsidRDefault="008364F3">
      <w:pPr>
        <w:pStyle w:val="FootnoteText"/>
      </w:pPr>
    </w:p>
  </w:footnote>
  <w:footnote w:id="10">
    <w:p w14:paraId="65022B0E" w14:textId="70913AC9" w:rsidR="007E054A" w:rsidRDefault="007E054A">
      <w:pPr>
        <w:pStyle w:val="FootnoteText"/>
      </w:pPr>
      <w:r>
        <w:rPr>
          <w:rStyle w:val="FootnoteReference"/>
        </w:rPr>
        <w:footnoteRef/>
      </w:r>
      <w:r>
        <w:t xml:space="preserve"> -6.762 X log</w:t>
      </w:r>
      <w:r w:rsidRPr="007E054A">
        <w:rPr>
          <w:vertAlign w:val="subscript"/>
        </w:rPr>
        <w:t>10</w:t>
      </w:r>
      <w:r>
        <w:t xml:space="preserve">(1.1) </w:t>
      </w:r>
      <w:r w:rsidRPr="007E054A">
        <w:t>≈</w:t>
      </w:r>
      <w:r>
        <w:t xml:space="preserve"> -0.28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33F" w14:textId="5303F50B" w:rsidR="00385A26" w:rsidRPr="00D87E33" w:rsidRDefault="00385A26" w:rsidP="00D87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F65B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64AF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F4C1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2E2B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282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7CD3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928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CC9F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C6F6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ED7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211F"/>
    <w:multiLevelType w:val="hybridMultilevel"/>
    <w:tmpl w:val="90B8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801F8"/>
    <w:multiLevelType w:val="hybridMultilevel"/>
    <w:tmpl w:val="8702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0476A"/>
    <w:multiLevelType w:val="hybridMultilevel"/>
    <w:tmpl w:val="D31210FA"/>
    <w:lvl w:ilvl="0" w:tplc="EB8A8E80">
      <w:numFmt w:val="bullet"/>
      <w:lvlText w:val="-"/>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212B2"/>
    <w:multiLevelType w:val="hybridMultilevel"/>
    <w:tmpl w:val="BC4E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D0FD0"/>
    <w:multiLevelType w:val="hybridMultilevel"/>
    <w:tmpl w:val="C47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358B"/>
    <w:multiLevelType w:val="hybridMultilevel"/>
    <w:tmpl w:val="BEC63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B34D3"/>
    <w:multiLevelType w:val="hybridMultilevel"/>
    <w:tmpl w:val="A506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865B3"/>
    <w:multiLevelType w:val="hybridMultilevel"/>
    <w:tmpl w:val="05D2C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B67CE"/>
    <w:multiLevelType w:val="hybridMultilevel"/>
    <w:tmpl w:val="212AD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B4C9C"/>
    <w:multiLevelType w:val="hybridMultilevel"/>
    <w:tmpl w:val="5D40B56C"/>
    <w:lvl w:ilvl="0" w:tplc="EB8A8E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76E6E"/>
    <w:multiLevelType w:val="hybridMultilevel"/>
    <w:tmpl w:val="E6085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046A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A4D10DC"/>
    <w:multiLevelType w:val="hybridMultilevel"/>
    <w:tmpl w:val="E9C6F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EE2DBE"/>
    <w:multiLevelType w:val="hybridMultilevel"/>
    <w:tmpl w:val="1CD0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21ABB"/>
    <w:multiLevelType w:val="hybridMultilevel"/>
    <w:tmpl w:val="3F2AB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E40CF"/>
    <w:multiLevelType w:val="hybridMultilevel"/>
    <w:tmpl w:val="147AE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91C2A"/>
    <w:multiLevelType w:val="hybridMultilevel"/>
    <w:tmpl w:val="7A96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56B06"/>
    <w:multiLevelType w:val="hybridMultilevel"/>
    <w:tmpl w:val="3DFA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6092B"/>
    <w:multiLevelType w:val="hybridMultilevel"/>
    <w:tmpl w:val="B6EE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6"/>
  </w:num>
  <w:num w:numId="15">
    <w:abstractNumId w:val="11"/>
  </w:num>
  <w:num w:numId="16">
    <w:abstractNumId w:val="10"/>
  </w:num>
  <w:num w:numId="17">
    <w:abstractNumId w:val="28"/>
  </w:num>
  <w:num w:numId="18">
    <w:abstractNumId w:val="13"/>
  </w:num>
  <w:num w:numId="19">
    <w:abstractNumId w:val="23"/>
  </w:num>
  <w:num w:numId="20">
    <w:abstractNumId w:val="19"/>
  </w:num>
  <w:num w:numId="21">
    <w:abstractNumId w:val="15"/>
  </w:num>
  <w:num w:numId="22">
    <w:abstractNumId w:val="20"/>
  </w:num>
  <w:num w:numId="23">
    <w:abstractNumId w:val="25"/>
  </w:num>
  <w:num w:numId="24">
    <w:abstractNumId w:val="12"/>
  </w:num>
  <w:num w:numId="25">
    <w:abstractNumId w:val="22"/>
  </w:num>
  <w:num w:numId="26">
    <w:abstractNumId w:val="27"/>
  </w:num>
  <w:num w:numId="27">
    <w:abstractNumId w:val="26"/>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7C"/>
    <w:rsid w:val="000103FA"/>
    <w:rsid w:val="0001256E"/>
    <w:rsid w:val="00042A81"/>
    <w:rsid w:val="000463C4"/>
    <w:rsid w:val="0005524B"/>
    <w:rsid w:val="00056DA2"/>
    <w:rsid w:val="000760F5"/>
    <w:rsid w:val="0007630A"/>
    <w:rsid w:val="0008307C"/>
    <w:rsid w:val="00090EA1"/>
    <w:rsid w:val="0009494E"/>
    <w:rsid w:val="000A318C"/>
    <w:rsid w:val="000B23D0"/>
    <w:rsid w:val="000B3356"/>
    <w:rsid w:val="000C2990"/>
    <w:rsid w:val="000C64DA"/>
    <w:rsid w:val="000D6C43"/>
    <w:rsid w:val="000E644D"/>
    <w:rsid w:val="001023D7"/>
    <w:rsid w:val="00104E13"/>
    <w:rsid w:val="0011517D"/>
    <w:rsid w:val="00117082"/>
    <w:rsid w:val="00124F45"/>
    <w:rsid w:val="0013739F"/>
    <w:rsid w:val="00155153"/>
    <w:rsid w:val="00180133"/>
    <w:rsid w:val="00194AD7"/>
    <w:rsid w:val="00195C69"/>
    <w:rsid w:val="00197B1B"/>
    <w:rsid w:val="001A0038"/>
    <w:rsid w:val="001B4E58"/>
    <w:rsid w:val="001C1AFC"/>
    <w:rsid w:val="001D2158"/>
    <w:rsid w:val="001D5774"/>
    <w:rsid w:val="001F6B4E"/>
    <w:rsid w:val="002144DB"/>
    <w:rsid w:val="002211E6"/>
    <w:rsid w:val="002237F1"/>
    <w:rsid w:val="002364EF"/>
    <w:rsid w:val="00262442"/>
    <w:rsid w:val="00263F54"/>
    <w:rsid w:val="002727B8"/>
    <w:rsid w:val="00283109"/>
    <w:rsid w:val="002944FE"/>
    <w:rsid w:val="002B42CC"/>
    <w:rsid w:val="002C749F"/>
    <w:rsid w:val="00300DA3"/>
    <w:rsid w:val="00302E4D"/>
    <w:rsid w:val="00314FC5"/>
    <w:rsid w:val="003325EB"/>
    <w:rsid w:val="0033642A"/>
    <w:rsid w:val="00356938"/>
    <w:rsid w:val="00385A26"/>
    <w:rsid w:val="00390F32"/>
    <w:rsid w:val="00391E88"/>
    <w:rsid w:val="0039277E"/>
    <w:rsid w:val="00395B67"/>
    <w:rsid w:val="003A0233"/>
    <w:rsid w:val="003B2571"/>
    <w:rsid w:val="003C41F2"/>
    <w:rsid w:val="003D75CC"/>
    <w:rsid w:val="003E0FCF"/>
    <w:rsid w:val="003E6031"/>
    <w:rsid w:val="003E7AFD"/>
    <w:rsid w:val="004001C6"/>
    <w:rsid w:val="0041192D"/>
    <w:rsid w:val="00416B96"/>
    <w:rsid w:val="004250D8"/>
    <w:rsid w:val="004255BC"/>
    <w:rsid w:val="0044060C"/>
    <w:rsid w:val="004572FF"/>
    <w:rsid w:val="0047255D"/>
    <w:rsid w:val="00496133"/>
    <w:rsid w:val="004C2880"/>
    <w:rsid w:val="004C3994"/>
    <w:rsid w:val="004D7435"/>
    <w:rsid w:val="004F0CE2"/>
    <w:rsid w:val="004F12E7"/>
    <w:rsid w:val="00506ED4"/>
    <w:rsid w:val="0051563D"/>
    <w:rsid w:val="00530971"/>
    <w:rsid w:val="00531760"/>
    <w:rsid w:val="00541198"/>
    <w:rsid w:val="00551289"/>
    <w:rsid w:val="00553FD2"/>
    <w:rsid w:val="0056007C"/>
    <w:rsid w:val="005874B5"/>
    <w:rsid w:val="00591647"/>
    <w:rsid w:val="00593995"/>
    <w:rsid w:val="00597A81"/>
    <w:rsid w:val="005C17E6"/>
    <w:rsid w:val="005C25FD"/>
    <w:rsid w:val="005C5774"/>
    <w:rsid w:val="005D12A2"/>
    <w:rsid w:val="005D5E8A"/>
    <w:rsid w:val="005F03C6"/>
    <w:rsid w:val="005F2638"/>
    <w:rsid w:val="006104F4"/>
    <w:rsid w:val="00637C7E"/>
    <w:rsid w:val="006409E2"/>
    <w:rsid w:val="00677DCE"/>
    <w:rsid w:val="006C6C82"/>
    <w:rsid w:val="006F3C3F"/>
    <w:rsid w:val="00716242"/>
    <w:rsid w:val="00716798"/>
    <w:rsid w:val="00732D16"/>
    <w:rsid w:val="0074583C"/>
    <w:rsid w:val="00750293"/>
    <w:rsid w:val="00760C35"/>
    <w:rsid w:val="00792675"/>
    <w:rsid w:val="0079722D"/>
    <w:rsid w:val="007A5FB7"/>
    <w:rsid w:val="007A678A"/>
    <w:rsid w:val="007C2BFB"/>
    <w:rsid w:val="007C357A"/>
    <w:rsid w:val="007C57C2"/>
    <w:rsid w:val="007D2276"/>
    <w:rsid w:val="007E054A"/>
    <w:rsid w:val="007E2493"/>
    <w:rsid w:val="007F0F14"/>
    <w:rsid w:val="007F2282"/>
    <w:rsid w:val="007F43EB"/>
    <w:rsid w:val="008053E7"/>
    <w:rsid w:val="008056D8"/>
    <w:rsid w:val="008329E1"/>
    <w:rsid w:val="008364F3"/>
    <w:rsid w:val="008437B0"/>
    <w:rsid w:val="00851AAF"/>
    <w:rsid w:val="00855B2E"/>
    <w:rsid w:val="00861AA5"/>
    <w:rsid w:val="00880B91"/>
    <w:rsid w:val="008941EF"/>
    <w:rsid w:val="008A00FB"/>
    <w:rsid w:val="008A3FFD"/>
    <w:rsid w:val="008A5845"/>
    <w:rsid w:val="008B2B92"/>
    <w:rsid w:val="008D33EE"/>
    <w:rsid w:val="008D7885"/>
    <w:rsid w:val="008E102B"/>
    <w:rsid w:val="00900509"/>
    <w:rsid w:val="00901041"/>
    <w:rsid w:val="009165E0"/>
    <w:rsid w:val="00920602"/>
    <w:rsid w:val="00924E29"/>
    <w:rsid w:val="00931F86"/>
    <w:rsid w:val="00936A55"/>
    <w:rsid w:val="00945E7C"/>
    <w:rsid w:val="00966B62"/>
    <w:rsid w:val="009731DB"/>
    <w:rsid w:val="009804E6"/>
    <w:rsid w:val="00980541"/>
    <w:rsid w:val="00983A07"/>
    <w:rsid w:val="00984939"/>
    <w:rsid w:val="009D17F6"/>
    <w:rsid w:val="009D2AB9"/>
    <w:rsid w:val="009E0DDA"/>
    <w:rsid w:val="009E6701"/>
    <w:rsid w:val="009F7F7A"/>
    <w:rsid w:val="00A237CF"/>
    <w:rsid w:val="00A4162E"/>
    <w:rsid w:val="00A47546"/>
    <w:rsid w:val="00A54EA8"/>
    <w:rsid w:val="00A61D63"/>
    <w:rsid w:val="00A74C64"/>
    <w:rsid w:val="00A74D79"/>
    <w:rsid w:val="00A765D4"/>
    <w:rsid w:val="00A81B10"/>
    <w:rsid w:val="00A933C6"/>
    <w:rsid w:val="00A9466C"/>
    <w:rsid w:val="00AA38F1"/>
    <w:rsid w:val="00AB2EAF"/>
    <w:rsid w:val="00AE5275"/>
    <w:rsid w:val="00AF706B"/>
    <w:rsid w:val="00B11648"/>
    <w:rsid w:val="00B236E0"/>
    <w:rsid w:val="00B30B24"/>
    <w:rsid w:val="00B36D86"/>
    <w:rsid w:val="00B42EC2"/>
    <w:rsid w:val="00B83984"/>
    <w:rsid w:val="00B930A4"/>
    <w:rsid w:val="00BA0996"/>
    <w:rsid w:val="00BA40B5"/>
    <w:rsid w:val="00BB3A91"/>
    <w:rsid w:val="00BC22BF"/>
    <w:rsid w:val="00BC3C37"/>
    <w:rsid w:val="00BC4357"/>
    <w:rsid w:val="00BE2216"/>
    <w:rsid w:val="00C402F4"/>
    <w:rsid w:val="00C56A76"/>
    <w:rsid w:val="00C57394"/>
    <w:rsid w:val="00C57464"/>
    <w:rsid w:val="00C72A83"/>
    <w:rsid w:val="00C80895"/>
    <w:rsid w:val="00C82BDF"/>
    <w:rsid w:val="00C91241"/>
    <w:rsid w:val="00C92A4A"/>
    <w:rsid w:val="00CA379E"/>
    <w:rsid w:val="00CA4A6F"/>
    <w:rsid w:val="00CB07C5"/>
    <w:rsid w:val="00CB6F07"/>
    <w:rsid w:val="00CC0119"/>
    <w:rsid w:val="00CC1FD3"/>
    <w:rsid w:val="00CC36CC"/>
    <w:rsid w:val="00CC41F7"/>
    <w:rsid w:val="00CD4E75"/>
    <w:rsid w:val="00CF02D7"/>
    <w:rsid w:val="00D0057C"/>
    <w:rsid w:val="00D0692F"/>
    <w:rsid w:val="00D13F7E"/>
    <w:rsid w:val="00D21DAB"/>
    <w:rsid w:val="00D25404"/>
    <w:rsid w:val="00D43EBC"/>
    <w:rsid w:val="00D573B5"/>
    <w:rsid w:val="00D574DE"/>
    <w:rsid w:val="00D66DAF"/>
    <w:rsid w:val="00D671B5"/>
    <w:rsid w:val="00D87E33"/>
    <w:rsid w:val="00D94705"/>
    <w:rsid w:val="00D967EC"/>
    <w:rsid w:val="00DB1658"/>
    <w:rsid w:val="00DB1FD0"/>
    <w:rsid w:val="00DD0DF0"/>
    <w:rsid w:val="00DD2DCD"/>
    <w:rsid w:val="00DE3A88"/>
    <w:rsid w:val="00E01194"/>
    <w:rsid w:val="00E1336E"/>
    <w:rsid w:val="00E20BD0"/>
    <w:rsid w:val="00E21679"/>
    <w:rsid w:val="00E34A9E"/>
    <w:rsid w:val="00E35906"/>
    <w:rsid w:val="00E44991"/>
    <w:rsid w:val="00E6046B"/>
    <w:rsid w:val="00E94B7A"/>
    <w:rsid w:val="00EE3D39"/>
    <w:rsid w:val="00EF5F37"/>
    <w:rsid w:val="00F10CA3"/>
    <w:rsid w:val="00F11965"/>
    <w:rsid w:val="00F4071E"/>
    <w:rsid w:val="00F75576"/>
    <w:rsid w:val="00F77F23"/>
    <w:rsid w:val="00F82624"/>
    <w:rsid w:val="00FD3062"/>
    <w:rsid w:val="00FE2539"/>
    <w:rsid w:val="00FE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FB7E42A"/>
  <w15:docId w15:val="{9715491E-6C6C-404B-B6C3-AA107379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C4"/>
    <w:pPr>
      <w:spacing w:after="240" w:line="276" w:lineRule="auto"/>
    </w:pPr>
    <w:rPr>
      <w:rFonts w:ascii="Arial" w:hAnsi="Arial"/>
      <w:sz w:val="22"/>
      <w:szCs w:val="24"/>
    </w:rPr>
  </w:style>
  <w:style w:type="paragraph" w:styleId="Heading1">
    <w:name w:val="heading 1"/>
    <w:basedOn w:val="Title"/>
    <w:next w:val="Normal"/>
    <w:link w:val="Heading1Char"/>
    <w:uiPriority w:val="9"/>
    <w:qFormat/>
    <w:rsid w:val="00CA4A6F"/>
    <w:pPr>
      <w:keepNext/>
      <w:keepLines/>
      <w:numPr>
        <w:numId w:val="1"/>
      </w:numPr>
      <w:pBdr>
        <w:bottom w:val="none" w:sz="0" w:space="0" w:color="auto"/>
      </w:pBdr>
      <w:spacing w:before="240" w:after="120"/>
      <w:outlineLvl w:val="0"/>
    </w:pPr>
    <w:rPr>
      <w:b/>
      <w:bCs/>
      <w:smallCaps/>
      <w:color w:val="auto"/>
      <w:sz w:val="40"/>
      <w:szCs w:val="40"/>
    </w:rPr>
  </w:style>
  <w:style w:type="paragraph" w:styleId="Heading2">
    <w:name w:val="heading 2"/>
    <w:basedOn w:val="Normal"/>
    <w:next w:val="Normal"/>
    <w:link w:val="Heading2Char"/>
    <w:uiPriority w:val="9"/>
    <w:unhideWhenUsed/>
    <w:qFormat/>
    <w:rsid w:val="00CA4A6F"/>
    <w:pPr>
      <w:keepNext/>
      <w:keepLines/>
      <w:numPr>
        <w:ilvl w:val="1"/>
        <w:numId w:val="1"/>
      </w:numPr>
      <w:spacing w:before="240" w:after="12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A4A6F"/>
    <w:pPr>
      <w:keepNext/>
      <w:keepLines/>
      <w:numPr>
        <w:ilvl w:val="2"/>
        <w:numId w:val="1"/>
      </w:numPr>
      <w:spacing w:before="240" w:after="80"/>
      <w:outlineLvl w:val="2"/>
    </w:pPr>
    <w:rPr>
      <w:rFonts w:asciiTheme="majorHAnsi" w:eastAsiaTheme="majorEastAsia" w:hAnsiTheme="majorHAnsi" w:cstheme="majorBidi"/>
      <w:b/>
      <w:bCs/>
      <w:sz w:val="28"/>
      <w:u w:val="single"/>
    </w:rPr>
  </w:style>
  <w:style w:type="paragraph" w:styleId="Heading4">
    <w:name w:val="heading 4"/>
    <w:basedOn w:val="Normal"/>
    <w:next w:val="Normal"/>
    <w:link w:val="Heading4Char"/>
    <w:uiPriority w:val="9"/>
    <w:unhideWhenUsed/>
    <w:qFormat/>
    <w:rsid w:val="00D21DA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727B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727B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727B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727B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27B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007C"/>
    <w:rPr>
      <w:rFonts w:ascii="Lucida Grande" w:hAnsi="Lucida Grande" w:cs="Lucida Grande"/>
      <w:sz w:val="18"/>
      <w:szCs w:val="18"/>
    </w:rPr>
  </w:style>
  <w:style w:type="paragraph" w:styleId="Header">
    <w:name w:val="header"/>
    <w:basedOn w:val="Normal"/>
    <w:link w:val="HeaderChar"/>
    <w:uiPriority w:val="99"/>
    <w:unhideWhenUsed/>
    <w:rsid w:val="0056007C"/>
    <w:pPr>
      <w:tabs>
        <w:tab w:val="center" w:pos="4320"/>
        <w:tab w:val="right" w:pos="8640"/>
      </w:tabs>
    </w:pPr>
  </w:style>
  <w:style w:type="character" w:customStyle="1" w:styleId="HeaderChar">
    <w:name w:val="Header Char"/>
    <w:basedOn w:val="DefaultParagraphFont"/>
    <w:link w:val="Header"/>
    <w:uiPriority w:val="99"/>
    <w:rsid w:val="0056007C"/>
    <w:rPr>
      <w:sz w:val="24"/>
      <w:szCs w:val="24"/>
    </w:rPr>
  </w:style>
  <w:style w:type="paragraph" w:styleId="Footer">
    <w:name w:val="footer"/>
    <w:basedOn w:val="Normal"/>
    <w:link w:val="FooterChar"/>
    <w:uiPriority w:val="99"/>
    <w:unhideWhenUsed/>
    <w:rsid w:val="0056007C"/>
    <w:pPr>
      <w:tabs>
        <w:tab w:val="center" w:pos="4320"/>
        <w:tab w:val="right" w:pos="8640"/>
      </w:tabs>
    </w:pPr>
  </w:style>
  <w:style w:type="character" w:customStyle="1" w:styleId="FooterChar">
    <w:name w:val="Footer Char"/>
    <w:basedOn w:val="DefaultParagraphFont"/>
    <w:link w:val="Footer"/>
    <w:uiPriority w:val="99"/>
    <w:rsid w:val="0056007C"/>
    <w:rPr>
      <w:sz w:val="24"/>
      <w:szCs w:val="24"/>
    </w:rPr>
  </w:style>
  <w:style w:type="character" w:customStyle="1" w:styleId="Heading1Char">
    <w:name w:val="Heading 1 Char"/>
    <w:basedOn w:val="DefaultParagraphFont"/>
    <w:link w:val="Heading1"/>
    <w:uiPriority w:val="9"/>
    <w:rsid w:val="00CA4A6F"/>
    <w:rPr>
      <w:rFonts w:asciiTheme="majorHAnsi" w:eastAsiaTheme="majorEastAsia" w:hAnsiTheme="majorHAnsi" w:cstheme="majorBidi"/>
      <w:b/>
      <w:bCs/>
      <w:smallCaps/>
      <w:spacing w:val="5"/>
      <w:kern w:val="28"/>
      <w:sz w:val="40"/>
      <w:szCs w:val="40"/>
    </w:rPr>
  </w:style>
  <w:style w:type="character" w:customStyle="1" w:styleId="Heading2Char">
    <w:name w:val="Heading 2 Char"/>
    <w:basedOn w:val="DefaultParagraphFont"/>
    <w:link w:val="Heading2"/>
    <w:uiPriority w:val="9"/>
    <w:rsid w:val="00CA4A6F"/>
    <w:rPr>
      <w:rFonts w:asciiTheme="majorHAnsi" w:eastAsiaTheme="majorEastAsia" w:hAnsiTheme="majorHAnsi" w:cstheme="majorBidi"/>
      <w:b/>
      <w:bCs/>
      <w:sz w:val="32"/>
      <w:szCs w:val="32"/>
    </w:rPr>
  </w:style>
  <w:style w:type="paragraph" w:styleId="Title">
    <w:name w:val="Title"/>
    <w:basedOn w:val="Normal"/>
    <w:next w:val="Normal"/>
    <w:link w:val="TitleChar"/>
    <w:uiPriority w:val="10"/>
    <w:qFormat/>
    <w:rsid w:val="00CA4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4A6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A4A6F"/>
    <w:rPr>
      <w:rFonts w:asciiTheme="majorHAnsi" w:eastAsiaTheme="majorEastAsia" w:hAnsiTheme="majorHAnsi" w:cstheme="majorBidi"/>
      <w:b/>
      <w:bCs/>
      <w:sz w:val="28"/>
      <w:szCs w:val="24"/>
      <w:u w:val="single"/>
    </w:rPr>
  </w:style>
  <w:style w:type="paragraph" w:styleId="Subtitle">
    <w:name w:val="Subtitle"/>
    <w:basedOn w:val="Normal"/>
    <w:next w:val="Normal"/>
    <w:link w:val="SubtitleChar"/>
    <w:uiPriority w:val="11"/>
    <w:qFormat/>
    <w:rsid w:val="00D21DAB"/>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21DAB"/>
    <w:rPr>
      <w:rFonts w:asciiTheme="minorHAnsi" w:hAnsiTheme="minorHAnsi" w:cstheme="minorBidi"/>
      <w:color w:val="5A5A5A" w:themeColor="text1" w:themeTint="A5"/>
      <w:spacing w:val="15"/>
      <w:sz w:val="22"/>
      <w:szCs w:val="22"/>
    </w:rPr>
  </w:style>
  <w:style w:type="character" w:styleId="IntenseReference">
    <w:name w:val="Intense Reference"/>
    <w:basedOn w:val="DefaultParagraphFont"/>
    <w:uiPriority w:val="32"/>
    <w:qFormat/>
    <w:rsid w:val="00D21DAB"/>
    <w:rPr>
      <w:b/>
      <w:bCs/>
      <w:smallCaps/>
      <w:color w:val="4F81BD" w:themeColor="accent1"/>
      <w:spacing w:val="5"/>
    </w:rPr>
  </w:style>
  <w:style w:type="character" w:customStyle="1" w:styleId="Heading4Char">
    <w:name w:val="Heading 4 Char"/>
    <w:basedOn w:val="DefaultParagraphFont"/>
    <w:link w:val="Heading4"/>
    <w:uiPriority w:val="9"/>
    <w:rsid w:val="00D21DAB"/>
    <w:rPr>
      <w:rFonts w:asciiTheme="majorHAnsi" w:eastAsiaTheme="majorEastAsia" w:hAnsiTheme="majorHAnsi" w:cstheme="majorBidi"/>
      <w:i/>
      <w:iCs/>
      <w:color w:val="365F91" w:themeColor="accent1" w:themeShade="BF"/>
      <w:sz w:val="22"/>
      <w:szCs w:val="24"/>
    </w:rPr>
  </w:style>
  <w:style w:type="character" w:styleId="SubtleEmphasis">
    <w:name w:val="Subtle Emphasis"/>
    <w:basedOn w:val="DefaultParagraphFont"/>
    <w:uiPriority w:val="19"/>
    <w:qFormat/>
    <w:rsid w:val="00D21DAB"/>
    <w:rPr>
      <w:i/>
      <w:iCs/>
      <w:color w:val="404040" w:themeColor="text1" w:themeTint="BF"/>
    </w:rPr>
  </w:style>
  <w:style w:type="paragraph" w:styleId="IntenseQuote">
    <w:name w:val="Intense Quote"/>
    <w:basedOn w:val="Normal"/>
    <w:next w:val="Normal"/>
    <w:link w:val="IntenseQuoteChar"/>
    <w:uiPriority w:val="30"/>
    <w:qFormat/>
    <w:rsid w:val="00D21D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1DAB"/>
    <w:rPr>
      <w:rFonts w:ascii="Arial" w:hAnsi="Arial"/>
      <w:i/>
      <w:iCs/>
      <w:color w:val="4F81BD" w:themeColor="accent1"/>
      <w:sz w:val="22"/>
      <w:szCs w:val="24"/>
    </w:rPr>
  </w:style>
  <w:style w:type="paragraph" w:styleId="NormalWeb">
    <w:name w:val="Normal (Web)"/>
    <w:basedOn w:val="Normal"/>
    <w:uiPriority w:val="99"/>
    <w:semiHidden/>
    <w:unhideWhenUsed/>
    <w:rsid w:val="00D21DAB"/>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D21DAB"/>
    <w:rPr>
      <w:b/>
      <w:bCs/>
    </w:rPr>
  </w:style>
  <w:style w:type="character" w:styleId="IntenseEmphasis">
    <w:name w:val="Intense Emphasis"/>
    <w:basedOn w:val="DefaultParagraphFont"/>
    <w:uiPriority w:val="21"/>
    <w:qFormat/>
    <w:rsid w:val="007A5FB7"/>
    <w:rPr>
      <w:i/>
      <w:iCs/>
      <w:color w:val="4F81BD" w:themeColor="accent1"/>
    </w:rPr>
  </w:style>
  <w:style w:type="paragraph" w:styleId="NoSpacing">
    <w:name w:val="No Spacing"/>
    <w:uiPriority w:val="1"/>
    <w:qFormat/>
    <w:rsid w:val="007A5FB7"/>
    <w:rPr>
      <w:rFonts w:ascii="Arial" w:hAnsi="Arial"/>
      <w:sz w:val="22"/>
      <w:szCs w:val="24"/>
    </w:rPr>
  </w:style>
  <w:style w:type="character" w:styleId="PageNumber">
    <w:name w:val="page number"/>
    <w:basedOn w:val="DefaultParagraphFont"/>
    <w:uiPriority w:val="99"/>
    <w:semiHidden/>
    <w:unhideWhenUsed/>
    <w:rsid w:val="00D87E33"/>
  </w:style>
  <w:style w:type="character" w:customStyle="1" w:styleId="Heading5Char">
    <w:name w:val="Heading 5 Char"/>
    <w:basedOn w:val="DefaultParagraphFont"/>
    <w:link w:val="Heading5"/>
    <w:uiPriority w:val="9"/>
    <w:semiHidden/>
    <w:rsid w:val="002727B8"/>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2727B8"/>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uiPriority w:val="9"/>
    <w:semiHidden/>
    <w:rsid w:val="002727B8"/>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uiPriority w:val="9"/>
    <w:semiHidden/>
    <w:rsid w:val="00272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27B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727B8"/>
    <w:pPr>
      <w:spacing w:after="200" w:line="240" w:lineRule="auto"/>
    </w:pPr>
    <w:rPr>
      <w:i/>
      <w:iCs/>
      <w:color w:val="1F497D" w:themeColor="text2"/>
      <w:sz w:val="24"/>
      <w:szCs w:val="18"/>
    </w:rPr>
  </w:style>
  <w:style w:type="paragraph" w:styleId="TOC1">
    <w:name w:val="toc 1"/>
    <w:basedOn w:val="Normal"/>
    <w:next w:val="Normal"/>
    <w:autoRedefine/>
    <w:uiPriority w:val="39"/>
    <w:unhideWhenUsed/>
    <w:rsid w:val="002727B8"/>
    <w:pPr>
      <w:spacing w:before="360" w:after="360"/>
    </w:pPr>
    <w:rPr>
      <w:rFonts w:asciiTheme="minorHAnsi" w:hAnsiTheme="minorHAnsi"/>
      <w:b/>
      <w:bCs/>
      <w:caps/>
      <w:szCs w:val="22"/>
      <w:u w:val="single"/>
    </w:rPr>
  </w:style>
  <w:style w:type="paragraph" w:styleId="TOC2">
    <w:name w:val="toc 2"/>
    <w:basedOn w:val="Normal"/>
    <w:next w:val="Normal"/>
    <w:autoRedefine/>
    <w:uiPriority w:val="39"/>
    <w:unhideWhenUsed/>
    <w:rsid w:val="002727B8"/>
    <w:pPr>
      <w:spacing w:after="0"/>
    </w:pPr>
    <w:rPr>
      <w:rFonts w:asciiTheme="minorHAnsi" w:hAnsiTheme="minorHAnsi"/>
      <w:b/>
      <w:bCs/>
      <w:smallCaps/>
      <w:szCs w:val="22"/>
    </w:rPr>
  </w:style>
  <w:style w:type="paragraph" w:styleId="TOC3">
    <w:name w:val="toc 3"/>
    <w:basedOn w:val="Normal"/>
    <w:next w:val="Normal"/>
    <w:autoRedefine/>
    <w:uiPriority w:val="39"/>
    <w:unhideWhenUsed/>
    <w:rsid w:val="002727B8"/>
    <w:pPr>
      <w:spacing w:after="0"/>
    </w:pPr>
    <w:rPr>
      <w:rFonts w:asciiTheme="minorHAnsi" w:hAnsiTheme="minorHAnsi"/>
      <w:smallCaps/>
      <w:szCs w:val="22"/>
    </w:rPr>
  </w:style>
  <w:style w:type="paragraph" w:styleId="TOC4">
    <w:name w:val="toc 4"/>
    <w:basedOn w:val="Normal"/>
    <w:next w:val="Normal"/>
    <w:autoRedefine/>
    <w:uiPriority w:val="39"/>
    <w:unhideWhenUsed/>
    <w:rsid w:val="002727B8"/>
    <w:pPr>
      <w:spacing w:after="0"/>
    </w:pPr>
    <w:rPr>
      <w:rFonts w:asciiTheme="minorHAnsi" w:hAnsiTheme="minorHAnsi"/>
      <w:szCs w:val="22"/>
    </w:rPr>
  </w:style>
  <w:style w:type="paragraph" w:styleId="TOC5">
    <w:name w:val="toc 5"/>
    <w:basedOn w:val="Normal"/>
    <w:next w:val="Normal"/>
    <w:autoRedefine/>
    <w:uiPriority w:val="39"/>
    <w:unhideWhenUsed/>
    <w:rsid w:val="002727B8"/>
    <w:pPr>
      <w:spacing w:after="0"/>
    </w:pPr>
    <w:rPr>
      <w:rFonts w:asciiTheme="minorHAnsi" w:hAnsiTheme="minorHAnsi"/>
      <w:szCs w:val="22"/>
    </w:rPr>
  </w:style>
  <w:style w:type="paragraph" w:styleId="TOC6">
    <w:name w:val="toc 6"/>
    <w:basedOn w:val="Normal"/>
    <w:next w:val="Normal"/>
    <w:autoRedefine/>
    <w:uiPriority w:val="39"/>
    <w:unhideWhenUsed/>
    <w:rsid w:val="002727B8"/>
    <w:pPr>
      <w:spacing w:after="0"/>
    </w:pPr>
    <w:rPr>
      <w:rFonts w:asciiTheme="minorHAnsi" w:hAnsiTheme="minorHAnsi"/>
      <w:szCs w:val="22"/>
    </w:rPr>
  </w:style>
  <w:style w:type="paragraph" w:styleId="TOC7">
    <w:name w:val="toc 7"/>
    <w:basedOn w:val="Normal"/>
    <w:next w:val="Normal"/>
    <w:autoRedefine/>
    <w:uiPriority w:val="39"/>
    <w:unhideWhenUsed/>
    <w:rsid w:val="002727B8"/>
    <w:pPr>
      <w:spacing w:after="0"/>
    </w:pPr>
    <w:rPr>
      <w:rFonts w:asciiTheme="minorHAnsi" w:hAnsiTheme="minorHAnsi"/>
      <w:szCs w:val="22"/>
    </w:rPr>
  </w:style>
  <w:style w:type="paragraph" w:styleId="TOC8">
    <w:name w:val="toc 8"/>
    <w:basedOn w:val="Normal"/>
    <w:next w:val="Normal"/>
    <w:autoRedefine/>
    <w:uiPriority w:val="39"/>
    <w:unhideWhenUsed/>
    <w:rsid w:val="002727B8"/>
    <w:pPr>
      <w:spacing w:after="0"/>
    </w:pPr>
    <w:rPr>
      <w:rFonts w:asciiTheme="minorHAnsi" w:hAnsiTheme="minorHAnsi"/>
      <w:szCs w:val="22"/>
    </w:rPr>
  </w:style>
  <w:style w:type="paragraph" w:styleId="TOC9">
    <w:name w:val="toc 9"/>
    <w:basedOn w:val="Normal"/>
    <w:next w:val="Normal"/>
    <w:autoRedefine/>
    <w:uiPriority w:val="39"/>
    <w:unhideWhenUsed/>
    <w:rsid w:val="002727B8"/>
    <w:pPr>
      <w:spacing w:after="0"/>
    </w:pPr>
    <w:rPr>
      <w:rFonts w:asciiTheme="minorHAnsi" w:hAnsiTheme="minorHAnsi"/>
      <w:szCs w:val="22"/>
    </w:rPr>
  </w:style>
  <w:style w:type="character" w:styleId="Hyperlink">
    <w:name w:val="Hyperlink"/>
    <w:basedOn w:val="DefaultParagraphFont"/>
    <w:uiPriority w:val="99"/>
    <w:unhideWhenUsed/>
    <w:rsid w:val="002727B8"/>
    <w:rPr>
      <w:color w:val="0000FF" w:themeColor="hyperlink"/>
      <w:u w:val="single"/>
    </w:rPr>
  </w:style>
  <w:style w:type="paragraph" w:styleId="TableofFigures">
    <w:name w:val="table of figures"/>
    <w:basedOn w:val="Normal"/>
    <w:next w:val="Normal"/>
    <w:uiPriority w:val="99"/>
    <w:unhideWhenUsed/>
    <w:rsid w:val="002727B8"/>
    <w:pPr>
      <w:spacing w:after="0"/>
    </w:pPr>
    <w:rPr>
      <w:rFonts w:asciiTheme="minorHAnsi" w:hAnsiTheme="minorHAnsi"/>
      <w:i/>
      <w:iCs/>
      <w:sz w:val="20"/>
      <w:szCs w:val="20"/>
    </w:rPr>
  </w:style>
  <w:style w:type="character" w:styleId="Emphasis">
    <w:name w:val="Emphasis"/>
    <w:basedOn w:val="DefaultParagraphFont"/>
    <w:uiPriority w:val="20"/>
    <w:qFormat/>
    <w:rsid w:val="00553FD2"/>
    <w:rPr>
      <w:i/>
      <w:iCs/>
    </w:rPr>
  </w:style>
  <w:style w:type="paragraph" w:styleId="ListParagraph">
    <w:name w:val="List Paragraph"/>
    <w:basedOn w:val="Normal"/>
    <w:uiPriority w:val="34"/>
    <w:qFormat/>
    <w:rsid w:val="000A318C"/>
    <w:pPr>
      <w:ind w:left="720"/>
      <w:contextualSpacing/>
    </w:pPr>
  </w:style>
  <w:style w:type="table" w:styleId="TableGrid">
    <w:name w:val="Table Grid"/>
    <w:basedOn w:val="TableNormal"/>
    <w:uiPriority w:val="39"/>
    <w:rsid w:val="007C5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C57C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C57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7C2"/>
    <w:rPr>
      <w:rFonts w:ascii="Arial" w:hAnsi="Arial"/>
    </w:rPr>
  </w:style>
  <w:style w:type="character" w:styleId="FootnoteReference">
    <w:name w:val="footnote reference"/>
    <w:basedOn w:val="DefaultParagraphFont"/>
    <w:uiPriority w:val="99"/>
    <w:unhideWhenUsed/>
    <w:rsid w:val="007C57C2"/>
    <w:rPr>
      <w:vertAlign w:val="superscript"/>
    </w:rPr>
  </w:style>
  <w:style w:type="paragraph" w:customStyle="1" w:styleId="Normal-Table">
    <w:name w:val="Normal - Table"/>
    <w:basedOn w:val="Normal"/>
    <w:qFormat/>
    <w:rsid w:val="008D7885"/>
    <w:pPr>
      <w:spacing w:after="0"/>
    </w:pPr>
    <w:rPr>
      <w:bCs/>
    </w:rPr>
  </w:style>
  <w:style w:type="character" w:styleId="CommentReference">
    <w:name w:val="annotation reference"/>
    <w:basedOn w:val="DefaultParagraphFont"/>
    <w:uiPriority w:val="99"/>
    <w:semiHidden/>
    <w:unhideWhenUsed/>
    <w:rsid w:val="00541198"/>
    <w:rPr>
      <w:sz w:val="16"/>
      <w:szCs w:val="16"/>
    </w:rPr>
  </w:style>
  <w:style w:type="paragraph" w:styleId="CommentText">
    <w:name w:val="annotation text"/>
    <w:basedOn w:val="Normal"/>
    <w:link w:val="CommentTextChar"/>
    <w:uiPriority w:val="99"/>
    <w:semiHidden/>
    <w:unhideWhenUsed/>
    <w:rsid w:val="00541198"/>
    <w:pPr>
      <w:spacing w:after="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1198"/>
    <w:rPr>
      <w:rFonts w:asciiTheme="minorHAnsi" w:hAnsiTheme="minorHAnsi" w:cstheme="minorBidi"/>
    </w:rPr>
  </w:style>
  <w:style w:type="character" w:styleId="PlaceholderText">
    <w:name w:val="Placeholder Text"/>
    <w:basedOn w:val="DefaultParagraphFont"/>
    <w:uiPriority w:val="99"/>
    <w:semiHidden/>
    <w:rsid w:val="006409E2"/>
    <w:rPr>
      <w:color w:val="808080"/>
    </w:rPr>
  </w:style>
  <w:style w:type="paragraph" w:styleId="CommentSubject">
    <w:name w:val="annotation subject"/>
    <w:basedOn w:val="CommentText"/>
    <w:next w:val="CommentText"/>
    <w:link w:val="CommentSubjectChar"/>
    <w:uiPriority w:val="99"/>
    <w:semiHidden/>
    <w:unhideWhenUsed/>
    <w:rsid w:val="003B2571"/>
    <w:pPr>
      <w:spacing w:after="240"/>
    </w:pPr>
    <w:rPr>
      <w:rFonts w:ascii="Arial" w:hAnsi="Arial" w:cs="Times New Roman"/>
      <w:b/>
      <w:bCs/>
    </w:rPr>
  </w:style>
  <w:style w:type="character" w:customStyle="1" w:styleId="CommentSubjectChar">
    <w:name w:val="Comment Subject Char"/>
    <w:basedOn w:val="CommentTextChar"/>
    <w:link w:val="CommentSubject"/>
    <w:uiPriority w:val="99"/>
    <w:semiHidden/>
    <w:rsid w:val="003B2571"/>
    <w:rPr>
      <w:rFonts w:ascii="Arial" w:hAnsi="Arial" w:cstheme="minorBidi"/>
      <w:b/>
      <w:bCs/>
    </w:rPr>
  </w:style>
  <w:style w:type="character" w:styleId="UnresolvedMention">
    <w:name w:val="Unresolved Mention"/>
    <w:basedOn w:val="DefaultParagraphFont"/>
    <w:uiPriority w:val="99"/>
    <w:semiHidden/>
    <w:unhideWhenUsed/>
    <w:rsid w:val="0074583C"/>
    <w:rPr>
      <w:color w:val="605E5C"/>
      <w:shd w:val="clear" w:color="auto" w:fill="E1DFDD"/>
    </w:rPr>
  </w:style>
  <w:style w:type="paragraph" w:customStyle="1" w:styleId="Sources">
    <w:name w:val="Sources"/>
    <w:basedOn w:val="Normal"/>
    <w:qFormat/>
    <w:rsid w:val="0074583C"/>
    <w:pPr>
      <w:ind w:left="720" w:hanging="720"/>
    </w:pPr>
  </w:style>
  <w:style w:type="character" w:styleId="FollowedHyperlink">
    <w:name w:val="FollowedHyperlink"/>
    <w:basedOn w:val="DefaultParagraphFont"/>
    <w:uiPriority w:val="99"/>
    <w:semiHidden/>
    <w:unhideWhenUsed/>
    <w:rsid w:val="008A00FB"/>
    <w:rPr>
      <w:color w:val="954F72"/>
      <w:u w:val="single"/>
    </w:rPr>
  </w:style>
  <w:style w:type="paragraph" w:customStyle="1" w:styleId="msonormal0">
    <w:name w:val="msonormal"/>
    <w:basedOn w:val="Normal"/>
    <w:rsid w:val="008A00FB"/>
    <w:pPr>
      <w:spacing w:before="100" w:beforeAutospacing="1" w:after="100" w:afterAutospacing="1" w:line="240" w:lineRule="auto"/>
    </w:pPr>
    <w:rPr>
      <w:rFonts w:ascii="Times New Roman" w:eastAsia="Times New Roman" w:hAnsi="Times New Roman"/>
      <w:sz w:val="24"/>
    </w:rPr>
  </w:style>
  <w:style w:type="paragraph" w:customStyle="1" w:styleId="xl65">
    <w:name w:val="xl65"/>
    <w:basedOn w:val="Normal"/>
    <w:rsid w:val="008A00FB"/>
    <w:pPr>
      <w:spacing w:before="100" w:beforeAutospacing="1" w:after="100" w:afterAutospacing="1" w:line="240" w:lineRule="auto"/>
    </w:pPr>
    <w:rPr>
      <w:rFonts w:ascii="Times New Roman" w:eastAsia="Times New Roman" w:hAnsi="Times New Roman"/>
      <w:b/>
      <w:bCs/>
      <w:sz w:val="24"/>
    </w:rPr>
  </w:style>
  <w:style w:type="paragraph" w:customStyle="1" w:styleId="xl66">
    <w:name w:val="xl66"/>
    <w:basedOn w:val="Normal"/>
    <w:rsid w:val="008A00FB"/>
    <w:pPr>
      <w:spacing w:before="100" w:beforeAutospacing="1" w:after="100" w:afterAutospacing="1" w:line="240" w:lineRule="auto"/>
    </w:pPr>
    <w:rPr>
      <w:rFonts w:eastAsia="Times New Roman" w:cs="Arial"/>
      <w:b/>
      <w:bCs/>
      <w:sz w:val="16"/>
      <w:szCs w:val="16"/>
    </w:rPr>
  </w:style>
  <w:style w:type="paragraph" w:customStyle="1" w:styleId="xl67">
    <w:name w:val="xl67"/>
    <w:basedOn w:val="Normal"/>
    <w:rsid w:val="008A00FB"/>
    <w:pPr>
      <w:spacing w:before="100" w:beforeAutospacing="1" w:after="100" w:afterAutospacing="1" w:line="240" w:lineRule="auto"/>
    </w:pPr>
    <w:rPr>
      <w:rFonts w:eastAsia="Times New Roman" w:cs="Arial"/>
      <w:sz w:val="16"/>
      <w:szCs w:val="16"/>
    </w:rPr>
  </w:style>
  <w:style w:type="paragraph" w:styleId="Revision">
    <w:name w:val="Revision"/>
    <w:hidden/>
    <w:uiPriority w:val="99"/>
    <w:semiHidden/>
    <w:rsid w:val="00861AA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741">
      <w:bodyDiv w:val="1"/>
      <w:marLeft w:val="0"/>
      <w:marRight w:val="0"/>
      <w:marTop w:val="0"/>
      <w:marBottom w:val="0"/>
      <w:divBdr>
        <w:top w:val="none" w:sz="0" w:space="0" w:color="auto"/>
        <w:left w:val="none" w:sz="0" w:space="0" w:color="auto"/>
        <w:bottom w:val="none" w:sz="0" w:space="0" w:color="auto"/>
        <w:right w:val="none" w:sz="0" w:space="0" w:color="auto"/>
      </w:divBdr>
    </w:div>
    <w:div w:id="121459562">
      <w:bodyDiv w:val="1"/>
      <w:marLeft w:val="0"/>
      <w:marRight w:val="0"/>
      <w:marTop w:val="0"/>
      <w:marBottom w:val="0"/>
      <w:divBdr>
        <w:top w:val="none" w:sz="0" w:space="0" w:color="auto"/>
        <w:left w:val="none" w:sz="0" w:space="0" w:color="auto"/>
        <w:bottom w:val="none" w:sz="0" w:space="0" w:color="auto"/>
        <w:right w:val="none" w:sz="0" w:space="0" w:color="auto"/>
      </w:divBdr>
      <w:divsChild>
        <w:div w:id="881670105">
          <w:marLeft w:val="0"/>
          <w:marRight w:val="0"/>
          <w:marTop w:val="0"/>
          <w:marBottom w:val="0"/>
          <w:divBdr>
            <w:top w:val="none" w:sz="0" w:space="0" w:color="auto"/>
            <w:left w:val="none" w:sz="0" w:space="0" w:color="auto"/>
            <w:bottom w:val="none" w:sz="0" w:space="0" w:color="auto"/>
            <w:right w:val="none" w:sz="0" w:space="0" w:color="auto"/>
          </w:divBdr>
          <w:divsChild>
            <w:div w:id="110173891">
              <w:marLeft w:val="0"/>
              <w:marRight w:val="0"/>
              <w:marTop w:val="0"/>
              <w:marBottom w:val="0"/>
              <w:divBdr>
                <w:top w:val="none" w:sz="0" w:space="0" w:color="auto"/>
                <w:left w:val="none" w:sz="0" w:space="0" w:color="auto"/>
                <w:bottom w:val="none" w:sz="0" w:space="0" w:color="auto"/>
                <w:right w:val="none" w:sz="0" w:space="0" w:color="auto"/>
              </w:divBdr>
              <w:divsChild>
                <w:div w:id="18164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5699">
      <w:bodyDiv w:val="1"/>
      <w:marLeft w:val="0"/>
      <w:marRight w:val="0"/>
      <w:marTop w:val="0"/>
      <w:marBottom w:val="0"/>
      <w:divBdr>
        <w:top w:val="none" w:sz="0" w:space="0" w:color="auto"/>
        <w:left w:val="none" w:sz="0" w:space="0" w:color="auto"/>
        <w:bottom w:val="none" w:sz="0" w:space="0" w:color="auto"/>
        <w:right w:val="none" w:sz="0" w:space="0" w:color="auto"/>
      </w:divBdr>
      <w:divsChild>
        <w:div w:id="1546403628">
          <w:marLeft w:val="0"/>
          <w:marRight w:val="0"/>
          <w:marTop w:val="0"/>
          <w:marBottom w:val="0"/>
          <w:divBdr>
            <w:top w:val="none" w:sz="0" w:space="0" w:color="auto"/>
            <w:left w:val="none" w:sz="0" w:space="0" w:color="auto"/>
            <w:bottom w:val="none" w:sz="0" w:space="0" w:color="auto"/>
            <w:right w:val="none" w:sz="0" w:space="0" w:color="auto"/>
          </w:divBdr>
          <w:divsChild>
            <w:div w:id="592251110">
              <w:marLeft w:val="0"/>
              <w:marRight w:val="0"/>
              <w:marTop w:val="0"/>
              <w:marBottom w:val="0"/>
              <w:divBdr>
                <w:top w:val="none" w:sz="0" w:space="0" w:color="auto"/>
                <w:left w:val="none" w:sz="0" w:space="0" w:color="auto"/>
                <w:bottom w:val="none" w:sz="0" w:space="0" w:color="auto"/>
                <w:right w:val="none" w:sz="0" w:space="0" w:color="auto"/>
              </w:divBdr>
              <w:divsChild>
                <w:div w:id="1715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7017">
      <w:bodyDiv w:val="1"/>
      <w:marLeft w:val="0"/>
      <w:marRight w:val="0"/>
      <w:marTop w:val="0"/>
      <w:marBottom w:val="0"/>
      <w:divBdr>
        <w:top w:val="none" w:sz="0" w:space="0" w:color="auto"/>
        <w:left w:val="none" w:sz="0" w:space="0" w:color="auto"/>
        <w:bottom w:val="none" w:sz="0" w:space="0" w:color="auto"/>
        <w:right w:val="none" w:sz="0" w:space="0" w:color="auto"/>
      </w:divBdr>
    </w:div>
    <w:div w:id="263920493">
      <w:bodyDiv w:val="1"/>
      <w:marLeft w:val="0"/>
      <w:marRight w:val="0"/>
      <w:marTop w:val="0"/>
      <w:marBottom w:val="0"/>
      <w:divBdr>
        <w:top w:val="none" w:sz="0" w:space="0" w:color="auto"/>
        <w:left w:val="none" w:sz="0" w:space="0" w:color="auto"/>
        <w:bottom w:val="none" w:sz="0" w:space="0" w:color="auto"/>
        <w:right w:val="none" w:sz="0" w:space="0" w:color="auto"/>
      </w:divBdr>
    </w:div>
    <w:div w:id="277226400">
      <w:bodyDiv w:val="1"/>
      <w:marLeft w:val="0"/>
      <w:marRight w:val="0"/>
      <w:marTop w:val="0"/>
      <w:marBottom w:val="0"/>
      <w:divBdr>
        <w:top w:val="none" w:sz="0" w:space="0" w:color="auto"/>
        <w:left w:val="none" w:sz="0" w:space="0" w:color="auto"/>
        <w:bottom w:val="none" w:sz="0" w:space="0" w:color="auto"/>
        <w:right w:val="none" w:sz="0" w:space="0" w:color="auto"/>
      </w:divBdr>
    </w:div>
    <w:div w:id="349915651">
      <w:bodyDiv w:val="1"/>
      <w:marLeft w:val="0"/>
      <w:marRight w:val="0"/>
      <w:marTop w:val="0"/>
      <w:marBottom w:val="0"/>
      <w:divBdr>
        <w:top w:val="none" w:sz="0" w:space="0" w:color="auto"/>
        <w:left w:val="none" w:sz="0" w:space="0" w:color="auto"/>
        <w:bottom w:val="none" w:sz="0" w:space="0" w:color="auto"/>
        <w:right w:val="none" w:sz="0" w:space="0" w:color="auto"/>
      </w:divBdr>
    </w:div>
    <w:div w:id="350768180">
      <w:bodyDiv w:val="1"/>
      <w:marLeft w:val="0"/>
      <w:marRight w:val="0"/>
      <w:marTop w:val="0"/>
      <w:marBottom w:val="0"/>
      <w:divBdr>
        <w:top w:val="none" w:sz="0" w:space="0" w:color="auto"/>
        <w:left w:val="none" w:sz="0" w:space="0" w:color="auto"/>
        <w:bottom w:val="none" w:sz="0" w:space="0" w:color="auto"/>
        <w:right w:val="none" w:sz="0" w:space="0" w:color="auto"/>
      </w:divBdr>
    </w:div>
    <w:div w:id="518205494">
      <w:bodyDiv w:val="1"/>
      <w:marLeft w:val="0"/>
      <w:marRight w:val="0"/>
      <w:marTop w:val="0"/>
      <w:marBottom w:val="0"/>
      <w:divBdr>
        <w:top w:val="none" w:sz="0" w:space="0" w:color="auto"/>
        <w:left w:val="none" w:sz="0" w:space="0" w:color="auto"/>
        <w:bottom w:val="none" w:sz="0" w:space="0" w:color="auto"/>
        <w:right w:val="none" w:sz="0" w:space="0" w:color="auto"/>
      </w:divBdr>
    </w:div>
    <w:div w:id="580526075">
      <w:bodyDiv w:val="1"/>
      <w:marLeft w:val="0"/>
      <w:marRight w:val="0"/>
      <w:marTop w:val="0"/>
      <w:marBottom w:val="0"/>
      <w:divBdr>
        <w:top w:val="none" w:sz="0" w:space="0" w:color="auto"/>
        <w:left w:val="none" w:sz="0" w:space="0" w:color="auto"/>
        <w:bottom w:val="none" w:sz="0" w:space="0" w:color="auto"/>
        <w:right w:val="none" w:sz="0" w:space="0" w:color="auto"/>
      </w:divBdr>
    </w:div>
    <w:div w:id="740643818">
      <w:bodyDiv w:val="1"/>
      <w:marLeft w:val="0"/>
      <w:marRight w:val="0"/>
      <w:marTop w:val="0"/>
      <w:marBottom w:val="0"/>
      <w:divBdr>
        <w:top w:val="none" w:sz="0" w:space="0" w:color="auto"/>
        <w:left w:val="none" w:sz="0" w:space="0" w:color="auto"/>
        <w:bottom w:val="none" w:sz="0" w:space="0" w:color="auto"/>
        <w:right w:val="none" w:sz="0" w:space="0" w:color="auto"/>
      </w:divBdr>
    </w:div>
    <w:div w:id="746731171">
      <w:bodyDiv w:val="1"/>
      <w:marLeft w:val="0"/>
      <w:marRight w:val="0"/>
      <w:marTop w:val="0"/>
      <w:marBottom w:val="0"/>
      <w:divBdr>
        <w:top w:val="none" w:sz="0" w:space="0" w:color="auto"/>
        <w:left w:val="none" w:sz="0" w:space="0" w:color="auto"/>
        <w:bottom w:val="none" w:sz="0" w:space="0" w:color="auto"/>
        <w:right w:val="none" w:sz="0" w:space="0" w:color="auto"/>
      </w:divBdr>
    </w:div>
    <w:div w:id="767655625">
      <w:bodyDiv w:val="1"/>
      <w:marLeft w:val="0"/>
      <w:marRight w:val="0"/>
      <w:marTop w:val="0"/>
      <w:marBottom w:val="0"/>
      <w:divBdr>
        <w:top w:val="none" w:sz="0" w:space="0" w:color="auto"/>
        <w:left w:val="none" w:sz="0" w:space="0" w:color="auto"/>
        <w:bottom w:val="none" w:sz="0" w:space="0" w:color="auto"/>
        <w:right w:val="none" w:sz="0" w:space="0" w:color="auto"/>
      </w:divBdr>
    </w:div>
    <w:div w:id="782652115">
      <w:bodyDiv w:val="1"/>
      <w:marLeft w:val="0"/>
      <w:marRight w:val="0"/>
      <w:marTop w:val="0"/>
      <w:marBottom w:val="0"/>
      <w:divBdr>
        <w:top w:val="none" w:sz="0" w:space="0" w:color="auto"/>
        <w:left w:val="none" w:sz="0" w:space="0" w:color="auto"/>
        <w:bottom w:val="none" w:sz="0" w:space="0" w:color="auto"/>
        <w:right w:val="none" w:sz="0" w:space="0" w:color="auto"/>
      </w:divBdr>
    </w:div>
    <w:div w:id="793131796">
      <w:bodyDiv w:val="1"/>
      <w:marLeft w:val="0"/>
      <w:marRight w:val="0"/>
      <w:marTop w:val="0"/>
      <w:marBottom w:val="0"/>
      <w:divBdr>
        <w:top w:val="none" w:sz="0" w:space="0" w:color="auto"/>
        <w:left w:val="none" w:sz="0" w:space="0" w:color="auto"/>
        <w:bottom w:val="none" w:sz="0" w:space="0" w:color="auto"/>
        <w:right w:val="none" w:sz="0" w:space="0" w:color="auto"/>
      </w:divBdr>
    </w:div>
    <w:div w:id="961955601">
      <w:bodyDiv w:val="1"/>
      <w:marLeft w:val="0"/>
      <w:marRight w:val="0"/>
      <w:marTop w:val="0"/>
      <w:marBottom w:val="0"/>
      <w:divBdr>
        <w:top w:val="none" w:sz="0" w:space="0" w:color="auto"/>
        <w:left w:val="none" w:sz="0" w:space="0" w:color="auto"/>
        <w:bottom w:val="none" w:sz="0" w:space="0" w:color="auto"/>
        <w:right w:val="none" w:sz="0" w:space="0" w:color="auto"/>
      </w:divBdr>
    </w:div>
    <w:div w:id="1170604916">
      <w:bodyDiv w:val="1"/>
      <w:marLeft w:val="0"/>
      <w:marRight w:val="0"/>
      <w:marTop w:val="0"/>
      <w:marBottom w:val="0"/>
      <w:divBdr>
        <w:top w:val="none" w:sz="0" w:space="0" w:color="auto"/>
        <w:left w:val="none" w:sz="0" w:space="0" w:color="auto"/>
        <w:bottom w:val="none" w:sz="0" w:space="0" w:color="auto"/>
        <w:right w:val="none" w:sz="0" w:space="0" w:color="auto"/>
      </w:divBdr>
    </w:div>
    <w:div w:id="1194729919">
      <w:bodyDiv w:val="1"/>
      <w:marLeft w:val="0"/>
      <w:marRight w:val="0"/>
      <w:marTop w:val="0"/>
      <w:marBottom w:val="0"/>
      <w:divBdr>
        <w:top w:val="none" w:sz="0" w:space="0" w:color="auto"/>
        <w:left w:val="none" w:sz="0" w:space="0" w:color="auto"/>
        <w:bottom w:val="none" w:sz="0" w:space="0" w:color="auto"/>
        <w:right w:val="none" w:sz="0" w:space="0" w:color="auto"/>
      </w:divBdr>
    </w:div>
    <w:div w:id="1234120452">
      <w:bodyDiv w:val="1"/>
      <w:marLeft w:val="0"/>
      <w:marRight w:val="0"/>
      <w:marTop w:val="0"/>
      <w:marBottom w:val="0"/>
      <w:divBdr>
        <w:top w:val="none" w:sz="0" w:space="0" w:color="auto"/>
        <w:left w:val="none" w:sz="0" w:space="0" w:color="auto"/>
        <w:bottom w:val="none" w:sz="0" w:space="0" w:color="auto"/>
        <w:right w:val="none" w:sz="0" w:space="0" w:color="auto"/>
      </w:divBdr>
    </w:div>
    <w:div w:id="1552304409">
      <w:bodyDiv w:val="1"/>
      <w:marLeft w:val="0"/>
      <w:marRight w:val="0"/>
      <w:marTop w:val="0"/>
      <w:marBottom w:val="0"/>
      <w:divBdr>
        <w:top w:val="none" w:sz="0" w:space="0" w:color="auto"/>
        <w:left w:val="none" w:sz="0" w:space="0" w:color="auto"/>
        <w:bottom w:val="none" w:sz="0" w:space="0" w:color="auto"/>
        <w:right w:val="none" w:sz="0" w:space="0" w:color="auto"/>
      </w:divBdr>
    </w:div>
    <w:div w:id="1575436026">
      <w:bodyDiv w:val="1"/>
      <w:marLeft w:val="0"/>
      <w:marRight w:val="0"/>
      <w:marTop w:val="0"/>
      <w:marBottom w:val="0"/>
      <w:divBdr>
        <w:top w:val="none" w:sz="0" w:space="0" w:color="auto"/>
        <w:left w:val="none" w:sz="0" w:space="0" w:color="auto"/>
        <w:bottom w:val="none" w:sz="0" w:space="0" w:color="auto"/>
        <w:right w:val="none" w:sz="0" w:space="0" w:color="auto"/>
      </w:divBdr>
    </w:div>
    <w:div w:id="1622110634">
      <w:bodyDiv w:val="1"/>
      <w:marLeft w:val="0"/>
      <w:marRight w:val="0"/>
      <w:marTop w:val="0"/>
      <w:marBottom w:val="0"/>
      <w:divBdr>
        <w:top w:val="none" w:sz="0" w:space="0" w:color="auto"/>
        <w:left w:val="none" w:sz="0" w:space="0" w:color="auto"/>
        <w:bottom w:val="none" w:sz="0" w:space="0" w:color="auto"/>
        <w:right w:val="none" w:sz="0" w:space="0" w:color="auto"/>
      </w:divBdr>
    </w:div>
    <w:div w:id="1642997963">
      <w:bodyDiv w:val="1"/>
      <w:marLeft w:val="0"/>
      <w:marRight w:val="0"/>
      <w:marTop w:val="0"/>
      <w:marBottom w:val="0"/>
      <w:divBdr>
        <w:top w:val="none" w:sz="0" w:space="0" w:color="auto"/>
        <w:left w:val="none" w:sz="0" w:space="0" w:color="auto"/>
        <w:bottom w:val="none" w:sz="0" w:space="0" w:color="auto"/>
        <w:right w:val="none" w:sz="0" w:space="0" w:color="auto"/>
      </w:divBdr>
    </w:div>
    <w:div w:id="1657225835">
      <w:bodyDiv w:val="1"/>
      <w:marLeft w:val="0"/>
      <w:marRight w:val="0"/>
      <w:marTop w:val="0"/>
      <w:marBottom w:val="0"/>
      <w:divBdr>
        <w:top w:val="none" w:sz="0" w:space="0" w:color="auto"/>
        <w:left w:val="none" w:sz="0" w:space="0" w:color="auto"/>
        <w:bottom w:val="none" w:sz="0" w:space="0" w:color="auto"/>
        <w:right w:val="none" w:sz="0" w:space="0" w:color="auto"/>
      </w:divBdr>
    </w:div>
    <w:div w:id="1857843781">
      <w:bodyDiv w:val="1"/>
      <w:marLeft w:val="0"/>
      <w:marRight w:val="0"/>
      <w:marTop w:val="0"/>
      <w:marBottom w:val="0"/>
      <w:divBdr>
        <w:top w:val="none" w:sz="0" w:space="0" w:color="auto"/>
        <w:left w:val="none" w:sz="0" w:space="0" w:color="auto"/>
        <w:bottom w:val="none" w:sz="0" w:space="0" w:color="auto"/>
        <w:right w:val="none" w:sz="0" w:space="0" w:color="auto"/>
      </w:divBdr>
    </w:div>
    <w:div w:id="1866014826">
      <w:bodyDiv w:val="1"/>
      <w:marLeft w:val="0"/>
      <w:marRight w:val="0"/>
      <w:marTop w:val="0"/>
      <w:marBottom w:val="0"/>
      <w:divBdr>
        <w:top w:val="none" w:sz="0" w:space="0" w:color="auto"/>
        <w:left w:val="none" w:sz="0" w:space="0" w:color="auto"/>
        <w:bottom w:val="none" w:sz="0" w:space="0" w:color="auto"/>
        <w:right w:val="none" w:sz="0" w:space="0" w:color="auto"/>
      </w:divBdr>
    </w:div>
    <w:div w:id="1926650687">
      <w:bodyDiv w:val="1"/>
      <w:marLeft w:val="0"/>
      <w:marRight w:val="0"/>
      <w:marTop w:val="0"/>
      <w:marBottom w:val="0"/>
      <w:divBdr>
        <w:top w:val="none" w:sz="0" w:space="0" w:color="auto"/>
        <w:left w:val="none" w:sz="0" w:space="0" w:color="auto"/>
        <w:bottom w:val="none" w:sz="0" w:space="0" w:color="auto"/>
        <w:right w:val="none" w:sz="0" w:space="0" w:color="auto"/>
      </w:divBdr>
    </w:div>
    <w:div w:id="1944454019">
      <w:bodyDiv w:val="1"/>
      <w:marLeft w:val="0"/>
      <w:marRight w:val="0"/>
      <w:marTop w:val="0"/>
      <w:marBottom w:val="0"/>
      <w:divBdr>
        <w:top w:val="none" w:sz="0" w:space="0" w:color="auto"/>
        <w:left w:val="none" w:sz="0" w:space="0" w:color="auto"/>
        <w:bottom w:val="none" w:sz="0" w:space="0" w:color="auto"/>
        <w:right w:val="none" w:sz="0" w:space="0" w:color="auto"/>
      </w:divBdr>
    </w:div>
    <w:div w:id="1964144865">
      <w:bodyDiv w:val="1"/>
      <w:marLeft w:val="0"/>
      <w:marRight w:val="0"/>
      <w:marTop w:val="0"/>
      <w:marBottom w:val="0"/>
      <w:divBdr>
        <w:top w:val="none" w:sz="0" w:space="0" w:color="auto"/>
        <w:left w:val="none" w:sz="0" w:space="0" w:color="auto"/>
        <w:bottom w:val="none" w:sz="0" w:space="0" w:color="auto"/>
        <w:right w:val="none" w:sz="0" w:space="0" w:color="auto"/>
      </w:divBdr>
    </w:div>
    <w:div w:id="2131431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image" Target="media/image9.emf"/><Relationship Id="rId39" Type="http://schemas.openxmlformats.org/officeDocument/2006/relationships/footer" Target="footer6.xml"/><Relationship Id="rId21" Type="http://schemas.openxmlformats.org/officeDocument/2006/relationships/image" Target="media/image4.emf"/><Relationship Id="rId34" Type="http://schemas.openxmlformats.org/officeDocument/2006/relationships/hyperlink" Target="https://file.ac/WAhuZ6V8vbw/"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3.emf"/><Relationship Id="rId29" Type="http://schemas.openxmlformats.org/officeDocument/2006/relationships/hyperlink" Target="https://www.census.gov/programs-surveys/cbp.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hyperlink" Target="https://data.census.gov/cedsci/all?q=&amp;y=2018&amp;d=ECNSVY%20Business%20Patterns%20Zipcode%20Business%20Patterns&amp;n=N0000.00" TargetMode="External"/><Relationship Id="rId37" Type="http://schemas.openxmlformats.org/officeDocument/2006/relationships/hyperlink" Target="https://wonder.cdc.gov/wonder/sci_data/codes/fips/type_txt/cntyxref.as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6.emf"/><Relationship Id="rId28" Type="http://schemas.openxmlformats.org/officeDocument/2006/relationships/hyperlink" Target="https://www.census.gov/programs-surveys/geography/guidance/geo-areas/zctas.html" TargetMode="External"/><Relationship Id="rId36" Type="http://schemas.openxmlformats.org/officeDocument/2006/relationships/hyperlink" Target="https://data.census.gov/cedsci/all?q=&amp;g=0400000US06.860000&amp;y=2019&amp;d=ACS%205-Year%20Estimates%20Data%20Profiles"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https://data.census.gov/cedsci/all?q=&amp;g=0400000US06.860000&amp;y=2019&amp;d=ACS%205-Year%20Estimates%20Data%20Profile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hyperlink" Target="https://www.census.gov/programs-surveys/acs" TargetMode="External"/><Relationship Id="rId35" Type="http://schemas.openxmlformats.org/officeDocument/2006/relationships/hyperlink" Target="https://purr.purdue.edu/publications/2960/1"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image" Target="media/image8.emf"/><Relationship Id="rId33" Type="http://schemas.openxmlformats.org/officeDocument/2006/relationships/hyperlink" Target="https://www.census.gov/programs-surveys/acs" TargetMode="External"/><Relationship Id="rId38"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9D30D-32BA-D947-892B-5E4AFFD6D3E9}" type="doc">
      <dgm:prSet loTypeId="urn:microsoft.com/office/officeart/2005/8/layout/process4" loCatId="" qsTypeId="urn:microsoft.com/office/officeart/2005/8/quickstyle/simple1" qsCatId="simple" csTypeId="urn:microsoft.com/office/officeart/2005/8/colors/accent1_5" csCatId="accent1" phldr="1"/>
      <dgm:spPr/>
      <dgm:t>
        <a:bodyPr/>
        <a:lstStyle/>
        <a:p>
          <a:endParaRPr lang="en-US"/>
        </a:p>
      </dgm:t>
    </dgm:pt>
    <dgm:pt modelId="{60E04DBF-3A43-524B-8C31-8BC99C3B4246}">
      <dgm:prSet phldrT="[Text]"/>
      <dgm:spPr/>
      <dgm:t>
        <a:bodyPr/>
        <a:lstStyle/>
        <a:p>
          <a:r>
            <a:rPr lang="en-US"/>
            <a:t>Exploration of Participation Data</a:t>
          </a:r>
        </a:p>
      </dgm:t>
    </dgm:pt>
    <dgm:pt modelId="{EEC9676E-7CE5-E040-9B5B-A35248189FF4}" type="parTrans" cxnId="{A9670D42-48BB-DD4B-B7EB-08A415B2EF7F}">
      <dgm:prSet/>
      <dgm:spPr/>
      <dgm:t>
        <a:bodyPr/>
        <a:lstStyle/>
        <a:p>
          <a:endParaRPr lang="en-US"/>
        </a:p>
      </dgm:t>
    </dgm:pt>
    <dgm:pt modelId="{7F5A7927-045C-7B4F-9D8E-ABC128CA3F0E}" type="sibTrans" cxnId="{A9670D42-48BB-DD4B-B7EB-08A415B2EF7F}">
      <dgm:prSet/>
      <dgm:spPr/>
      <dgm:t>
        <a:bodyPr/>
        <a:lstStyle/>
        <a:p>
          <a:endParaRPr lang="en-US"/>
        </a:p>
      </dgm:t>
    </dgm:pt>
    <dgm:pt modelId="{73ED7457-2165-5845-9E16-866209BD1893}">
      <dgm:prSet phldrT="[Text]"/>
      <dgm:spPr/>
      <dgm:t>
        <a:bodyPr/>
        <a:lstStyle/>
        <a:p>
          <a:r>
            <a:rPr lang="en-US"/>
            <a:t>Definition of SMB</a:t>
          </a:r>
        </a:p>
      </dgm:t>
    </dgm:pt>
    <dgm:pt modelId="{966DF508-C0BA-0D4E-B577-3DA841D5281A}" type="parTrans" cxnId="{63E5673B-8006-864B-9F4D-963B86DE0673}">
      <dgm:prSet/>
      <dgm:spPr/>
      <dgm:t>
        <a:bodyPr/>
        <a:lstStyle/>
        <a:p>
          <a:endParaRPr lang="en-US"/>
        </a:p>
      </dgm:t>
    </dgm:pt>
    <dgm:pt modelId="{DB2D5836-8A02-8F45-B585-DD946337C68D}" type="sibTrans" cxnId="{63E5673B-8006-864B-9F4D-963B86DE0673}">
      <dgm:prSet/>
      <dgm:spPr/>
      <dgm:t>
        <a:bodyPr/>
        <a:lstStyle/>
        <a:p>
          <a:endParaRPr lang="en-US"/>
        </a:p>
      </dgm:t>
    </dgm:pt>
    <dgm:pt modelId="{017D9B94-0B90-F645-A44A-838B47FEA1B0}">
      <dgm:prSet phldrT="[Text]"/>
      <dgm:spPr/>
      <dgm:t>
        <a:bodyPr/>
        <a:lstStyle/>
        <a:p>
          <a:r>
            <a:rPr lang="en-US"/>
            <a:t>Spatial Analysis for Gaps by Geographic Area</a:t>
          </a:r>
        </a:p>
      </dgm:t>
    </dgm:pt>
    <dgm:pt modelId="{62FEEFA6-CA85-D448-8101-6C4BF829A8BD}" type="parTrans" cxnId="{9CAF6098-6EE8-CA48-91A3-40F5821395FD}">
      <dgm:prSet/>
      <dgm:spPr/>
      <dgm:t>
        <a:bodyPr/>
        <a:lstStyle/>
        <a:p>
          <a:endParaRPr lang="en-US"/>
        </a:p>
      </dgm:t>
    </dgm:pt>
    <dgm:pt modelId="{220ACAE7-F950-F84C-90EF-83B9EE91C9AE}" type="sibTrans" cxnId="{9CAF6098-6EE8-CA48-91A3-40F5821395FD}">
      <dgm:prSet/>
      <dgm:spPr/>
      <dgm:t>
        <a:bodyPr/>
        <a:lstStyle/>
        <a:p>
          <a:endParaRPr lang="en-US"/>
        </a:p>
      </dgm:t>
    </dgm:pt>
    <dgm:pt modelId="{37C41809-4B9A-514E-9B4C-EC231469A762}">
      <dgm:prSet phldrT="[Text]"/>
      <dgm:spPr/>
      <dgm:t>
        <a:bodyPr/>
        <a:lstStyle/>
        <a:p>
          <a:r>
            <a:rPr lang="en-US"/>
            <a:t>Grouping of data by spatial region</a:t>
          </a:r>
        </a:p>
      </dgm:t>
    </dgm:pt>
    <dgm:pt modelId="{93C209BB-5F39-324E-B59A-13D843839217}" type="parTrans" cxnId="{8237B4B4-628F-D344-89C3-BA6CB4B35D9F}">
      <dgm:prSet/>
      <dgm:spPr/>
      <dgm:t>
        <a:bodyPr/>
        <a:lstStyle/>
        <a:p>
          <a:endParaRPr lang="en-US"/>
        </a:p>
      </dgm:t>
    </dgm:pt>
    <dgm:pt modelId="{78FF4380-859B-DB40-837F-33D5816C2A22}" type="sibTrans" cxnId="{8237B4B4-628F-D344-89C3-BA6CB4B35D9F}">
      <dgm:prSet/>
      <dgm:spPr/>
      <dgm:t>
        <a:bodyPr/>
        <a:lstStyle/>
        <a:p>
          <a:endParaRPr lang="en-US"/>
        </a:p>
      </dgm:t>
    </dgm:pt>
    <dgm:pt modelId="{BF0E6A25-BB77-2A48-8FE8-72476C4176BC}">
      <dgm:prSet phldrT="[Text]"/>
      <dgm:spPr/>
      <dgm:t>
        <a:bodyPr/>
        <a:lstStyle/>
        <a:p>
          <a:r>
            <a:rPr lang="en-US"/>
            <a:t>Spatial Analysis for Gaps by Socio-demographic and Geographic Area</a:t>
          </a:r>
        </a:p>
      </dgm:t>
    </dgm:pt>
    <dgm:pt modelId="{F4A68966-95D8-4447-95AB-1F11F57D0625}" type="parTrans" cxnId="{4910C070-335E-9B4C-82CC-CD74E31C4742}">
      <dgm:prSet/>
      <dgm:spPr/>
      <dgm:t>
        <a:bodyPr/>
        <a:lstStyle/>
        <a:p>
          <a:endParaRPr lang="en-US"/>
        </a:p>
      </dgm:t>
    </dgm:pt>
    <dgm:pt modelId="{8EBBA01F-70D6-6149-AA50-CE86C3FB7E86}" type="sibTrans" cxnId="{4910C070-335E-9B4C-82CC-CD74E31C4742}">
      <dgm:prSet/>
      <dgm:spPr/>
      <dgm:t>
        <a:bodyPr/>
        <a:lstStyle/>
        <a:p>
          <a:endParaRPr lang="en-US"/>
        </a:p>
      </dgm:t>
    </dgm:pt>
    <dgm:pt modelId="{7C440962-222B-EC4A-8060-A855472003AE}">
      <dgm:prSet phldrT="[Text]"/>
      <dgm:spPr/>
      <dgm:t>
        <a:bodyPr/>
        <a:lstStyle/>
        <a:p>
          <a:r>
            <a:rPr lang="en-US"/>
            <a:t>Statistical analysis of geographic data informed by results of initial SMB participation analysis and geographic analysis.</a:t>
          </a:r>
        </a:p>
      </dgm:t>
    </dgm:pt>
    <dgm:pt modelId="{61C7613A-D5B5-AC42-B261-BD069BA0C3BB}" type="parTrans" cxnId="{AA103AD5-7E62-DD48-A31F-744BCEFCAA6C}">
      <dgm:prSet/>
      <dgm:spPr/>
      <dgm:t>
        <a:bodyPr/>
        <a:lstStyle/>
        <a:p>
          <a:endParaRPr lang="en-US"/>
        </a:p>
      </dgm:t>
    </dgm:pt>
    <dgm:pt modelId="{56F392B0-2E7D-3F4E-B73B-B48708DDA59A}" type="sibTrans" cxnId="{AA103AD5-7E62-DD48-A31F-744BCEFCAA6C}">
      <dgm:prSet/>
      <dgm:spPr/>
      <dgm:t>
        <a:bodyPr/>
        <a:lstStyle/>
        <a:p>
          <a:endParaRPr lang="en-US"/>
        </a:p>
      </dgm:t>
    </dgm:pt>
    <dgm:pt modelId="{0013B148-73A1-B34E-AE36-A4F833F61A20}">
      <dgm:prSet phldrT="[Text]"/>
      <dgm:spPr/>
      <dgm:t>
        <a:bodyPr/>
        <a:lstStyle/>
        <a:p>
          <a:r>
            <a:rPr lang="en-US"/>
            <a:t>Statistical exploration of correlation between participation data and SMB participation</a:t>
          </a:r>
        </a:p>
      </dgm:t>
    </dgm:pt>
    <dgm:pt modelId="{E15052F7-5BF6-C544-982C-817453362294}" type="parTrans" cxnId="{2F0EF200-0D54-7B42-B790-42DE2C0E438B}">
      <dgm:prSet/>
      <dgm:spPr/>
      <dgm:t>
        <a:bodyPr/>
        <a:lstStyle/>
        <a:p>
          <a:endParaRPr lang="en-US"/>
        </a:p>
      </dgm:t>
    </dgm:pt>
    <dgm:pt modelId="{6C8E50C5-AF0C-C443-A78B-692634CDBC53}" type="sibTrans" cxnId="{2F0EF200-0D54-7B42-B790-42DE2C0E438B}">
      <dgm:prSet/>
      <dgm:spPr/>
      <dgm:t>
        <a:bodyPr/>
        <a:lstStyle/>
        <a:p>
          <a:endParaRPr lang="en-US"/>
        </a:p>
      </dgm:t>
    </dgm:pt>
    <dgm:pt modelId="{4BE916FD-E7E2-9C46-A99C-EAF34C8D9815}">
      <dgm:prSet phldrT="[Text]"/>
      <dgm:spPr/>
      <dgm:t>
        <a:bodyPr/>
        <a:lstStyle/>
        <a:p>
          <a:r>
            <a:rPr lang="en-US"/>
            <a:t>Exploratory analysis of spatial variables</a:t>
          </a:r>
        </a:p>
      </dgm:t>
    </dgm:pt>
    <dgm:pt modelId="{7C6DE5F8-FD08-6B40-80EE-E490A4E3CACE}" type="parTrans" cxnId="{98528713-0900-0A4A-9455-A20F2139A0E4}">
      <dgm:prSet/>
      <dgm:spPr/>
      <dgm:t>
        <a:bodyPr/>
        <a:lstStyle/>
        <a:p>
          <a:endParaRPr lang="en-US"/>
        </a:p>
      </dgm:t>
    </dgm:pt>
    <dgm:pt modelId="{F9977013-C2D9-BD40-90D8-E3A7EA9D952A}" type="sibTrans" cxnId="{98528713-0900-0A4A-9455-A20F2139A0E4}">
      <dgm:prSet/>
      <dgm:spPr/>
      <dgm:t>
        <a:bodyPr/>
        <a:lstStyle/>
        <a:p>
          <a:endParaRPr lang="en-US"/>
        </a:p>
      </dgm:t>
    </dgm:pt>
    <dgm:pt modelId="{9AAF140D-0077-C74B-BB6E-F37482913C79}" type="pres">
      <dgm:prSet presAssocID="{5299D30D-32BA-D947-892B-5E4AFFD6D3E9}" presName="Name0" presStyleCnt="0">
        <dgm:presLayoutVars>
          <dgm:dir/>
          <dgm:animLvl val="lvl"/>
          <dgm:resizeHandles val="exact"/>
        </dgm:presLayoutVars>
      </dgm:prSet>
      <dgm:spPr/>
    </dgm:pt>
    <dgm:pt modelId="{AADC2949-4C1F-574D-8EE1-3F3B27C5BF5A}" type="pres">
      <dgm:prSet presAssocID="{BF0E6A25-BB77-2A48-8FE8-72476C4176BC}" presName="boxAndChildren" presStyleCnt="0"/>
      <dgm:spPr/>
    </dgm:pt>
    <dgm:pt modelId="{F572AFB3-090A-EE4A-AFAC-DEFDC819F80E}" type="pres">
      <dgm:prSet presAssocID="{BF0E6A25-BB77-2A48-8FE8-72476C4176BC}" presName="parentTextBox" presStyleLbl="node1" presStyleIdx="0" presStyleCnt="3"/>
      <dgm:spPr/>
    </dgm:pt>
    <dgm:pt modelId="{3BEB7887-B75B-4E45-8F62-02E872F039C7}" type="pres">
      <dgm:prSet presAssocID="{BF0E6A25-BB77-2A48-8FE8-72476C4176BC}" presName="entireBox" presStyleLbl="node1" presStyleIdx="0" presStyleCnt="3"/>
      <dgm:spPr/>
    </dgm:pt>
    <dgm:pt modelId="{D7E8AAE2-5C74-DC4E-B1A0-195714C621C7}" type="pres">
      <dgm:prSet presAssocID="{BF0E6A25-BB77-2A48-8FE8-72476C4176BC}" presName="descendantBox" presStyleCnt="0"/>
      <dgm:spPr/>
    </dgm:pt>
    <dgm:pt modelId="{B6D772B5-663D-A040-80EF-E9BFDBF185AF}" type="pres">
      <dgm:prSet presAssocID="{7C440962-222B-EC4A-8060-A855472003AE}" presName="childTextBox" presStyleLbl="fgAccFollowNode1" presStyleIdx="0" presStyleCnt="5">
        <dgm:presLayoutVars>
          <dgm:bulletEnabled val="1"/>
        </dgm:presLayoutVars>
      </dgm:prSet>
      <dgm:spPr/>
    </dgm:pt>
    <dgm:pt modelId="{A5A8B551-E355-5746-BB77-477F52B28806}" type="pres">
      <dgm:prSet presAssocID="{220ACAE7-F950-F84C-90EF-83B9EE91C9AE}" presName="sp" presStyleCnt="0"/>
      <dgm:spPr/>
    </dgm:pt>
    <dgm:pt modelId="{C60FB8F6-C83F-C841-AE0C-5547B7C73DC0}" type="pres">
      <dgm:prSet presAssocID="{017D9B94-0B90-F645-A44A-838B47FEA1B0}" presName="arrowAndChildren" presStyleCnt="0"/>
      <dgm:spPr/>
    </dgm:pt>
    <dgm:pt modelId="{CA0194EF-713B-604B-BE57-7F4B58A3B06A}" type="pres">
      <dgm:prSet presAssocID="{017D9B94-0B90-F645-A44A-838B47FEA1B0}" presName="parentTextArrow" presStyleLbl="node1" presStyleIdx="0" presStyleCnt="3"/>
      <dgm:spPr/>
    </dgm:pt>
    <dgm:pt modelId="{FADBD3B6-6EBD-C640-9453-5CF7CC561835}" type="pres">
      <dgm:prSet presAssocID="{017D9B94-0B90-F645-A44A-838B47FEA1B0}" presName="arrow" presStyleLbl="node1" presStyleIdx="1" presStyleCnt="3"/>
      <dgm:spPr/>
    </dgm:pt>
    <dgm:pt modelId="{C0F162DC-9DDB-FD48-96F6-F99EFD3A578C}" type="pres">
      <dgm:prSet presAssocID="{017D9B94-0B90-F645-A44A-838B47FEA1B0}" presName="descendantArrow" presStyleCnt="0"/>
      <dgm:spPr/>
    </dgm:pt>
    <dgm:pt modelId="{0511D834-2497-094F-A1A0-A3DD2E35FC31}" type="pres">
      <dgm:prSet presAssocID="{37C41809-4B9A-514E-9B4C-EC231469A762}" presName="childTextArrow" presStyleLbl="fgAccFollowNode1" presStyleIdx="1" presStyleCnt="5">
        <dgm:presLayoutVars>
          <dgm:bulletEnabled val="1"/>
        </dgm:presLayoutVars>
      </dgm:prSet>
      <dgm:spPr/>
    </dgm:pt>
    <dgm:pt modelId="{38DC868B-CBC7-F44E-A3B7-089BDD04E93E}" type="pres">
      <dgm:prSet presAssocID="{4BE916FD-E7E2-9C46-A99C-EAF34C8D9815}" presName="childTextArrow" presStyleLbl="fgAccFollowNode1" presStyleIdx="2" presStyleCnt="5">
        <dgm:presLayoutVars>
          <dgm:bulletEnabled val="1"/>
        </dgm:presLayoutVars>
      </dgm:prSet>
      <dgm:spPr/>
    </dgm:pt>
    <dgm:pt modelId="{BB0258E0-86CB-1A46-AB9C-6B9B25652AED}" type="pres">
      <dgm:prSet presAssocID="{7F5A7927-045C-7B4F-9D8E-ABC128CA3F0E}" presName="sp" presStyleCnt="0"/>
      <dgm:spPr/>
    </dgm:pt>
    <dgm:pt modelId="{B0750A0C-85AE-2049-9E03-2384CDBB13DA}" type="pres">
      <dgm:prSet presAssocID="{60E04DBF-3A43-524B-8C31-8BC99C3B4246}" presName="arrowAndChildren" presStyleCnt="0"/>
      <dgm:spPr/>
    </dgm:pt>
    <dgm:pt modelId="{1AF54251-12EE-3646-B825-BD0CA8E3D2AA}" type="pres">
      <dgm:prSet presAssocID="{60E04DBF-3A43-524B-8C31-8BC99C3B4246}" presName="parentTextArrow" presStyleLbl="node1" presStyleIdx="1" presStyleCnt="3"/>
      <dgm:spPr/>
    </dgm:pt>
    <dgm:pt modelId="{F9A102D9-2C3B-CF43-B0CA-B42B256BF8B5}" type="pres">
      <dgm:prSet presAssocID="{60E04DBF-3A43-524B-8C31-8BC99C3B4246}" presName="arrow" presStyleLbl="node1" presStyleIdx="2" presStyleCnt="3"/>
      <dgm:spPr/>
    </dgm:pt>
    <dgm:pt modelId="{21A56BF3-0B7A-3F44-9876-98D0DADD323B}" type="pres">
      <dgm:prSet presAssocID="{60E04DBF-3A43-524B-8C31-8BC99C3B4246}" presName="descendantArrow" presStyleCnt="0"/>
      <dgm:spPr/>
    </dgm:pt>
    <dgm:pt modelId="{612A5AED-E39D-9A4B-A3D9-BE720BE7B5A1}" type="pres">
      <dgm:prSet presAssocID="{73ED7457-2165-5845-9E16-866209BD1893}" presName="childTextArrow" presStyleLbl="fgAccFollowNode1" presStyleIdx="3" presStyleCnt="5">
        <dgm:presLayoutVars>
          <dgm:bulletEnabled val="1"/>
        </dgm:presLayoutVars>
      </dgm:prSet>
      <dgm:spPr/>
    </dgm:pt>
    <dgm:pt modelId="{227E157A-647B-924D-88ED-7E337D7B4E22}" type="pres">
      <dgm:prSet presAssocID="{0013B148-73A1-B34E-AE36-A4F833F61A20}" presName="childTextArrow" presStyleLbl="fgAccFollowNode1" presStyleIdx="4" presStyleCnt="5">
        <dgm:presLayoutVars>
          <dgm:bulletEnabled val="1"/>
        </dgm:presLayoutVars>
      </dgm:prSet>
      <dgm:spPr/>
    </dgm:pt>
  </dgm:ptLst>
  <dgm:cxnLst>
    <dgm:cxn modelId="{2F0EF200-0D54-7B42-B790-42DE2C0E438B}" srcId="{60E04DBF-3A43-524B-8C31-8BC99C3B4246}" destId="{0013B148-73A1-B34E-AE36-A4F833F61A20}" srcOrd="1" destOrd="0" parTransId="{E15052F7-5BF6-C544-982C-817453362294}" sibTransId="{6C8E50C5-AF0C-C443-A78B-692634CDBC53}"/>
    <dgm:cxn modelId="{160B2705-36A9-954A-A6C6-623DE3712F14}" type="presOf" srcId="{0013B148-73A1-B34E-AE36-A4F833F61A20}" destId="{227E157A-647B-924D-88ED-7E337D7B4E22}" srcOrd="0" destOrd="0" presId="urn:microsoft.com/office/officeart/2005/8/layout/process4"/>
    <dgm:cxn modelId="{98528713-0900-0A4A-9455-A20F2139A0E4}" srcId="{017D9B94-0B90-F645-A44A-838B47FEA1B0}" destId="{4BE916FD-E7E2-9C46-A99C-EAF34C8D9815}" srcOrd="1" destOrd="0" parTransId="{7C6DE5F8-FD08-6B40-80EE-E490A4E3CACE}" sibTransId="{F9977013-C2D9-BD40-90D8-E3A7EA9D952A}"/>
    <dgm:cxn modelId="{51F91118-757B-DD4A-9F79-5E6CDD474F8F}" type="presOf" srcId="{4BE916FD-E7E2-9C46-A99C-EAF34C8D9815}" destId="{38DC868B-CBC7-F44E-A3B7-089BDD04E93E}" srcOrd="0" destOrd="0" presId="urn:microsoft.com/office/officeart/2005/8/layout/process4"/>
    <dgm:cxn modelId="{7C42BD1F-3C22-A24E-AD0F-530F819CA5F7}" type="presOf" srcId="{017D9B94-0B90-F645-A44A-838B47FEA1B0}" destId="{CA0194EF-713B-604B-BE57-7F4B58A3B06A}" srcOrd="0" destOrd="0" presId="urn:microsoft.com/office/officeart/2005/8/layout/process4"/>
    <dgm:cxn modelId="{C6787735-4209-7D42-A343-96904B8E7E8F}" type="presOf" srcId="{60E04DBF-3A43-524B-8C31-8BC99C3B4246}" destId="{1AF54251-12EE-3646-B825-BD0CA8E3D2AA}" srcOrd="0" destOrd="0" presId="urn:microsoft.com/office/officeart/2005/8/layout/process4"/>
    <dgm:cxn modelId="{63E5673B-8006-864B-9F4D-963B86DE0673}" srcId="{60E04DBF-3A43-524B-8C31-8BC99C3B4246}" destId="{73ED7457-2165-5845-9E16-866209BD1893}" srcOrd="0" destOrd="0" parTransId="{966DF508-C0BA-0D4E-B577-3DA841D5281A}" sibTransId="{DB2D5836-8A02-8F45-B585-DD946337C68D}"/>
    <dgm:cxn modelId="{A9670D42-48BB-DD4B-B7EB-08A415B2EF7F}" srcId="{5299D30D-32BA-D947-892B-5E4AFFD6D3E9}" destId="{60E04DBF-3A43-524B-8C31-8BC99C3B4246}" srcOrd="0" destOrd="0" parTransId="{EEC9676E-7CE5-E040-9B5B-A35248189FF4}" sibTransId="{7F5A7927-045C-7B4F-9D8E-ABC128CA3F0E}"/>
    <dgm:cxn modelId="{4655B451-A28E-8949-A821-51FD2C0E87E7}" type="presOf" srcId="{7C440962-222B-EC4A-8060-A855472003AE}" destId="{B6D772B5-663D-A040-80EF-E9BFDBF185AF}" srcOrd="0" destOrd="0" presId="urn:microsoft.com/office/officeart/2005/8/layout/process4"/>
    <dgm:cxn modelId="{D200F46A-3B13-3548-AEF1-0C54FD1F327C}" type="presOf" srcId="{60E04DBF-3A43-524B-8C31-8BC99C3B4246}" destId="{F9A102D9-2C3B-CF43-B0CA-B42B256BF8B5}" srcOrd="1" destOrd="0" presId="urn:microsoft.com/office/officeart/2005/8/layout/process4"/>
    <dgm:cxn modelId="{4910C070-335E-9B4C-82CC-CD74E31C4742}" srcId="{5299D30D-32BA-D947-892B-5E4AFFD6D3E9}" destId="{BF0E6A25-BB77-2A48-8FE8-72476C4176BC}" srcOrd="2" destOrd="0" parTransId="{F4A68966-95D8-4447-95AB-1F11F57D0625}" sibTransId="{8EBBA01F-70D6-6149-AA50-CE86C3FB7E86}"/>
    <dgm:cxn modelId="{9CAF6098-6EE8-CA48-91A3-40F5821395FD}" srcId="{5299D30D-32BA-D947-892B-5E4AFFD6D3E9}" destId="{017D9B94-0B90-F645-A44A-838B47FEA1B0}" srcOrd="1" destOrd="0" parTransId="{62FEEFA6-CA85-D448-8101-6C4BF829A8BD}" sibTransId="{220ACAE7-F950-F84C-90EF-83B9EE91C9AE}"/>
    <dgm:cxn modelId="{49BC22B4-1F31-EF46-815C-7BE0EB571AB8}" type="presOf" srcId="{BF0E6A25-BB77-2A48-8FE8-72476C4176BC}" destId="{3BEB7887-B75B-4E45-8F62-02E872F039C7}" srcOrd="1" destOrd="0" presId="urn:microsoft.com/office/officeart/2005/8/layout/process4"/>
    <dgm:cxn modelId="{8237B4B4-628F-D344-89C3-BA6CB4B35D9F}" srcId="{017D9B94-0B90-F645-A44A-838B47FEA1B0}" destId="{37C41809-4B9A-514E-9B4C-EC231469A762}" srcOrd="0" destOrd="0" parTransId="{93C209BB-5F39-324E-B59A-13D843839217}" sibTransId="{78FF4380-859B-DB40-837F-33D5816C2A22}"/>
    <dgm:cxn modelId="{5D7DF6CD-AECA-8C4D-9CA7-7562E3CD5D9E}" type="presOf" srcId="{5299D30D-32BA-D947-892B-5E4AFFD6D3E9}" destId="{9AAF140D-0077-C74B-BB6E-F37482913C79}" srcOrd="0" destOrd="0" presId="urn:microsoft.com/office/officeart/2005/8/layout/process4"/>
    <dgm:cxn modelId="{AA103AD5-7E62-DD48-A31F-744BCEFCAA6C}" srcId="{BF0E6A25-BB77-2A48-8FE8-72476C4176BC}" destId="{7C440962-222B-EC4A-8060-A855472003AE}" srcOrd="0" destOrd="0" parTransId="{61C7613A-D5B5-AC42-B261-BD069BA0C3BB}" sibTransId="{56F392B0-2E7D-3F4E-B73B-B48708DDA59A}"/>
    <dgm:cxn modelId="{A55015DB-1304-E94E-BD91-2AA27B2BD01F}" type="presOf" srcId="{37C41809-4B9A-514E-9B4C-EC231469A762}" destId="{0511D834-2497-094F-A1A0-A3DD2E35FC31}" srcOrd="0" destOrd="0" presId="urn:microsoft.com/office/officeart/2005/8/layout/process4"/>
    <dgm:cxn modelId="{1058C5DE-5B53-C048-A0F2-ED024F26B314}" type="presOf" srcId="{BF0E6A25-BB77-2A48-8FE8-72476C4176BC}" destId="{F572AFB3-090A-EE4A-AFAC-DEFDC819F80E}" srcOrd="0" destOrd="0" presId="urn:microsoft.com/office/officeart/2005/8/layout/process4"/>
    <dgm:cxn modelId="{A83B28F1-1355-284D-B13A-212DE6AF5A03}" type="presOf" srcId="{73ED7457-2165-5845-9E16-866209BD1893}" destId="{612A5AED-E39D-9A4B-A3D9-BE720BE7B5A1}" srcOrd="0" destOrd="0" presId="urn:microsoft.com/office/officeart/2005/8/layout/process4"/>
    <dgm:cxn modelId="{FA4DFAF7-F139-A746-AE5B-8561F773D57F}" type="presOf" srcId="{017D9B94-0B90-F645-A44A-838B47FEA1B0}" destId="{FADBD3B6-6EBD-C640-9453-5CF7CC561835}" srcOrd="1" destOrd="0" presId="urn:microsoft.com/office/officeart/2005/8/layout/process4"/>
    <dgm:cxn modelId="{D5E088E2-0BF7-CD40-97DB-687E88C6E8AE}" type="presParOf" srcId="{9AAF140D-0077-C74B-BB6E-F37482913C79}" destId="{AADC2949-4C1F-574D-8EE1-3F3B27C5BF5A}" srcOrd="0" destOrd="0" presId="urn:microsoft.com/office/officeart/2005/8/layout/process4"/>
    <dgm:cxn modelId="{07116871-ADE4-F349-87D2-DF8997DA0395}" type="presParOf" srcId="{AADC2949-4C1F-574D-8EE1-3F3B27C5BF5A}" destId="{F572AFB3-090A-EE4A-AFAC-DEFDC819F80E}" srcOrd="0" destOrd="0" presId="urn:microsoft.com/office/officeart/2005/8/layout/process4"/>
    <dgm:cxn modelId="{3276D046-6B76-2F44-9C93-D1DCC63968B4}" type="presParOf" srcId="{AADC2949-4C1F-574D-8EE1-3F3B27C5BF5A}" destId="{3BEB7887-B75B-4E45-8F62-02E872F039C7}" srcOrd="1" destOrd="0" presId="urn:microsoft.com/office/officeart/2005/8/layout/process4"/>
    <dgm:cxn modelId="{C3F02519-2B61-4845-BB60-61EAB26F3102}" type="presParOf" srcId="{AADC2949-4C1F-574D-8EE1-3F3B27C5BF5A}" destId="{D7E8AAE2-5C74-DC4E-B1A0-195714C621C7}" srcOrd="2" destOrd="0" presId="urn:microsoft.com/office/officeart/2005/8/layout/process4"/>
    <dgm:cxn modelId="{BF881610-73DA-7341-B05B-05F16BB7F45B}" type="presParOf" srcId="{D7E8AAE2-5C74-DC4E-B1A0-195714C621C7}" destId="{B6D772B5-663D-A040-80EF-E9BFDBF185AF}" srcOrd="0" destOrd="0" presId="urn:microsoft.com/office/officeart/2005/8/layout/process4"/>
    <dgm:cxn modelId="{E436E9D4-FD65-B842-9E7B-BCADB1CB0112}" type="presParOf" srcId="{9AAF140D-0077-C74B-BB6E-F37482913C79}" destId="{A5A8B551-E355-5746-BB77-477F52B28806}" srcOrd="1" destOrd="0" presId="urn:microsoft.com/office/officeart/2005/8/layout/process4"/>
    <dgm:cxn modelId="{303EF675-F98E-7748-83C5-E4A748FF11DB}" type="presParOf" srcId="{9AAF140D-0077-C74B-BB6E-F37482913C79}" destId="{C60FB8F6-C83F-C841-AE0C-5547B7C73DC0}" srcOrd="2" destOrd="0" presId="urn:microsoft.com/office/officeart/2005/8/layout/process4"/>
    <dgm:cxn modelId="{021DAD19-17CC-5A47-9845-50BC59E82C8C}" type="presParOf" srcId="{C60FB8F6-C83F-C841-AE0C-5547B7C73DC0}" destId="{CA0194EF-713B-604B-BE57-7F4B58A3B06A}" srcOrd="0" destOrd="0" presId="urn:microsoft.com/office/officeart/2005/8/layout/process4"/>
    <dgm:cxn modelId="{06515C5B-06E1-9D46-82FC-56721391EB39}" type="presParOf" srcId="{C60FB8F6-C83F-C841-AE0C-5547B7C73DC0}" destId="{FADBD3B6-6EBD-C640-9453-5CF7CC561835}" srcOrd="1" destOrd="0" presId="urn:microsoft.com/office/officeart/2005/8/layout/process4"/>
    <dgm:cxn modelId="{D321F2B2-6D63-B845-9284-B21DA2B9F131}" type="presParOf" srcId="{C60FB8F6-C83F-C841-AE0C-5547B7C73DC0}" destId="{C0F162DC-9DDB-FD48-96F6-F99EFD3A578C}" srcOrd="2" destOrd="0" presId="urn:microsoft.com/office/officeart/2005/8/layout/process4"/>
    <dgm:cxn modelId="{13EE4A1A-0ECF-E94E-8B04-3B3248590CAB}" type="presParOf" srcId="{C0F162DC-9DDB-FD48-96F6-F99EFD3A578C}" destId="{0511D834-2497-094F-A1A0-A3DD2E35FC31}" srcOrd="0" destOrd="0" presId="urn:microsoft.com/office/officeart/2005/8/layout/process4"/>
    <dgm:cxn modelId="{14F77866-7CC0-2C4B-B584-48873496A6AC}" type="presParOf" srcId="{C0F162DC-9DDB-FD48-96F6-F99EFD3A578C}" destId="{38DC868B-CBC7-F44E-A3B7-089BDD04E93E}" srcOrd="1" destOrd="0" presId="urn:microsoft.com/office/officeart/2005/8/layout/process4"/>
    <dgm:cxn modelId="{720C832D-8D81-7748-989D-248B78145D43}" type="presParOf" srcId="{9AAF140D-0077-C74B-BB6E-F37482913C79}" destId="{BB0258E0-86CB-1A46-AB9C-6B9B25652AED}" srcOrd="3" destOrd="0" presId="urn:microsoft.com/office/officeart/2005/8/layout/process4"/>
    <dgm:cxn modelId="{F8E51FE1-4500-9343-98EE-7CB11546486C}" type="presParOf" srcId="{9AAF140D-0077-C74B-BB6E-F37482913C79}" destId="{B0750A0C-85AE-2049-9E03-2384CDBB13DA}" srcOrd="4" destOrd="0" presId="urn:microsoft.com/office/officeart/2005/8/layout/process4"/>
    <dgm:cxn modelId="{DBA83166-B53B-0145-B884-BB3F880F231A}" type="presParOf" srcId="{B0750A0C-85AE-2049-9E03-2384CDBB13DA}" destId="{1AF54251-12EE-3646-B825-BD0CA8E3D2AA}" srcOrd="0" destOrd="0" presId="urn:microsoft.com/office/officeart/2005/8/layout/process4"/>
    <dgm:cxn modelId="{5E26C364-66C2-5944-BEDA-6C2F35722895}" type="presParOf" srcId="{B0750A0C-85AE-2049-9E03-2384CDBB13DA}" destId="{F9A102D9-2C3B-CF43-B0CA-B42B256BF8B5}" srcOrd="1" destOrd="0" presId="urn:microsoft.com/office/officeart/2005/8/layout/process4"/>
    <dgm:cxn modelId="{6FF5DC7E-9433-0E48-9833-FCE093D61BE2}" type="presParOf" srcId="{B0750A0C-85AE-2049-9E03-2384CDBB13DA}" destId="{21A56BF3-0B7A-3F44-9876-98D0DADD323B}" srcOrd="2" destOrd="0" presId="urn:microsoft.com/office/officeart/2005/8/layout/process4"/>
    <dgm:cxn modelId="{D5C8CBF7-1246-E342-99C8-A795BACA95B3}" type="presParOf" srcId="{21A56BF3-0B7A-3F44-9876-98D0DADD323B}" destId="{612A5AED-E39D-9A4B-A3D9-BE720BE7B5A1}" srcOrd="0" destOrd="0" presId="urn:microsoft.com/office/officeart/2005/8/layout/process4"/>
    <dgm:cxn modelId="{3D2EB454-28EE-E24A-A672-C0FA55A33866}" type="presParOf" srcId="{21A56BF3-0B7A-3F44-9876-98D0DADD323B}" destId="{227E157A-647B-924D-88ED-7E337D7B4E22}" srcOrd="1" destOrd="0" presId="urn:microsoft.com/office/officeart/2005/8/layout/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EB7887-B75B-4E45-8F62-02E872F039C7}">
      <dsp:nvSpPr>
        <dsp:cNvPr id="0" name=""/>
        <dsp:cNvSpPr/>
      </dsp:nvSpPr>
      <dsp:spPr>
        <a:xfrm>
          <a:off x="0" y="2409110"/>
          <a:ext cx="5486400" cy="790723"/>
        </a:xfrm>
        <a:prstGeom prst="rect">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Spatial Analysis for Gaps by Socio-demographic and Geographic Area</a:t>
          </a:r>
        </a:p>
      </dsp:txBody>
      <dsp:txXfrm>
        <a:off x="0" y="2409110"/>
        <a:ext cx="5486400" cy="426990"/>
      </dsp:txXfrm>
    </dsp:sp>
    <dsp:sp modelId="{B6D772B5-663D-A040-80EF-E9BFDBF185AF}">
      <dsp:nvSpPr>
        <dsp:cNvPr id="0" name=""/>
        <dsp:cNvSpPr/>
      </dsp:nvSpPr>
      <dsp:spPr>
        <a:xfrm>
          <a:off x="0" y="2820286"/>
          <a:ext cx="5486400" cy="36373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Statistical analysis of geographic data informed by results of initial SMB participation analysis and geographic analysis.</a:t>
          </a:r>
        </a:p>
      </dsp:txBody>
      <dsp:txXfrm>
        <a:off x="0" y="2820286"/>
        <a:ext cx="5486400" cy="363732"/>
      </dsp:txXfrm>
    </dsp:sp>
    <dsp:sp modelId="{FADBD3B6-6EBD-C640-9453-5CF7CC561835}">
      <dsp:nvSpPr>
        <dsp:cNvPr id="0" name=""/>
        <dsp:cNvSpPr/>
      </dsp:nvSpPr>
      <dsp:spPr>
        <a:xfrm rot="10800000">
          <a:off x="0" y="1204838"/>
          <a:ext cx="5486400" cy="1216133"/>
        </a:xfrm>
        <a:prstGeom prst="upArrowCallout">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Spatial Analysis for Gaps by Geographic Area</a:t>
          </a:r>
        </a:p>
      </dsp:txBody>
      <dsp:txXfrm rot="-10800000">
        <a:off x="0" y="1204838"/>
        <a:ext cx="5486400" cy="426862"/>
      </dsp:txXfrm>
    </dsp:sp>
    <dsp:sp modelId="{0511D834-2497-094F-A1A0-A3DD2E35FC31}">
      <dsp:nvSpPr>
        <dsp:cNvPr id="0" name=""/>
        <dsp:cNvSpPr/>
      </dsp:nvSpPr>
      <dsp:spPr>
        <a:xfrm>
          <a:off x="0" y="1631700"/>
          <a:ext cx="2743199" cy="363623"/>
        </a:xfrm>
        <a:prstGeom prst="rect">
          <a:avLst/>
        </a:prstGeom>
        <a:solidFill>
          <a:schemeClr val="accent1">
            <a:alpha val="90000"/>
            <a:tint val="40000"/>
            <a:hueOff val="0"/>
            <a:satOff val="0"/>
            <a:lumOff val="0"/>
            <a:alphaOff val="-1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Grouping of data by spatial region</a:t>
          </a:r>
        </a:p>
      </dsp:txBody>
      <dsp:txXfrm>
        <a:off x="0" y="1631700"/>
        <a:ext cx="2743199" cy="363623"/>
      </dsp:txXfrm>
    </dsp:sp>
    <dsp:sp modelId="{38DC868B-CBC7-F44E-A3B7-089BDD04E93E}">
      <dsp:nvSpPr>
        <dsp:cNvPr id="0" name=""/>
        <dsp:cNvSpPr/>
      </dsp:nvSpPr>
      <dsp:spPr>
        <a:xfrm>
          <a:off x="2743200" y="1631700"/>
          <a:ext cx="2743199" cy="363623"/>
        </a:xfrm>
        <a:prstGeom prst="rect">
          <a:avLst/>
        </a:prstGeom>
        <a:solidFill>
          <a:schemeClr val="accent1">
            <a:alpha val="90000"/>
            <a:tint val="40000"/>
            <a:hueOff val="0"/>
            <a:satOff val="0"/>
            <a:lumOff val="0"/>
            <a:alphaOff val="-2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Exploratory analysis of spatial variables</a:t>
          </a:r>
        </a:p>
      </dsp:txBody>
      <dsp:txXfrm>
        <a:off x="2743200" y="1631700"/>
        <a:ext cx="2743199" cy="363623"/>
      </dsp:txXfrm>
    </dsp:sp>
    <dsp:sp modelId="{F9A102D9-2C3B-CF43-B0CA-B42B256BF8B5}">
      <dsp:nvSpPr>
        <dsp:cNvPr id="0" name=""/>
        <dsp:cNvSpPr/>
      </dsp:nvSpPr>
      <dsp:spPr>
        <a:xfrm rot="10800000">
          <a:off x="0" y="565"/>
          <a:ext cx="5486400" cy="1216133"/>
        </a:xfrm>
        <a:prstGeom prst="upArrowCallout">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Exploration of Participation Data</a:t>
          </a:r>
        </a:p>
      </dsp:txBody>
      <dsp:txXfrm rot="-10800000">
        <a:off x="0" y="565"/>
        <a:ext cx="5486400" cy="426862"/>
      </dsp:txXfrm>
    </dsp:sp>
    <dsp:sp modelId="{612A5AED-E39D-9A4B-A3D9-BE720BE7B5A1}">
      <dsp:nvSpPr>
        <dsp:cNvPr id="0" name=""/>
        <dsp:cNvSpPr/>
      </dsp:nvSpPr>
      <dsp:spPr>
        <a:xfrm>
          <a:off x="0" y="427428"/>
          <a:ext cx="2743199" cy="363623"/>
        </a:xfrm>
        <a:prstGeom prst="rect">
          <a:avLst/>
        </a:prstGeom>
        <a:solidFill>
          <a:schemeClr val="accent1">
            <a:alpha val="90000"/>
            <a:tint val="40000"/>
            <a:hueOff val="0"/>
            <a:satOff val="0"/>
            <a:lumOff val="0"/>
            <a:alphaOff val="-3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Definition of SMB</a:t>
          </a:r>
        </a:p>
      </dsp:txBody>
      <dsp:txXfrm>
        <a:off x="0" y="427428"/>
        <a:ext cx="2743199" cy="363623"/>
      </dsp:txXfrm>
    </dsp:sp>
    <dsp:sp modelId="{227E157A-647B-924D-88ED-7E337D7B4E22}">
      <dsp:nvSpPr>
        <dsp:cNvPr id="0" name=""/>
        <dsp:cNvSpPr/>
      </dsp:nvSpPr>
      <dsp:spPr>
        <a:xfrm>
          <a:off x="2743200" y="427428"/>
          <a:ext cx="2743199" cy="363623"/>
        </a:xfrm>
        <a:prstGeom prst="rect">
          <a:avLst/>
        </a:prstGeom>
        <a:solidFill>
          <a:schemeClr val="accent1">
            <a:alpha val="90000"/>
            <a:tint val="40000"/>
            <a:hueOff val="0"/>
            <a:satOff val="0"/>
            <a:lumOff val="0"/>
            <a:alphaOff val="-4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Statistical exploration of correlation between participation data and SMB participation</a:t>
          </a:r>
        </a:p>
      </dsp:txBody>
      <dsp:txXfrm>
        <a:off x="2743200" y="427428"/>
        <a:ext cx="2743199"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Report Title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AE596C-39E4-7544-8680-75E21C71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12207</Words>
  <Characters>69582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Love</dc:creator>
  <cp:keywords/>
  <dc:description/>
  <cp:lastModifiedBy>Susan Rivo</cp:lastModifiedBy>
  <cp:revision>2</cp:revision>
  <cp:lastPrinted>2021-07-02T16:23:00Z</cp:lastPrinted>
  <dcterms:created xsi:type="dcterms:W3CDTF">2021-08-16T00:37:00Z</dcterms:created>
  <dcterms:modified xsi:type="dcterms:W3CDTF">2021-08-16T00:37:00Z</dcterms:modified>
</cp:coreProperties>
</file>