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2929" w14:textId="77777777" w:rsidR="003C4C00" w:rsidRPr="00B621B9" w:rsidRDefault="009E2A9E" w:rsidP="00823B45">
      <w:pPr>
        <w:rPr>
          <w:rFonts w:ascii="Arial" w:hAnsi="Arial" w:cs="Arial"/>
          <w:sz w:val="24"/>
          <w:szCs w:val="24"/>
        </w:rPr>
      </w:pPr>
      <w:r w:rsidRPr="00B621B9">
        <w:rPr>
          <w:rFonts w:ascii="Arial" w:hAnsi="Arial" w:cs="Arial"/>
          <w:noProof/>
          <w:sz w:val="24"/>
          <w:szCs w:val="24"/>
        </w:rPr>
        <mc:AlternateContent>
          <mc:Choice Requires="wps">
            <w:drawing>
              <wp:anchor distT="0" distB="0" distL="114300" distR="114300" simplePos="0" relativeHeight="251658240" behindDoc="0" locked="0" layoutInCell="1" allowOverlap="1" wp14:anchorId="3550AE2F" wp14:editId="7337149E">
                <wp:simplePos x="0" y="0"/>
                <wp:positionH relativeFrom="column">
                  <wp:posOffset>1680845</wp:posOffset>
                </wp:positionH>
                <wp:positionV relativeFrom="paragraph">
                  <wp:posOffset>-311785</wp:posOffset>
                </wp:positionV>
                <wp:extent cx="3429000" cy="1485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2EBBB" w14:textId="77777777" w:rsidR="0021436D" w:rsidRPr="002F116C" w:rsidRDefault="0021436D">
                            <w:pPr>
                              <w:jc w:val="right"/>
                              <w:rPr>
                                <w:rFonts w:ascii="Arial" w:hAnsi="Arial"/>
                                <w:b/>
                                <w:sz w:val="18"/>
                                <w:szCs w:val="18"/>
                              </w:rPr>
                            </w:pPr>
                            <w:r>
                              <w:rPr>
                                <w:rFonts w:ascii="Arial" w:hAnsi="Arial"/>
                                <w:b/>
                                <w:sz w:val="18"/>
                                <w:szCs w:val="18"/>
                              </w:rPr>
                              <w:t>Ronald van der Leeden</w:t>
                            </w:r>
                          </w:p>
                          <w:p w14:paraId="4C8A5447" w14:textId="77777777" w:rsidR="0021436D" w:rsidRPr="00D568C8" w:rsidRDefault="0021436D">
                            <w:pPr>
                              <w:jc w:val="right"/>
                              <w:rPr>
                                <w:rFonts w:ascii="Arial" w:hAnsi="Arial"/>
                                <w:color w:val="000000"/>
                                <w:sz w:val="18"/>
                                <w:szCs w:val="18"/>
                              </w:rPr>
                            </w:pPr>
                            <w:r w:rsidRPr="00D568C8">
                              <w:rPr>
                                <w:rFonts w:ascii="Arial" w:hAnsi="Arial"/>
                                <w:color w:val="000000"/>
                                <w:sz w:val="18"/>
                                <w:szCs w:val="18"/>
                              </w:rPr>
                              <w:t>Director</w:t>
                            </w:r>
                          </w:p>
                          <w:p w14:paraId="71CFFE7B" w14:textId="77777777" w:rsidR="0021436D" w:rsidRPr="00D568C8" w:rsidRDefault="0021436D" w:rsidP="0095198C">
                            <w:pPr>
                              <w:jc w:val="right"/>
                              <w:rPr>
                                <w:rFonts w:ascii="Arial" w:hAnsi="Arial"/>
                                <w:color w:val="000000"/>
                                <w:sz w:val="18"/>
                                <w:szCs w:val="18"/>
                              </w:rPr>
                            </w:pPr>
                            <w:r>
                              <w:rPr>
                                <w:rFonts w:ascii="Arial" w:hAnsi="Arial"/>
                                <w:color w:val="000000"/>
                                <w:sz w:val="18"/>
                                <w:szCs w:val="18"/>
                              </w:rPr>
                              <w:t>Regulatory Affairs</w:t>
                            </w:r>
                          </w:p>
                          <w:p w14:paraId="5362BAF4" w14:textId="77777777" w:rsidR="0021436D" w:rsidRPr="002F116C" w:rsidRDefault="0021436D">
                            <w:pPr>
                              <w:jc w:val="right"/>
                              <w:rPr>
                                <w:rFonts w:ascii="Arial" w:hAnsi="Arial"/>
                                <w:sz w:val="18"/>
                                <w:szCs w:val="18"/>
                              </w:rPr>
                            </w:pPr>
                          </w:p>
                          <w:p w14:paraId="0DAB0FAA" w14:textId="77777777" w:rsidR="0021436D" w:rsidRPr="00D568C8" w:rsidRDefault="0021436D">
                            <w:pPr>
                              <w:jc w:val="right"/>
                              <w:rPr>
                                <w:rFonts w:ascii="Arial" w:hAnsi="Arial"/>
                                <w:color w:val="000000"/>
                                <w:sz w:val="18"/>
                                <w:szCs w:val="18"/>
                              </w:rPr>
                            </w:pPr>
                            <w:r>
                              <w:rPr>
                                <w:rFonts w:ascii="Arial" w:hAnsi="Arial"/>
                                <w:color w:val="000000"/>
                                <w:sz w:val="18"/>
                                <w:szCs w:val="18"/>
                              </w:rPr>
                              <w:t xml:space="preserve">555 </w:t>
                            </w:r>
                            <w:smartTag w:uri="urn:schemas-microsoft-com:office:smarttags" w:element="Street">
                              <w:smartTag w:uri="urn:schemas-microsoft-com:office:smarttags" w:element="address">
                                <w:r>
                                  <w:rPr>
                                    <w:rFonts w:ascii="Arial" w:hAnsi="Arial"/>
                                    <w:color w:val="000000"/>
                                    <w:sz w:val="18"/>
                                    <w:szCs w:val="18"/>
                                  </w:rPr>
                                  <w:t>W. Fifth Street</w:t>
                                </w:r>
                              </w:smartTag>
                            </w:smartTag>
                            <w:r>
                              <w:rPr>
                                <w:rFonts w:ascii="Arial" w:hAnsi="Arial"/>
                                <w:color w:val="000000"/>
                                <w:sz w:val="18"/>
                                <w:szCs w:val="18"/>
                              </w:rPr>
                              <w:t>, GT14D6</w:t>
                            </w:r>
                          </w:p>
                          <w:p w14:paraId="7684AB3F" w14:textId="77777777" w:rsidR="0021436D" w:rsidRPr="00D568C8" w:rsidRDefault="0021436D">
                            <w:pPr>
                              <w:jc w:val="right"/>
                              <w:rPr>
                                <w:rFonts w:ascii="Arial" w:hAnsi="Arial"/>
                                <w:color w:val="000000"/>
                                <w:sz w:val="18"/>
                                <w:szCs w:val="18"/>
                              </w:rPr>
                            </w:pPr>
                            <w:smartTag w:uri="urn:schemas-microsoft-com:office:smarttags" w:element="place">
                              <w:smartTag w:uri="urn:schemas-microsoft-com:office:smarttags" w:element="City">
                                <w:r>
                                  <w:rPr>
                                    <w:rFonts w:ascii="Arial" w:hAnsi="Arial"/>
                                    <w:color w:val="000000"/>
                                    <w:sz w:val="18"/>
                                    <w:szCs w:val="18"/>
                                  </w:rPr>
                                  <w:t>Los Angeles</w:t>
                                </w:r>
                              </w:smartTag>
                              <w:r w:rsidRPr="00D568C8">
                                <w:rPr>
                                  <w:rFonts w:ascii="Arial" w:hAnsi="Arial"/>
                                  <w:color w:val="000000"/>
                                  <w:sz w:val="18"/>
                                  <w:szCs w:val="18"/>
                                </w:rPr>
                                <w:t xml:space="preserve">, </w:t>
                              </w:r>
                              <w:smartTag w:uri="urn:schemas-microsoft-com:office:smarttags" w:element="State">
                                <w:r w:rsidRPr="00D568C8">
                                  <w:rPr>
                                    <w:rFonts w:ascii="Arial" w:hAnsi="Arial"/>
                                    <w:color w:val="000000"/>
                                    <w:sz w:val="18"/>
                                    <w:szCs w:val="18"/>
                                  </w:rPr>
                                  <w:t>CA</w:t>
                                </w:r>
                              </w:smartTag>
                              <w:r w:rsidRPr="00D568C8">
                                <w:rPr>
                                  <w:rFonts w:ascii="Arial" w:hAnsi="Arial"/>
                                  <w:color w:val="000000"/>
                                  <w:sz w:val="18"/>
                                  <w:szCs w:val="18"/>
                                </w:rPr>
                                <w:t xml:space="preserve">  </w:t>
                              </w:r>
                              <w:smartTag w:uri="urn:schemas-microsoft-com:office:smarttags" w:element="PostalCode">
                                <w:r>
                                  <w:rPr>
                                    <w:rFonts w:ascii="Arial" w:hAnsi="Arial"/>
                                    <w:color w:val="000000"/>
                                    <w:sz w:val="18"/>
                                    <w:szCs w:val="18"/>
                                  </w:rPr>
                                  <w:t>90013-1011</w:t>
                                </w:r>
                              </w:smartTag>
                            </w:smartTag>
                          </w:p>
                          <w:p w14:paraId="5AAA7C75" w14:textId="77777777" w:rsidR="0021436D" w:rsidRPr="00D568C8" w:rsidRDefault="0021436D">
                            <w:pPr>
                              <w:pStyle w:val="Header"/>
                              <w:tabs>
                                <w:tab w:val="left" w:pos="4320"/>
                              </w:tabs>
                              <w:jc w:val="right"/>
                              <w:rPr>
                                <w:rFonts w:ascii="Arial" w:hAnsi="Arial"/>
                                <w:color w:val="000000"/>
                                <w:sz w:val="18"/>
                                <w:szCs w:val="18"/>
                              </w:rPr>
                            </w:pPr>
                            <w:r w:rsidRPr="00D568C8">
                              <w:rPr>
                                <w:rFonts w:ascii="Arial" w:hAnsi="Arial"/>
                                <w:color w:val="000000"/>
                                <w:sz w:val="18"/>
                                <w:szCs w:val="18"/>
                              </w:rPr>
                              <w:t xml:space="preserve">Tel:  </w:t>
                            </w:r>
                            <w:r>
                              <w:rPr>
                                <w:rFonts w:ascii="Arial" w:hAnsi="Arial"/>
                                <w:color w:val="000000"/>
                                <w:sz w:val="18"/>
                                <w:szCs w:val="18"/>
                              </w:rPr>
                              <w:t>213.244.2009</w:t>
                            </w:r>
                          </w:p>
                          <w:p w14:paraId="597575FC" w14:textId="77777777" w:rsidR="0021436D" w:rsidRPr="00D568C8" w:rsidRDefault="0021436D">
                            <w:pPr>
                              <w:jc w:val="right"/>
                              <w:rPr>
                                <w:rFonts w:ascii="Arial" w:hAnsi="Arial"/>
                                <w:color w:val="000000"/>
                                <w:sz w:val="18"/>
                                <w:szCs w:val="18"/>
                              </w:rPr>
                            </w:pPr>
                            <w:r w:rsidRPr="00D568C8">
                              <w:rPr>
                                <w:rFonts w:ascii="Arial" w:hAnsi="Arial"/>
                                <w:color w:val="000000"/>
                                <w:sz w:val="18"/>
                                <w:szCs w:val="18"/>
                              </w:rPr>
                              <w:t xml:space="preserve">Fax:  </w:t>
                            </w:r>
                            <w:r>
                              <w:rPr>
                                <w:rFonts w:ascii="Arial" w:hAnsi="Arial"/>
                                <w:color w:val="000000"/>
                                <w:sz w:val="18"/>
                                <w:szCs w:val="18"/>
                              </w:rPr>
                              <w:t>213.244.4957</w:t>
                            </w:r>
                          </w:p>
                          <w:p w14:paraId="0A3C2A74" w14:textId="77777777" w:rsidR="0021436D" w:rsidRPr="00D568C8" w:rsidRDefault="0021436D">
                            <w:pPr>
                              <w:jc w:val="right"/>
                              <w:rPr>
                                <w:i/>
                                <w:sz w:val="18"/>
                                <w:szCs w:val="18"/>
                              </w:rPr>
                            </w:pPr>
                            <w:r>
                              <w:rPr>
                                <w:rFonts w:ascii="Arial" w:hAnsi="Arial"/>
                                <w:i/>
                                <w:color w:val="000000"/>
                                <w:sz w:val="18"/>
                                <w:szCs w:val="18"/>
                              </w:rPr>
                              <w:t>RvanderLeeden</w:t>
                            </w:r>
                            <w:r w:rsidRPr="00D568C8">
                              <w:rPr>
                                <w:rFonts w:ascii="Arial" w:hAnsi="Arial"/>
                                <w:i/>
                                <w:color w:val="000000"/>
                                <w:sz w:val="18"/>
                                <w:szCs w:val="18"/>
                              </w:rPr>
                              <w:t>@semprautilities.com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AE2F" id="_x0000_t202" coordsize="21600,21600" o:spt="202" path="m,l,21600r21600,l21600,xe">
                <v:stroke joinstyle="miter"/>
                <v:path gradientshapeok="t" o:connecttype="rect"/>
              </v:shapetype>
              <v:shape id="Text Box 2" o:spid="_x0000_s1026" type="#_x0000_t202" style="position:absolute;margin-left:132.35pt;margin-top:-24.55pt;width:27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" stroked="f">
                <v:textbox>
                  <w:txbxContent>
                    <w:p w14:paraId="5032EBBB" w14:textId="77777777" w:rsidR="0021436D" w:rsidRPr="002F116C" w:rsidRDefault="0021436D">
                      <w:pPr>
                        <w:jc w:val="right"/>
                        <w:rPr>
                          <w:rFonts w:ascii="Arial" w:hAnsi="Arial"/>
                          <w:b/>
                          <w:sz w:val="18"/>
                          <w:szCs w:val="18"/>
                        </w:rPr>
                      </w:pPr>
                      <w:r>
                        <w:rPr>
                          <w:rFonts w:ascii="Arial" w:hAnsi="Arial"/>
                          <w:b/>
                          <w:sz w:val="18"/>
                          <w:szCs w:val="18"/>
                        </w:rPr>
                        <w:t>Ronald van der Leeden</w:t>
                      </w:r>
                    </w:p>
                    <w:p w14:paraId="4C8A5447" w14:textId="77777777" w:rsidR="0021436D" w:rsidRPr="00D568C8" w:rsidRDefault="0021436D">
                      <w:pPr>
                        <w:jc w:val="right"/>
                        <w:rPr>
                          <w:rFonts w:ascii="Arial" w:hAnsi="Arial"/>
                          <w:color w:val="000000"/>
                          <w:sz w:val="18"/>
                          <w:szCs w:val="18"/>
                        </w:rPr>
                      </w:pPr>
                      <w:r w:rsidRPr="00D568C8">
                        <w:rPr>
                          <w:rFonts w:ascii="Arial" w:hAnsi="Arial"/>
                          <w:color w:val="000000"/>
                          <w:sz w:val="18"/>
                          <w:szCs w:val="18"/>
                        </w:rPr>
                        <w:t>Director</w:t>
                      </w:r>
                    </w:p>
                    <w:p w14:paraId="71CFFE7B" w14:textId="77777777" w:rsidR="0021436D" w:rsidRPr="00D568C8" w:rsidRDefault="0021436D" w:rsidP="0095198C">
                      <w:pPr>
                        <w:jc w:val="right"/>
                        <w:rPr>
                          <w:rFonts w:ascii="Arial" w:hAnsi="Arial"/>
                          <w:color w:val="000000"/>
                          <w:sz w:val="18"/>
                          <w:szCs w:val="18"/>
                        </w:rPr>
                      </w:pPr>
                      <w:r>
                        <w:rPr>
                          <w:rFonts w:ascii="Arial" w:hAnsi="Arial"/>
                          <w:color w:val="000000"/>
                          <w:sz w:val="18"/>
                          <w:szCs w:val="18"/>
                        </w:rPr>
                        <w:t>Regulatory Affairs</w:t>
                      </w:r>
                    </w:p>
                    <w:p w14:paraId="5362BAF4" w14:textId="77777777" w:rsidR="0021436D" w:rsidRPr="002F116C" w:rsidRDefault="0021436D">
                      <w:pPr>
                        <w:jc w:val="right"/>
                        <w:rPr>
                          <w:rFonts w:ascii="Arial" w:hAnsi="Arial"/>
                          <w:sz w:val="18"/>
                          <w:szCs w:val="18"/>
                        </w:rPr>
                      </w:pPr>
                    </w:p>
                    <w:p w14:paraId="0DAB0FAA" w14:textId="77777777" w:rsidR="0021436D" w:rsidRPr="00D568C8" w:rsidRDefault="0021436D">
                      <w:pPr>
                        <w:jc w:val="right"/>
                        <w:rPr>
                          <w:rFonts w:ascii="Arial" w:hAnsi="Arial"/>
                          <w:color w:val="000000"/>
                          <w:sz w:val="18"/>
                          <w:szCs w:val="18"/>
                        </w:rPr>
                      </w:pPr>
                      <w:r>
                        <w:rPr>
                          <w:rFonts w:ascii="Arial" w:hAnsi="Arial"/>
                          <w:color w:val="000000"/>
                          <w:sz w:val="18"/>
                          <w:szCs w:val="18"/>
                        </w:rPr>
                        <w:t xml:space="preserve">555 </w:t>
                      </w:r>
                      <w:smartTag w:uri="urn:schemas-microsoft-com:office:smarttags" w:element="Street">
                        <w:smartTag w:uri="urn:schemas-microsoft-com:office:smarttags" w:element="address">
                          <w:r>
                            <w:rPr>
                              <w:rFonts w:ascii="Arial" w:hAnsi="Arial"/>
                              <w:color w:val="000000"/>
                              <w:sz w:val="18"/>
                              <w:szCs w:val="18"/>
                            </w:rPr>
                            <w:t>W. Fifth Street</w:t>
                          </w:r>
                        </w:smartTag>
                      </w:smartTag>
                      <w:r>
                        <w:rPr>
                          <w:rFonts w:ascii="Arial" w:hAnsi="Arial"/>
                          <w:color w:val="000000"/>
                          <w:sz w:val="18"/>
                          <w:szCs w:val="18"/>
                        </w:rPr>
                        <w:t>, GT14D6</w:t>
                      </w:r>
                    </w:p>
                    <w:p w14:paraId="7684AB3F" w14:textId="77777777" w:rsidR="0021436D" w:rsidRPr="00D568C8" w:rsidRDefault="0021436D">
                      <w:pPr>
                        <w:jc w:val="right"/>
                        <w:rPr>
                          <w:rFonts w:ascii="Arial" w:hAnsi="Arial"/>
                          <w:color w:val="000000"/>
                          <w:sz w:val="18"/>
                          <w:szCs w:val="18"/>
                        </w:rPr>
                      </w:pPr>
                      <w:smartTag w:uri="urn:schemas-microsoft-com:office:smarttags" w:element="place">
                        <w:smartTag w:uri="urn:schemas-microsoft-com:office:smarttags" w:element="City">
                          <w:r>
                            <w:rPr>
                              <w:rFonts w:ascii="Arial" w:hAnsi="Arial"/>
                              <w:color w:val="000000"/>
                              <w:sz w:val="18"/>
                              <w:szCs w:val="18"/>
                            </w:rPr>
                            <w:t>Los Angeles</w:t>
                          </w:r>
                        </w:smartTag>
                        <w:r w:rsidRPr="00D568C8">
                          <w:rPr>
                            <w:rFonts w:ascii="Arial" w:hAnsi="Arial"/>
                            <w:color w:val="000000"/>
                            <w:sz w:val="18"/>
                            <w:szCs w:val="18"/>
                          </w:rPr>
                          <w:t xml:space="preserve">, </w:t>
                        </w:r>
                        <w:smartTag w:uri="urn:schemas-microsoft-com:office:smarttags" w:element="State">
                          <w:r w:rsidRPr="00D568C8">
                            <w:rPr>
                              <w:rFonts w:ascii="Arial" w:hAnsi="Arial"/>
                              <w:color w:val="000000"/>
                              <w:sz w:val="18"/>
                              <w:szCs w:val="18"/>
                            </w:rPr>
                            <w:t>CA</w:t>
                          </w:r>
                        </w:smartTag>
                        <w:r w:rsidRPr="00D568C8">
                          <w:rPr>
                            <w:rFonts w:ascii="Arial" w:hAnsi="Arial"/>
                            <w:color w:val="000000"/>
                            <w:sz w:val="18"/>
                            <w:szCs w:val="18"/>
                          </w:rPr>
                          <w:t xml:space="preserve">  </w:t>
                        </w:r>
                        <w:smartTag w:uri="urn:schemas-microsoft-com:office:smarttags" w:element="PostalCode">
                          <w:r>
                            <w:rPr>
                              <w:rFonts w:ascii="Arial" w:hAnsi="Arial"/>
                              <w:color w:val="000000"/>
                              <w:sz w:val="18"/>
                              <w:szCs w:val="18"/>
                            </w:rPr>
                            <w:t>90013-1011</w:t>
                          </w:r>
                        </w:smartTag>
                      </w:smartTag>
                    </w:p>
                    <w:p w14:paraId="5AAA7C75" w14:textId="77777777" w:rsidR="0021436D" w:rsidRPr="00D568C8" w:rsidRDefault="0021436D">
                      <w:pPr>
                        <w:pStyle w:val="Header"/>
                        <w:tabs>
                          <w:tab w:val="left" w:pos="4320"/>
                        </w:tabs>
                        <w:jc w:val="right"/>
                        <w:rPr>
                          <w:rFonts w:ascii="Arial" w:hAnsi="Arial"/>
                          <w:color w:val="000000"/>
                          <w:sz w:val="18"/>
                          <w:szCs w:val="18"/>
                        </w:rPr>
                      </w:pPr>
                      <w:r w:rsidRPr="00D568C8">
                        <w:rPr>
                          <w:rFonts w:ascii="Arial" w:hAnsi="Arial"/>
                          <w:color w:val="000000"/>
                          <w:sz w:val="18"/>
                          <w:szCs w:val="18"/>
                        </w:rPr>
                        <w:t xml:space="preserve">Tel:  </w:t>
                      </w:r>
                      <w:r>
                        <w:rPr>
                          <w:rFonts w:ascii="Arial" w:hAnsi="Arial"/>
                          <w:color w:val="000000"/>
                          <w:sz w:val="18"/>
                          <w:szCs w:val="18"/>
                        </w:rPr>
                        <w:t>213.244.2009</w:t>
                      </w:r>
                    </w:p>
                    <w:p w14:paraId="597575FC" w14:textId="77777777" w:rsidR="0021436D" w:rsidRPr="00D568C8" w:rsidRDefault="0021436D">
                      <w:pPr>
                        <w:jc w:val="right"/>
                        <w:rPr>
                          <w:rFonts w:ascii="Arial" w:hAnsi="Arial"/>
                          <w:color w:val="000000"/>
                          <w:sz w:val="18"/>
                          <w:szCs w:val="18"/>
                        </w:rPr>
                      </w:pPr>
                      <w:r w:rsidRPr="00D568C8">
                        <w:rPr>
                          <w:rFonts w:ascii="Arial" w:hAnsi="Arial"/>
                          <w:color w:val="000000"/>
                          <w:sz w:val="18"/>
                          <w:szCs w:val="18"/>
                        </w:rPr>
                        <w:t xml:space="preserve">Fax:  </w:t>
                      </w:r>
                      <w:r>
                        <w:rPr>
                          <w:rFonts w:ascii="Arial" w:hAnsi="Arial"/>
                          <w:color w:val="000000"/>
                          <w:sz w:val="18"/>
                          <w:szCs w:val="18"/>
                        </w:rPr>
                        <w:t>213.244.4957</w:t>
                      </w:r>
                    </w:p>
                    <w:p w14:paraId="0A3C2A74" w14:textId="77777777" w:rsidR="0021436D" w:rsidRPr="00D568C8" w:rsidRDefault="0021436D">
                      <w:pPr>
                        <w:jc w:val="right"/>
                        <w:rPr>
                          <w:i/>
                          <w:sz w:val="18"/>
                          <w:szCs w:val="18"/>
                        </w:rPr>
                      </w:pPr>
                      <w:r>
                        <w:rPr>
                          <w:rFonts w:ascii="Arial" w:hAnsi="Arial"/>
                          <w:i/>
                          <w:color w:val="000000"/>
                          <w:sz w:val="18"/>
                          <w:szCs w:val="18"/>
                        </w:rPr>
                        <w:t>RvanderLeeden</w:t>
                      </w:r>
                      <w:r w:rsidRPr="00D568C8">
                        <w:rPr>
                          <w:rFonts w:ascii="Arial" w:hAnsi="Arial"/>
                          <w:i/>
                          <w:color w:val="000000"/>
                          <w:sz w:val="18"/>
                          <w:szCs w:val="18"/>
                        </w:rPr>
                        <w:t>@semprautilities.com</w:t>
                      </w:r>
                    </w:p>
                  </w:txbxContent>
                </v:textbox>
              </v:shape>
            </w:pict>
          </mc:Fallback>
        </mc:AlternateContent>
      </w:r>
      <w:r w:rsidRPr="00B621B9">
        <w:rPr>
          <w:rFonts w:ascii="Arial" w:hAnsi="Arial" w:cs="Arial"/>
          <w:noProof/>
          <w:sz w:val="24"/>
          <w:szCs w:val="24"/>
        </w:rPr>
        <w:drawing>
          <wp:anchor distT="0" distB="0" distL="114300" distR="114300" simplePos="0" relativeHeight="251657216" behindDoc="0" locked="0" layoutInCell="1" allowOverlap="1" wp14:anchorId="231EDF8C" wp14:editId="7272B1EF">
            <wp:simplePos x="0" y="0"/>
            <wp:positionH relativeFrom="column">
              <wp:posOffset>-92710</wp:posOffset>
            </wp:positionH>
            <wp:positionV relativeFrom="paragraph">
              <wp:posOffset>-35560</wp:posOffset>
            </wp:positionV>
            <wp:extent cx="1600200" cy="916940"/>
            <wp:effectExtent l="0" t="0" r="0" b="0"/>
            <wp:wrapTight wrapText="bothSides">
              <wp:wrapPolygon edited="0">
                <wp:start x="2057" y="0"/>
                <wp:lineTo x="2057" y="10770"/>
                <wp:lineTo x="3600" y="14360"/>
                <wp:lineTo x="1800" y="14809"/>
                <wp:lineTo x="1543" y="17950"/>
                <wp:lineTo x="2571" y="20194"/>
                <wp:lineTo x="5657" y="20194"/>
                <wp:lineTo x="20829" y="18848"/>
                <wp:lineTo x="20829" y="16604"/>
                <wp:lineTo x="6429" y="14360"/>
                <wp:lineTo x="20571" y="10770"/>
                <wp:lineTo x="21086" y="7180"/>
                <wp:lineTo x="18257" y="6731"/>
                <wp:lineTo x="7200" y="0"/>
                <wp:lineTo x="2057" y="0"/>
              </wp:wrapPolygon>
            </wp:wrapTight>
            <wp:docPr id="5" name="Picture 1" descr="SCG_logo_01_stack 4c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G_logo_01_stack 4c_nor"/>
                    <pic:cNvPicPr>
                      <a:picLocks noChangeAspect="1" noChangeArrowheads="1"/>
                    </pic:cNvPicPr>
                  </pic:nvPicPr>
                  <pic:blipFill>
                    <a:blip r:embed="rId11">
                      <a:extLst>
                        <a:ext uri="{28A0092B-C50C-407E-A947-70E740481C1C}">
                          <a14:useLocalDpi xmlns:a14="http://schemas.microsoft.com/office/drawing/2010/main" val="0"/>
                        </a:ext>
                      </a:extLst>
                    </a:blip>
                    <a:srcRect l="27399" t="37303" r="30251" b="43150"/>
                    <a:stretch>
                      <a:fillRect/>
                    </a:stretch>
                  </pic:blipFill>
                  <pic:spPr bwMode="auto">
                    <a:xfrm>
                      <a:off x="0" y="0"/>
                      <a:ext cx="1600200" cy="91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0C6BD" w14:textId="77777777" w:rsidR="003C4C00" w:rsidRPr="00B621B9" w:rsidRDefault="003C4C00" w:rsidP="00823B45">
      <w:pPr>
        <w:rPr>
          <w:rFonts w:ascii="Arial" w:hAnsi="Arial" w:cs="Arial"/>
          <w:sz w:val="24"/>
          <w:szCs w:val="24"/>
        </w:rPr>
      </w:pPr>
    </w:p>
    <w:p w14:paraId="52A50704" w14:textId="77777777" w:rsidR="003C4C00" w:rsidRPr="00B621B9" w:rsidRDefault="003C4C00" w:rsidP="00823B45">
      <w:pPr>
        <w:rPr>
          <w:rFonts w:ascii="Arial" w:hAnsi="Arial" w:cs="Arial"/>
          <w:sz w:val="24"/>
          <w:szCs w:val="24"/>
        </w:rPr>
      </w:pPr>
    </w:p>
    <w:p w14:paraId="200B13CD" w14:textId="77777777" w:rsidR="003C4C00" w:rsidRPr="00B621B9" w:rsidRDefault="003C4C00" w:rsidP="00823B45">
      <w:pPr>
        <w:rPr>
          <w:rFonts w:ascii="Arial" w:hAnsi="Arial" w:cs="Arial"/>
          <w:sz w:val="24"/>
          <w:szCs w:val="24"/>
        </w:rPr>
      </w:pPr>
      <w:bookmarkStart w:id="0" w:name="SenderName"/>
      <w:bookmarkStart w:id="1" w:name="SenderTitle"/>
      <w:bookmarkStart w:id="2" w:name="MainOfficeName"/>
      <w:bookmarkStart w:id="3" w:name="OptionalMailCode"/>
      <w:bookmarkStart w:id="4" w:name="MainOfficeAddress"/>
      <w:bookmarkStart w:id="5" w:name="CentralCity"/>
      <w:bookmarkStart w:id="6" w:name="SenderE_mail"/>
      <w:bookmarkEnd w:id="0"/>
      <w:bookmarkEnd w:id="1"/>
      <w:bookmarkEnd w:id="2"/>
      <w:bookmarkEnd w:id="3"/>
      <w:bookmarkEnd w:id="4"/>
      <w:bookmarkEnd w:id="5"/>
      <w:bookmarkEnd w:id="6"/>
    </w:p>
    <w:p w14:paraId="64034FCD" w14:textId="77777777" w:rsidR="003C4C00" w:rsidRPr="00B621B9" w:rsidRDefault="003C4C00" w:rsidP="00823B45">
      <w:pPr>
        <w:rPr>
          <w:rFonts w:ascii="Arial" w:hAnsi="Arial" w:cs="Arial"/>
          <w:sz w:val="24"/>
          <w:szCs w:val="24"/>
        </w:rPr>
      </w:pPr>
    </w:p>
    <w:p w14:paraId="6E194B61" w14:textId="77777777" w:rsidR="00A00814" w:rsidRPr="00B621B9" w:rsidRDefault="00A00814" w:rsidP="00823B45">
      <w:pPr>
        <w:rPr>
          <w:rFonts w:ascii="Arial" w:hAnsi="Arial" w:cs="Arial"/>
          <w:sz w:val="24"/>
          <w:szCs w:val="24"/>
        </w:rPr>
      </w:pPr>
    </w:p>
    <w:p w14:paraId="5B6DB542" w14:textId="77777777" w:rsidR="00A00814" w:rsidRPr="00B621B9" w:rsidRDefault="00A00814" w:rsidP="00823B45">
      <w:pPr>
        <w:rPr>
          <w:rFonts w:ascii="Arial" w:hAnsi="Arial" w:cs="Arial"/>
          <w:sz w:val="24"/>
          <w:szCs w:val="24"/>
        </w:rPr>
      </w:pPr>
    </w:p>
    <w:p w14:paraId="1ACF89E8" w14:textId="77777777" w:rsidR="00A00814" w:rsidRPr="00B621B9" w:rsidRDefault="00A00814" w:rsidP="00823B45">
      <w:pPr>
        <w:rPr>
          <w:rFonts w:ascii="Arial" w:hAnsi="Arial" w:cs="Arial"/>
          <w:color w:val="FF0000"/>
          <w:sz w:val="24"/>
          <w:szCs w:val="24"/>
        </w:rPr>
      </w:pPr>
    </w:p>
    <w:p w14:paraId="103FA361" w14:textId="77777777" w:rsidR="00681D01" w:rsidRPr="00B621B9" w:rsidRDefault="00681D01" w:rsidP="00681D01">
      <w:pPr>
        <w:jc w:val="center"/>
        <w:rPr>
          <w:rFonts w:ascii="Arial" w:hAnsi="Arial" w:cs="Arial"/>
          <w:b/>
          <w:i/>
          <w:color w:val="FF0000"/>
          <w:sz w:val="24"/>
          <w:szCs w:val="24"/>
        </w:rPr>
      </w:pPr>
      <w:r w:rsidRPr="00B621B9">
        <w:rPr>
          <w:rFonts w:ascii="Arial" w:hAnsi="Arial" w:cs="Arial"/>
          <w:b/>
          <w:i/>
          <w:color w:val="FF0000"/>
          <w:sz w:val="24"/>
          <w:szCs w:val="24"/>
        </w:rPr>
        <w:t xml:space="preserve">DRAFT WORK PRODUCT </w:t>
      </w:r>
    </w:p>
    <w:p w14:paraId="746B6840" w14:textId="245ACFCA" w:rsidR="00681D01" w:rsidRPr="00B621B9" w:rsidRDefault="00681D01" w:rsidP="00681D01">
      <w:pPr>
        <w:jc w:val="center"/>
        <w:rPr>
          <w:rFonts w:ascii="Arial" w:hAnsi="Arial" w:cs="Arial"/>
          <w:b/>
          <w:i/>
          <w:color w:val="FF0000"/>
          <w:sz w:val="24"/>
          <w:szCs w:val="24"/>
        </w:rPr>
      </w:pPr>
      <w:r w:rsidRPr="00B621B9">
        <w:rPr>
          <w:rFonts w:ascii="Arial" w:hAnsi="Arial" w:cs="Arial"/>
          <w:b/>
          <w:i/>
          <w:color w:val="FF0000"/>
          <w:sz w:val="24"/>
          <w:szCs w:val="24"/>
        </w:rPr>
        <w:t xml:space="preserve">IN PREPARATION FOR THE AUGUST </w:t>
      </w:r>
      <w:r w:rsidR="00CB2881">
        <w:rPr>
          <w:rFonts w:ascii="Arial" w:hAnsi="Arial" w:cs="Arial"/>
          <w:b/>
          <w:i/>
          <w:color w:val="FF0000"/>
          <w:sz w:val="24"/>
          <w:szCs w:val="24"/>
        </w:rPr>
        <w:t>6</w:t>
      </w:r>
      <w:r w:rsidRPr="00B621B9">
        <w:rPr>
          <w:rFonts w:ascii="Arial" w:hAnsi="Arial" w:cs="Arial"/>
          <w:b/>
          <w:i/>
          <w:color w:val="FF0000"/>
          <w:sz w:val="24"/>
          <w:szCs w:val="24"/>
        </w:rPr>
        <w:t>, 20</w:t>
      </w:r>
      <w:r>
        <w:rPr>
          <w:rFonts w:ascii="Arial" w:hAnsi="Arial" w:cs="Arial"/>
          <w:b/>
          <w:i/>
          <w:color w:val="FF0000"/>
          <w:sz w:val="24"/>
          <w:szCs w:val="24"/>
        </w:rPr>
        <w:t>20</w:t>
      </w:r>
      <w:r w:rsidRPr="00B621B9">
        <w:rPr>
          <w:rFonts w:ascii="Arial" w:hAnsi="Arial" w:cs="Arial"/>
          <w:b/>
          <w:i/>
          <w:color w:val="FF0000"/>
          <w:sz w:val="24"/>
          <w:szCs w:val="24"/>
        </w:rPr>
        <w:t xml:space="preserve"> CAEECC MEETING</w:t>
      </w:r>
    </w:p>
    <w:p w14:paraId="26EA5676" w14:textId="4F22BD6C" w:rsidR="00A00814" w:rsidRDefault="00A00814" w:rsidP="00823B45">
      <w:pPr>
        <w:rPr>
          <w:rFonts w:ascii="Arial" w:hAnsi="Arial" w:cs="Arial"/>
          <w:sz w:val="24"/>
          <w:szCs w:val="24"/>
        </w:rPr>
      </w:pPr>
    </w:p>
    <w:p w14:paraId="02C9BC0B" w14:textId="77777777" w:rsidR="00681D01" w:rsidRPr="00B621B9" w:rsidRDefault="00681D01" w:rsidP="00823B45">
      <w:pPr>
        <w:rPr>
          <w:rFonts w:ascii="Arial" w:hAnsi="Arial" w:cs="Arial"/>
          <w:sz w:val="24"/>
          <w:szCs w:val="24"/>
        </w:rPr>
      </w:pPr>
    </w:p>
    <w:p w14:paraId="0703A3CB" w14:textId="77777777" w:rsidR="00C73829" w:rsidRPr="00B621B9" w:rsidRDefault="005C2040" w:rsidP="00823B45">
      <w:pPr>
        <w:rPr>
          <w:rFonts w:ascii="Arial" w:hAnsi="Arial" w:cs="Arial"/>
          <w:sz w:val="24"/>
          <w:szCs w:val="24"/>
        </w:rPr>
      </w:pPr>
      <w:r w:rsidRPr="00B621B9">
        <w:rPr>
          <w:rFonts w:ascii="Arial" w:hAnsi="Arial" w:cs="Arial"/>
          <w:sz w:val="24"/>
          <w:szCs w:val="24"/>
        </w:rPr>
        <w:t xml:space="preserve">September </w:t>
      </w:r>
      <w:r w:rsidR="005D7B19">
        <w:rPr>
          <w:rFonts w:ascii="Arial" w:hAnsi="Arial" w:cs="Arial"/>
          <w:sz w:val="24"/>
          <w:szCs w:val="24"/>
        </w:rPr>
        <w:t>1</w:t>
      </w:r>
      <w:r w:rsidR="00F4753B" w:rsidRPr="00B621B9">
        <w:rPr>
          <w:rFonts w:ascii="Arial" w:hAnsi="Arial" w:cs="Arial"/>
          <w:sz w:val="24"/>
          <w:szCs w:val="24"/>
        </w:rPr>
        <w:t>, 20</w:t>
      </w:r>
      <w:r w:rsidR="005D7B19">
        <w:rPr>
          <w:rFonts w:ascii="Arial" w:hAnsi="Arial" w:cs="Arial"/>
          <w:sz w:val="24"/>
          <w:szCs w:val="24"/>
        </w:rPr>
        <w:t>20</w:t>
      </w:r>
    </w:p>
    <w:p w14:paraId="31AF5BB1" w14:textId="77777777" w:rsidR="00C73829" w:rsidRPr="00B621B9" w:rsidRDefault="00C73829" w:rsidP="00823B45">
      <w:pPr>
        <w:rPr>
          <w:rFonts w:ascii="Arial" w:hAnsi="Arial" w:cs="Arial"/>
          <w:sz w:val="24"/>
          <w:szCs w:val="24"/>
        </w:rPr>
      </w:pPr>
    </w:p>
    <w:p w14:paraId="2F5D70F0" w14:textId="77777777" w:rsidR="00C73829" w:rsidRPr="00B621B9" w:rsidRDefault="00C73829" w:rsidP="00C73829">
      <w:pPr>
        <w:autoSpaceDE w:val="0"/>
        <w:autoSpaceDN w:val="0"/>
        <w:adjustRightInd w:val="0"/>
        <w:rPr>
          <w:rFonts w:ascii="Arial" w:hAnsi="Arial" w:cs="Arial"/>
          <w:sz w:val="24"/>
          <w:szCs w:val="24"/>
          <w:u w:val="single"/>
        </w:rPr>
      </w:pPr>
      <w:r w:rsidRPr="00B621B9">
        <w:rPr>
          <w:rFonts w:ascii="Arial" w:hAnsi="Arial" w:cs="Arial"/>
          <w:sz w:val="24"/>
          <w:szCs w:val="24"/>
          <w:u w:val="single"/>
        </w:rPr>
        <w:t xml:space="preserve">Advice No. </w:t>
      </w:r>
      <w:r w:rsidR="007E51F0" w:rsidRPr="00B621B9">
        <w:rPr>
          <w:rFonts w:ascii="Arial" w:hAnsi="Arial" w:cs="Arial"/>
          <w:sz w:val="24"/>
          <w:szCs w:val="24"/>
          <w:u w:val="single"/>
        </w:rPr>
        <w:t>5</w:t>
      </w:r>
      <w:r w:rsidR="00F4753B" w:rsidRPr="00B621B9">
        <w:rPr>
          <w:rFonts w:ascii="Arial" w:hAnsi="Arial" w:cs="Arial"/>
          <w:sz w:val="24"/>
          <w:szCs w:val="24"/>
          <w:u w:val="single"/>
        </w:rPr>
        <w:t>xxx</w:t>
      </w:r>
    </w:p>
    <w:p w14:paraId="2EC286A6" w14:textId="77777777" w:rsidR="00C73829" w:rsidRPr="00B621B9" w:rsidRDefault="00C73829" w:rsidP="00C73829">
      <w:pPr>
        <w:autoSpaceDE w:val="0"/>
        <w:autoSpaceDN w:val="0"/>
        <w:adjustRightInd w:val="0"/>
        <w:rPr>
          <w:rFonts w:ascii="Arial" w:hAnsi="Arial" w:cs="Arial"/>
          <w:sz w:val="24"/>
          <w:szCs w:val="24"/>
        </w:rPr>
      </w:pPr>
      <w:r w:rsidRPr="00B621B9">
        <w:rPr>
          <w:rFonts w:ascii="Arial" w:hAnsi="Arial" w:cs="Arial"/>
          <w:sz w:val="24"/>
          <w:szCs w:val="24"/>
        </w:rPr>
        <w:t>(U 904 G)</w:t>
      </w:r>
    </w:p>
    <w:p w14:paraId="77B45183" w14:textId="77777777" w:rsidR="00C73829" w:rsidRPr="00B621B9" w:rsidRDefault="00C73829" w:rsidP="00C73829">
      <w:pPr>
        <w:rPr>
          <w:rFonts w:ascii="Arial" w:hAnsi="Arial" w:cs="Arial"/>
          <w:sz w:val="24"/>
          <w:szCs w:val="24"/>
        </w:rPr>
      </w:pPr>
    </w:p>
    <w:p w14:paraId="5BA80C2B" w14:textId="77777777" w:rsidR="00C73829" w:rsidRPr="00B621B9" w:rsidRDefault="00C73829" w:rsidP="00C73829">
      <w:pPr>
        <w:rPr>
          <w:rFonts w:ascii="Arial" w:hAnsi="Arial" w:cs="Arial"/>
          <w:sz w:val="24"/>
          <w:szCs w:val="24"/>
        </w:rPr>
      </w:pPr>
      <w:r w:rsidRPr="00B621B9">
        <w:rPr>
          <w:rFonts w:ascii="Arial" w:hAnsi="Arial" w:cs="Arial"/>
          <w:sz w:val="24"/>
          <w:szCs w:val="24"/>
        </w:rPr>
        <w:t>Public Utilities Commission of the State of California</w:t>
      </w:r>
    </w:p>
    <w:p w14:paraId="58E7B7F1" w14:textId="77777777" w:rsidR="00C73829" w:rsidRPr="00B621B9" w:rsidRDefault="00C73829" w:rsidP="00823B45">
      <w:pPr>
        <w:rPr>
          <w:rFonts w:ascii="Arial" w:hAnsi="Arial" w:cs="Arial"/>
          <w:sz w:val="24"/>
          <w:szCs w:val="24"/>
        </w:rPr>
      </w:pPr>
    </w:p>
    <w:p w14:paraId="4C888F16" w14:textId="77777777" w:rsidR="00C73829" w:rsidRPr="00B621B9" w:rsidRDefault="00C73829" w:rsidP="00A00814">
      <w:pPr>
        <w:autoSpaceDE w:val="0"/>
        <w:autoSpaceDN w:val="0"/>
        <w:adjustRightInd w:val="0"/>
        <w:ind w:left="1080" w:hanging="1080"/>
        <w:rPr>
          <w:rFonts w:ascii="Arial" w:hAnsi="Arial" w:cs="Arial"/>
          <w:b/>
          <w:bCs/>
          <w:sz w:val="24"/>
          <w:szCs w:val="24"/>
        </w:rPr>
      </w:pPr>
      <w:r w:rsidRPr="00B621B9">
        <w:rPr>
          <w:rFonts w:ascii="Arial" w:hAnsi="Arial" w:cs="Arial"/>
          <w:b/>
          <w:bCs/>
          <w:sz w:val="24"/>
          <w:szCs w:val="24"/>
        </w:rPr>
        <w:t>Subject:</w:t>
      </w:r>
      <w:r w:rsidRPr="00B621B9">
        <w:rPr>
          <w:rFonts w:ascii="Arial" w:hAnsi="Arial" w:cs="Arial"/>
          <w:b/>
          <w:bCs/>
          <w:sz w:val="24"/>
          <w:szCs w:val="24"/>
        </w:rPr>
        <w:tab/>
        <w:t xml:space="preserve">Southern California Gas Company Request for Approval of </w:t>
      </w:r>
      <w:r w:rsidR="003149C6" w:rsidRPr="00B621B9">
        <w:rPr>
          <w:rFonts w:ascii="Arial" w:hAnsi="Arial" w:cs="Arial"/>
          <w:b/>
          <w:bCs/>
          <w:sz w:val="24"/>
          <w:szCs w:val="24"/>
        </w:rPr>
        <w:t xml:space="preserve">Annual </w:t>
      </w:r>
      <w:r w:rsidR="00BB2432" w:rsidRPr="00B621B9">
        <w:rPr>
          <w:rFonts w:ascii="Arial" w:hAnsi="Arial" w:cs="Arial"/>
          <w:b/>
          <w:bCs/>
          <w:sz w:val="24"/>
          <w:szCs w:val="24"/>
        </w:rPr>
        <w:t xml:space="preserve">Energy Efficiency </w:t>
      </w:r>
      <w:r w:rsidR="003149C6" w:rsidRPr="00B621B9">
        <w:rPr>
          <w:rFonts w:ascii="Arial" w:hAnsi="Arial" w:cs="Arial"/>
          <w:b/>
          <w:bCs/>
          <w:sz w:val="24"/>
          <w:szCs w:val="24"/>
        </w:rPr>
        <w:t>Bud</w:t>
      </w:r>
      <w:r w:rsidR="005C2040" w:rsidRPr="00B621B9">
        <w:rPr>
          <w:rFonts w:ascii="Arial" w:hAnsi="Arial" w:cs="Arial"/>
          <w:b/>
          <w:bCs/>
          <w:sz w:val="24"/>
          <w:szCs w:val="24"/>
        </w:rPr>
        <w:t xml:space="preserve">get Filing for Program Year </w:t>
      </w:r>
      <w:r w:rsidR="00F4753B" w:rsidRPr="00B621B9">
        <w:rPr>
          <w:rFonts w:ascii="Arial" w:hAnsi="Arial" w:cs="Arial"/>
          <w:b/>
          <w:bCs/>
          <w:sz w:val="24"/>
          <w:szCs w:val="24"/>
        </w:rPr>
        <w:t>20</w:t>
      </w:r>
      <w:r w:rsidR="00447F86">
        <w:rPr>
          <w:rFonts w:ascii="Arial" w:hAnsi="Arial" w:cs="Arial"/>
          <w:b/>
          <w:bCs/>
          <w:sz w:val="24"/>
          <w:szCs w:val="24"/>
        </w:rPr>
        <w:t>2</w:t>
      </w:r>
      <w:r w:rsidR="005D7B19">
        <w:rPr>
          <w:rFonts w:ascii="Arial" w:hAnsi="Arial" w:cs="Arial"/>
          <w:b/>
          <w:bCs/>
          <w:sz w:val="24"/>
          <w:szCs w:val="24"/>
        </w:rPr>
        <w:t>1</w:t>
      </w:r>
    </w:p>
    <w:p w14:paraId="2DE62678" w14:textId="77777777" w:rsidR="00C73829" w:rsidRPr="00B621B9" w:rsidRDefault="00C73829" w:rsidP="00C73829">
      <w:pPr>
        <w:rPr>
          <w:rFonts w:ascii="Arial" w:hAnsi="Arial" w:cs="Arial"/>
          <w:b/>
          <w:bCs/>
          <w:sz w:val="24"/>
          <w:szCs w:val="24"/>
        </w:rPr>
      </w:pPr>
    </w:p>
    <w:p w14:paraId="715E9D83" w14:textId="77777777" w:rsidR="003149C6" w:rsidRPr="00B621B9" w:rsidRDefault="003149C6" w:rsidP="003149C6">
      <w:pPr>
        <w:rPr>
          <w:rFonts w:ascii="Arial" w:hAnsi="Arial" w:cs="Arial"/>
          <w:sz w:val="24"/>
          <w:szCs w:val="24"/>
        </w:rPr>
      </w:pPr>
      <w:r w:rsidRPr="00B621B9">
        <w:rPr>
          <w:rFonts w:ascii="Arial" w:hAnsi="Arial" w:cs="Arial"/>
          <w:sz w:val="24"/>
          <w:szCs w:val="24"/>
        </w:rPr>
        <w:t>Southern California Gas Company (SoCalGas) hereby submits for approval by the</w:t>
      </w:r>
    </w:p>
    <w:p w14:paraId="55CD9536" w14:textId="77777777" w:rsidR="00C73829" w:rsidRPr="00B621B9" w:rsidRDefault="003149C6" w:rsidP="003149C6">
      <w:pPr>
        <w:rPr>
          <w:rFonts w:ascii="Arial" w:hAnsi="Arial" w:cs="Arial"/>
          <w:sz w:val="24"/>
          <w:szCs w:val="24"/>
          <w:highlight w:val="yellow"/>
        </w:rPr>
      </w:pPr>
      <w:r w:rsidRPr="00B621B9">
        <w:rPr>
          <w:rFonts w:ascii="Arial" w:hAnsi="Arial" w:cs="Arial"/>
          <w:sz w:val="24"/>
          <w:szCs w:val="24"/>
        </w:rPr>
        <w:t xml:space="preserve">California Public Utilities </w:t>
      </w:r>
      <w:r w:rsidR="005C2040" w:rsidRPr="00B621B9">
        <w:rPr>
          <w:rFonts w:ascii="Arial" w:hAnsi="Arial" w:cs="Arial"/>
          <w:sz w:val="24"/>
          <w:szCs w:val="24"/>
        </w:rPr>
        <w:t xml:space="preserve">Commission (Commission) its </w:t>
      </w:r>
      <w:r w:rsidR="00F4753B" w:rsidRPr="00B621B9">
        <w:rPr>
          <w:rFonts w:ascii="Arial" w:hAnsi="Arial" w:cs="Arial"/>
          <w:sz w:val="24"/>
          <w:szCs w:val="24"/>
        </w:rPr>
        <w:t>20</w:t>
      </w:r>
      <w:r w:rsidR="00447F86">
        <w:rPr>
          <w:rFonts w:ascii="Arial" w:hAnsi="Arial" w:cs="Arial"/>
          <w:sz w:val="24"/>
          <w:szCs w:val="24"/>
        </w:rPr>
        <w:t>2</w:t>
      </w:r>
      <w:r w:rsidR="00AE5940">
        <w:rPr>
          <w:rFonts w:ascii="Arial" w:hAnsi="Arial" w:cs="Arial"/>
          <w:sz w:val="24"/>
          <w:szCs w:val="24"/>
        </w:rPr>
        <w:t>1</w:t>
      </w:r>
      <w:r w:rsidRPr="00B621B9">
        <w:rPr>
          <w:rFonts w:ascii="Arial" w:hAnsi="Arial" w:cs="Arial"/>
          <w:sz w:val="24"/>
          <w:szCs w:val="24"/>
        </w:rPr>
        <w:t xml:space="preserve"> Energy Efficiency (EE)</w:t>
      </w:r>
      <w:r w:rsidR="007F1880" w:rsidRPr="00B621B9">
        <w:rPr>
          <w:rFonts w:ascii="Arial" w:hAnsi="Arial" w:cs="Arial"/>
          <w:sz w:val="24"/>
          <w:szCs w:val="24"/>
        </w:rPr>
        <w:t xml:space="preserve"> </w:t>
      </w:r>
      <w:r w:rsidRPr="00B621B9">
        <w:rPr>
          <w:rFonts w:ascii="Arial" w:hAnsi="Arial" w:cs="Arial"/>
          <w:sz w:val="24"/>
          <w:szCs w:val="24"/>
        </w:rPr>
        <w:t xml:space="preserve">Program Portfolio </w:t>
      </w:r>
      <w:r w:rsidR="004025A1" w:rsidRPr="00B621B9">
        <w:rPr>
          <w:rFonts w:ascii="Arial" w:hAnsi="Arial" w:cs="Arial"/>
          <w:sz w:val="24"/>
          <w:szCs w:val="24"/>
        </w:rPr>
        <w:t>budget</w:t>
      </w:r>
      <w:r w:rsidRPr="00B621B9">
        <w:rPr>
          <w:rFonts w:ascii="Arial" w:hAnsi="Arial" w:cs="Arial"/>
          <w:sz w:val="24"/>
          <w:szCs w:val="24"/>
        </w:rPr>
        <w:t xml:space="preserve">. </w:t>
      </w:r>
      <w:r w:rsidR="00BB2432" w:rsidRPr="00B621B9">
        <w:rPr>
          <w:rFonts w:ascii="Arial" w:hAnsi="Arial" w:cs="Arial"/>
          <w:sz w:val="24"/>
          <w:szCs w:val="24"/>
        </w:rPr>
        <w:t xml:space="preserve"> </w:t>
      </w:r>
      <w:r w:rsidRPr="00B621B9">
        <w:rPr>
          <w:rFonts w:ascii="Arial" w:hAnsi="Arial" w:cs="Arial"/>
          <w:sz w:val="24"/>
          <w:szCs w:val="24"/>
        </w:rPr>
        <w:t>Th</w:t>
      </w:r>
      <w:r w:rsidR="00BB2432" w:rsidRPr="00B621B9">
        <w:rPr>
          <w:rFonts w:ascii="Arial" w:hAnsi="Arial" w:cs="Arial"/>
          <w:sz w:val="24"/>
          <w:szCs w:val="24"/>
        </w:rPr>
        <w:t>e</w:t>
      </w:r>
      <w:r w:rsidRPr="00B621B9">
        <w:rPr>
          <w:rFonts w:ascii="Arial" w:hAnsi="Arial" w:cs="Arial"/>
          <w:sz w:val="24"/>
          <w:szCs w:val="24"/>
        </w:rPr>
        <w:t xml:space="preserve"> EE Program Portfolio, along with supporting documentation, is incorporated as Append</w:t>
      </w:r>
      <w:r w:rsidR="005C2040" w:rsidRPr="00B621B9">
        <w:rPr>
          <w:rFonts w:ascii="Arial" w:hAnsi="Arial" w:cs="Arial"/>
          <w:sz w:val="24"/>
          <w:szCs w:val="24"/>
        </w:rPr>
        <w:t>ix</w:t>
      </w:r>
      <w:r w:rsidRPr="00B621B9">
        <w:rPr>
          <w:rFonts w:ascii="Arial" w:hAnsi="Arial" w:cs="Arial"/>
          <w:sz w:val="24"/>
          <w:szCs w:val="24"/>
        </w:rPr>
        <w:t xml:space="preserve"> A</w:t>
      </w:r>
      <w:r w:rsidR="0012603C" w:rsidRPr="00B621B9">
        <w:rPr>
          <w:rFonts w:ascii="Arial" w:hAnsi="Arial" w:cs="Arial"/>
          <w:sz w:val="24"/>
          <w:szCs w:val="24"/>
        </w:rPr>
        <w:t>,</w:t>
      </w:r>
      <w:r w:rsidR="00436846" w:rsidRPr="00B621B9">
        <w:rPr>
          <w:rFonts w:ascii="Arial" w:hAnsi="Arial" w:cs="Arial"/>
          <w:sz w:val="24"/>
          <w:szCs w:val="24"/>
        </w:rPr>
        <w:t xml:space="preserve"> </w:t>
      </w:r>
      <w:r w:rsidR="0088294C" w:rsidRPr="00B621B9">
        <w:rPr>
          <w:rFonts w:ascii="Arial" w:hAnsi="Arial" w:cs="Arial"/>
          <w:sz w:val="24"/>
          <w:szCs w:val="24"/>
        </w:rPr>
        <w:t xml:space="preserve">which have </w:t>
      </w:r>
      <w:r w:rsidR="00436846" w:rsidRPr="00B621B9">
        <w:rPr>
          <w:rFonts w:ascii="Arial" w:hAnsi="Arial" w:cs="Arial"/>
          <w:sz w:val="24"/>
          <w:szCs w:val="24"/>
        </w:rPr>
        <w:t xml:space="preserve">been uploaded to the California Energy Data </w:t>
      </w:r>
      <w:r w:rsidR="00813834" w:rsidRPr="00B621B9">
        <w:rPr>
          <w:rFonts w:ascii="Arial" w:hAnsi="Arial" w:cs="Arial"/>
          <w:sz w:val="24"/>
          <w:szCs w:val="24"/>
        </w:rPr>
        <w:t>a</w:t>
      </w:r>
      <w:r w:rsidR="00436846" w:rsidRPr="00B621B9">
        <w:rPr>
          <w:rFonts w:ascii="Arial" w:hAnsi="Arial" w:cs="Arial"/>
          <w:sz w:val="24"/>
          <w:szCs w:val="24"/>
        </w:rPr>
        <w:t>nd Reporting System (CEDARS) website</w:t>
      </w:r>
      <w:r w:rsidRPr="00B621B9">
        <w:rPr>
          <w:rFonts w:ascii="Arial" w:hAnsi="Arial" w:cs="Arial"/>
          <w:sz w:val="24"/>
          <w:szCs w:val="24"/>
        </w:rPr>
        <w:t>.</w:t>
      </w:r>
      <w:r w:rsidR="0069134A" w:rsidRPr="00B621B9">
        <w:rPr>
          <w:rStyle w:val="FootnoteReference"/>
          <w:rFonts w:ascii="Arial" w:hAnsi="Arial" w:cs="Arial"/>
          <w:sz w:val="24"/>
          <w:szCs w:val="24"/>
        </w:rPr>
        <w:footnoteReference w:id="1"/>
      </w:r>
    </w:p>
    <w:p w14:paraId="4AE224BD" w14:textId="77777777" w:rsidR="00EA000A" w:rsidRPr="00B621B9" w:rsidRDefault="00EA000A" w:rsidP="00826575">
      <w:pPr>
        <w:tabs>
          <w:tab w:val="left" w:pos="1137"/>
        </w:tabs>
        <w:autoSpaceDE w:val="0"/>
        <w:autoSpaceDN w:val="0"/>
        <w:adjustRightInd w:val="0"/>
        <w:rPr>
          <w:rFonts w:ascii="Arial" w:hAnsi="Arial" w:cs="Arial"/>
          <w:sz w:val="24"/>
          <w:szCs w:val="24"/>
        </w:rPr>
      </w:pPr>
    </w:p>
    <w:p w14:paraId="60A8449E" w14:textId="77777777" w:rsidR="004025A1" w:rsidRPr="00B621B9" w:rsidRDefault="004025A1" w:rsidP="004025A1">
      <w:pPr>
        <w:rPr>
          <w:rFonts w:ascii="Arial" w:hAnsi="Arial" w:cs="Arial"/>
          <w:b/>
          <w:bCs/>
          <w:sz w:val="24"/>
          <w:szCs w:val="24"/>
          <w:u w:val="single"/>
        </w:rPr>
      </w:pPr>
      <w:r w:rsidRPr="00B621B9">
        <w:rPr>
          <w:rFonts w:ascii="Arial" w:hAnsi="Arial" w:cs="Arial"/>
          <w:b/>
          <w:bCs/>
          <w:sz w:val="24"/>
          <w:szCs w:val="24"/>
          <w:u w:val="single"/>
        </w:rPr>
        <w:t>Purpose</w:t>
      </w:r>
    </w:p>
    <w:p w14:paraId="325D590F" w14:textId="77777777" w:rsidR="00C73829" w:rsidRPr="00B621B9" w:rsidRDefault="00C73829" w:rsidP="00C73829">
      <w:pPr>
        <w:autoSpaceDE w:val="0"/>
        <w:autoSpaceDN w:val="0"/>
        <w:adjustRightInd w:val="0"/>
        <w:rPr>
          <w:rFonts w:ascii="Arial" w:hAnsi="Arial" w:cs="Arial"/>
          <w:sz w:val="24"/>
          <w:szCs w:val="24"/>
        </w:rPr>
      </w:pPr>
    </w:p>
    <w:p w14:paraId="422E715C" w14:textId="77777777" w:rsidR="00F20688" w:rsidRPr="00B621B9" w:rsidRDefault="007E05B2" w:rsidP="004359E2">
      <w:pPr>
        <w:autoSpaceDE w:val="0"/>
        <w:autoSpaceDN w:val="0"/>
        <w:adjustRightInd w:val="0"/>
        <w:rPr>
          <w:rFonts w:ascii="Arial" w:hAnsi="Arial" w:cs="Arial"/>
          <w:sz w:val="24"/>
          <w:szCs w:val="24"/>
        </w:rPr>
      </w:pPr>
      <w:r w:rsidRPr="00B621B9">
        <w:rPr>
          <w:rFonts w:ascii="Arial" w:hAnsi="Arial" w:cs="Arial"/>
          <w:sz w:val="24"/>
          <w:szCs w:val="24"/>
        </w:rPr>
        <w:t xml:space="preserve">This </w:t>
      </w:r>
      <w:r w:rsidR="004025A1" w:rsidRPr="00B621B9">
        <w:rPr>
          <w:rFonts w:ascii="Arial" w:hAnsi="Arial" w:cs="Arial"/>
          <w:sz w:val="24"/>
          <w:szCs w:val="24"/>
        </w:rPr>
        <w:t xml:space="preserve">Advice Letter </w:t>
      </w:r>
      <w:r w:rsidRPr="00B621B9">
        <w:rPr>
          <w:rFonts w:ascii="Arial" w:hAnsi="Arial" w:cs="Arial"/>
          <w:sz w:val="24"/>
          <w:szCs w:val="24"/>
        </w:rPr>
        <w:t>is</w:t>
      </w:r>
      <w:r w:rsidR="00F7570F" w:rsidRPr="00B621B9">
        <w:rPr>
          <w:rFonts w:ascii="Arial" w:hAnsi="Arial" w:cs="Arial"/>
          <w:sz w:val="24"/>
          <w:szCs w:val="24"/>
        </w:rPr>
        <w:t xml:space="preserve"> filed</w:t>
      </w:r>
      <w:r w:rsidRPr="00B621B9">
        <w:rPr>
          <w:rFonts w:ascii="Arial" w:hAnsi="Arial" w:cs="Arial"/>
          <w:sz w:val="24"/>
          <w:szCs w:val="24"/>
        </w:rPr>
        <w:t xml:space="preserve"> in compliance with Ordering Paragraph (OP) 4 of Decision </w:t>
      </w:r>
      <w:r w:rsidR="00D61F79">
        <w:rPr>
          <w:rFonts w:ascii="Arial" w:hAnsi="Arial" w:cs="Arial"/>
          <w:sz w:val="24"/>
          <w:szCs w:val="24"/>
        </w:rPr>
        <w:t>(</w:t>
      </w:r>
      <w:r w:rsidRPr="00B621B9">
        <w:rPr>
          <w:rFonts w:ascii="Arial" w:hAnsi="Arial" w:cs="Arial"/>
          <w:sz w:val="24"/>
          <w:szCs w:val="24"/>
        </w:rPr>
        <w:t>D</w:t>
      </w:r>
      <w:r w:rsidR="003A2573" w:rsidRPr="00B621B9">
        <w:rPr>
          <w:rFonts w:ascii="Arial" w:hAnsi="Arial" w:cs="Arial"/>
          <w:sz w:val="24"/>
          <w:szCs w:val="24"/>
        </w:rPr>
        <w:t>.</w:t>
      </w:r>
      <w:r w:rsidR="00D61F79">
        <w:rPr>
          <w:rFonts w:ascii="Arial" w:hAnsi="Arial" w:cs="Arial"/>
          <w:sz w:val="24"/>
          <w:szCs w:val="24"/>
        </w:rPr>
        <w:t>)</w:t>
      </w:r>
      <w:r w:rsidRPr="00B621B9">
        <w:rPr>
          <w:rFonts w:ascii="Arial" w:hAnsi="Arial" w:cs="Arial"/>
          <w:sz w:val="24"/>
          <w:szCs w:val="24"/>
        </w:rPr>
        <w:t xml:space="preserve"> 15-10-028</w:t>
      </w:r>
      <w:r w:rsidR="005914B2" w:rsidRPr="00B621B9">
        <w:rPr>
          <w:rFonts w:ascii="Arial" w:hAnsi="Arial" w:cs="Arial"/>
          <w:sz w:val="24"/>
          <w:szCs w:val="24"/>
        </w:rPr>
        <w:t>,</w:t>
      </w:r>
      <w:r w:rsidR="00F4753B" w:rsidRPr="00B621B9">
        <w:rPr>
          <w:rStyle w:val="FootnoteReference"/>
          <w:rFonts w:ascii="Arial" w:hAnsi="Arial" w:cs="Arial"/>
          <w:sz w:val="24"/>
          <w:szCs w:val="24"/>
        </w:rPr>
        <w:t xml:space="preserve"> </w:t>
      </w:r>
      <w:r w:rsidR="00F4753B" w:rsidRPr="00B621B9">
        <w:rPr>
          <w:rStyle w:val="FootnoteReference"/>
          <w:rFonts w:ascii="Arial" w:hAnsi="Arial" w:cs="Arial"/>
          <w:sz w:val="24"/>
          <w:szCs w:val="24"/>
        </w:rPr>
        <w:footnoteReference w:id="2"/>
      </w:r>
      <w:r w:rsidR="005914B2" w:rsidRPr="00B621B9">
        <w:rPr>
          <w:rFonts w:ascii="Arial" w:hAnsi="Arial" w:cs="Arial"/>
          <w:sz w:val="24"/>
          <w:szCs w:val="24"/>
        </w:rPr>
        <w:t xml:space="preserve"> </w:t>
      </w:r>
      <w:r w:rsidRPr="00B621B9">
        <w:rPr>
          <w:rFonts w:ascii="Arial" w:hAnsi="Arial" w:cs="Arial"/>
          <w:sz w:val="24"/>
          <w:szCs w:val="24"/>
        </w:rPr>
        <w:t xml:space="preserve">which directs program administrators to file a Tier 2 Advice Letter </w:t>
      </w:r>
      <w:r w:rsidR="004359E2" w:rsidRPr="00B621B9">
        <w:rPr>
          <w:rFonts w:ascii="Arial" w:hAnsi="Arial" w:cs="Arial"/>
          <w:sz w:val="24"/>
          <w:szCs w:val="24"/>
        </w:rPr>
        <w:t xml:space="preserve">containing </w:t>
      </w:r>
      <w:r w:rsidR="00BB2432" w:rsidRPr="00B621B9">
        <w:rPr>
          <w:rFonts w:ascii="Arial" w:hAnsi="Arial" w:cs="Arial"/>
          <w:sz w:val="24"/>
          <w:szCs w:val="24"/>
        </w:rPr>
        <w:t>the</w:t>
      </w:r>
      <w:r w:rsidR="004359E2" w:rsidRPr="00B621B9">
        <w:rPr>
          <w:rFonts w:ascii="Arial" w:hAnsi="Arial" w:cs="Arial"/>
          <w:sz w:val="24"/>
          <w:szCs w:val="24"/>
        </w:rPr>
        <w:t xml:space="preserve"> budget for the next calendar year’s </w:t>
      </w:r>
      <w:r w:rsidR="00BB2432" w:rsidRPr="00B621B9">
        <w:rPr>
          <w:rFonts w:ascii="Arial" w:hAnsi="Arial" w:cs="Arial"/>
          <w:sz w:val="24"/>
          <w:szCs w:val="24"/>
        </w:rPr>
        <w:t xml:space="preserve">EE </w:t>
      </w:r>
      <w:r w:rsidR="004359E2" w:rsidRPr="00B621B9">
        <w:rPr>
          <w:rFonts w:ascii="Arial" w:hAnsi="Arial" w:cs="Arial"/>
          <w:sz w:val="24"/>
          <w:szCs w:val="24"/>
        </w:rPr>
        <w:t>portfolio by the first business day in September</w:t>
      </w:r>
      <w:r w:rsidR="00F4753B" w:rsidRPr="00B621B9">
        <w:rPr>
          <w:rFonts w:ascii="Arial" w:hAnsi="Arial" w:cs="Arial"/>
          <w:sz w:val="24"/>
          <w:szCs w:val="24"/>
        </w:rPr>
        <w:t xml:space="preserve">; and with OP 41 and 43 of D.18-05-041, which directs </w:t>
      </w:r>
      <w:r w:rsidR="00422679">
        <w:rPr>
          <w:rFonts w:ascii="Arial" w:hAnsi="Arial" w:cs="Arial"/>
          <w:sz w:val="24"/>
          <w:szCs w:val="24"/>
        </w:rPr>
        <w:t>Program Administrators (</w:t>
      </w:r>
      <w:r w:rsidR="00422679" w:rsidRPr="00B621B9">
        <w:rPr>
          <w:rFonts w:ascii="Arial" w:hAnsi="Arial" w:cs="Arial"/>
          <w:sz w:val="24"/>
          <w:szCs w:val="24"/>
        </w:rPr>
        <w:t>P</w:t>
      </w:r>
      <w:r w:rsidR="00422679">
        <w:rPr>
          <w:rFonts w:ascii="Arial" w:hAnsi="Arial" w:cs="Arial"/>
          <w:sz w:val="24"/>
          <w:szCs w:val="24"/>
        </w:rPr>
        <w:t>A</w:t>
      </w:r>
      <w:r w:rsidR="00422679" w:rsidRPr="00B621B9">
        <w:rPr>
          <w:rFonts w:ascii="Arial" w:hAnsi="Arial" w:cs="Arial"/>
          <w:sz w:val="24"/>
          <w:szCs w:val="24"/>
        </w:rPr>
        <w:t>s</w:t>
      </w:r>
      <w:r w:rsidR="00422679">
        <w:rPr>
          <w:rFonts w:ascii="Arial" w:hAnsi="Arial" w:cs="Arial"/>
          <w:sz w:val="24"/>
          <w:szCs w:val="24"/>
        </w:rPr>
        <w:t>)</w:t>
      </w:r>
      <w:r w:rsidR="00F4753B" w:rsidRPr="00B621B9">
        <w:rPr>
          <w:rFonts w:ascii="Arial" w:hAnsi="Arial" w:cs="Arial"/>
          <w:sz w:val="24"/>
          <w:szCs w:val="24"/>
        </w:rPr>
        <w:t xml:space="preserve"> to include information identified in D.18-05-041</w:t>
      </w:r>
      <w:r w:rsidRPr="00B621B9">
        <w:rPr>
          <w:rFonts w:ascii="Arial" w:hAnsi="Arial" w:cs="Arial"/>
          <w:sz w:val="24"/>
          <w:szCs w:val="24"/>
        </w:rPr>
        <w:t>.</w:t>
      </w:r>
    </w:p>
    <w:p w14:paraId="0ABFB942" w14:textId="77777777" w:rsidR="007E05B2" w:rsidRPr="00B621B9" w:rsidRDefault="007E05B2" w:rsidP="00F20688">
      <w:pPr>
        <w:rPr>
          <w:rFonts w:ascii="Arial" w:hAnsi="Arial" w:cs="Arial"/>
          <w:sz w:val="24"/>
          <w:szCs w:val="24"/>
          <w:highlight w:val="yellow"/>
        </w:rPr>
      </w:pPr>
    </w:p>
    <w:p w14:paraId="7832BC7D" w14:textId="77777777" w:rsidR="004025A1" w:rsidRPr="00B621B9" w:rsidRDefault="004025A1" w:rsidP="004025A1">
      <w:pPr>
        <w:rPr>
          <w:rFonts w:ascii="Arial" w:hAnsi="Arial" w:cs="Arial"/>
          <w:b/>
          <w:bCs/>
          <w:sz w:val="24"/>
          <w:szCs w:val="24"/>
          <w:u w:val="single"/>
        </w:rPr>
      </w:pPr>
      <w:r w:rsidRPr="00B621B9">
        <w:rPr>
          <w:rFonts w:ascii="Arial" w:hAnsi="Arial" w:cs="Arial"/>
          <w:b/>
          <w:bCs/>
          <w:sz w:val="24"/>
          <w:szCs w:val="24"/>
          <w:u w:val="single"/>
        </w:rPr>
        <w:t>Background</w:t>
      </w:r>
    </w:p>
    <w:p w14:paraId="4D760B5C" w14:textId="77777777" w:rsidR="004025A1" w:rsidRPr="00B621B9" w:rsidRDefault="004025A1" w:rsidP="00A5362F">
      <w:pPr>
        <w:rPr>
          <w:rFonts w:ascii="Arial" w:hAnsi="Arial" w:cs="Arial"/>
          <w:sz w:val="24"/>
          <w:szCs w:val="24"/>
        </w:rPr>
      </w:pPr>
    </w:p>
    <w:p w14:paraId="449E9D51" w14:textId="77777777" w:rsidR="00A91381" w:rsidRDefault="00413F6D" w:rsidP="00B621B9">
      <w:pPr>
        <w:ind w:right="180"/>
        <w:rPr>
          <w:rFonts w:ascii="Arial" w:hAnsi="Arial" w:cs="Arial"/>
          <w:sz w:val="24"/>
          <w:szCs w:val="24"/>
        </w:rPr>
      </w:pPr>
      <w:r w:rsidRPr="00B621B9">
        <w:rPr>
          <w:rFonts w:ascii="Arial" w:hAnsi="Arial" w:cs="Arial"/>
          <w:sz w:val="24"/>
          <w:szCs w:val="24"/>
        </w:rPr>
        <w:t>On October 24, 201</w:t>
      </w:r>
      <w:r w:rsidR="007E51F0" w:rsidRPr="00B621B9">
        <w:rPr>
          <w:rFonts w:ascii="Arial" w:hAnsi="Arial" w:cs="Arial"/>
          <w:sz w:val="24"/>
          <w:szCs w:val="24"/>
        </w:rPr>
        <w:t>4</w:t>
      </w:r>
      <w:r w:rsidRPr="00B621B9">
        <w:rPr>
          <w:rFonts w:ascii="Arial" w:hAnsi="Arial" w:cs="Arial"/>
          <w:sz w:val="24"/>
          <w:szCs w:val="24"/>
        </w:rPr>
        <w:t xml:space="preserve">, the Commission issued D.14-10-046, which authorizes funding for EE programs </w:t>
      </w:r>
      <w:r w:rsidR="007A3FF7" w:rsidRPr="00B621B9">
        <w:rPr>
          <w:rFonts w:ascii="Arial" w:hAnsi="Arial" w:cs="Arial"/>
          <w:sz w:val="24"/>
          <w:szCs w:val="24"/>
        </w:rPr>
        <w:t>until 2025</w:t>
      </w:r>
      <w:r w:rsidRPr="00B621B9">
        <w:rPr>
          <w:rFonts w:ascii="Arial" w:hAnsi="Arial" w:cs="Arial"/>
          <w:sz w:val="24"/>
          <w:szCs w:val="24"/>
        </w:rPr>
        <w:t>.</w:t>
      </w:r>
      <w:r w:rsidRPr="00B621B9">
        <w:rPr>
          <w:rStyle w:val="FootnoteReference"/>
          <w:rFonts w:ascii="Arial" w:hAnsi="Arial" w:cs="Arial"/>
          <w:sz w:val="24"/>
          <w:szCs w:val="24"/>
        </w:rPr>
        <w:footnoteReference w:id="3"/>
      </w:r>
      <w:r w:rsidRPr="00B621B9">
        <w:rPr>
          <w:rFonts w:ascii="Arial" w:hAnsi="Arial" w:cs="Arial"/>
          <w:sz w:val="24"/>
          <w:szCs w:val="24"/>
        </w:rPr>
        <w:t xml:space="preserve"> </w:t>
      </w:r>
      <w:r w:rsidR="00BB2432" w:rsidRPr="00B621B9">
        <w:rPr>
          <w:rFonts w:ascii="Arial" w:hAnsi="Arial" w:cs="Arial"/>
          <w:sz w:val="24"/>
          <w:szCs w:val="24"/>
        </w:rPr>
        <w:t xml:space="preserve"> </w:t>
      </w:r>
      <w:r w:rsidR="004B1659" w:rsidRPr="00B621B9">
        <w:rPr>
          <w:rFonts w:ascii="Arial" w:hAnsi="Arial" w:cs="Arial"/>
          <w:sz w:val="24"/>
          <w:szCs w:val="24"/>
        </w:rPr>
        <w:t>On October 2</w:t>
      </w:r>
      <w:r w:rsidR="009B28F8" w:rsidRPr="00B621B9">
        <w:rPr>
          <w:rFonts w:ascii="Arial" w:hAnsi="Arial" w:cs="Arial"/>
          <w:sz w:val="24"/>
          <w:szCs w:val="24"/>
        </w:rPr>
        <w:t>2</w:t>
      </w:r>
      <w:r w:rsidR="004B1659" w:rsidRPr="00B621B9">
        <w:rPr>
          <w:rFonts w:ascii="Arial" w:hAnsi="Arial" w:cs="Arial"/>
          <w:sz w:val="24"/>
          <w:szCs w:val="24"/>
        </w:rPr>
        <w:t>, 201</w:t>
      </w:r>
      <w:r w:rsidR="009B28F8" w:rsidRPr="00B621B9">
        <w:rPr>
          <w:rFonts w:ascii="Arial" w:hAnsi="Arial" w:cs="Arial"/>
          <w:sz w:val="24"/>
          <w:szCs w:val="24"/>
        </w:rPr>
        <w:t>5</w:t>
      </w:r>
      <w:r w:rsidR="004B1659" w:rsidRPr="00B621B9">
        <w:rPr>
          <w:rFonts w:ascii="Arial" w:hAnsi="Arial" w:cs="Arial"/>
          <w:sz w:val="24"/>
          <w:szCs w:val="24"/>
        </w:rPr>
        <w:t>, the Commission issued D.1</w:t>
      </w:r>
      <w:r w:rsidR="009B28F8" w:rsidRPr="00B621B9">
        <w:rPr>
          <w:rFonts w:ascii="Arial" w:hAnsi="Arial" w:cs="Arial"/>
          <w:sz w:val="24"/>
          <w:szCs w:val="24"/>
        </w:rPr>
        <w:t>5</w:t>
      </w:r>
      <w:r w:rsidR="004B1659" w:rsidRPr="00B621B9">
        <w:rPr>
          <w:rFonts w:ascii="Arial" w:hAnsi="Arial" w:cs="Arial"/>
          <w:sz w:val="24"/>
          <w:szCs w:val="24"/>
        </w:rPr>
        <w:t>-10-0</w:t>
      </w:r>
      <w:r w:rsidR="009B28F8" w:rsidRPr="00B621B9">
        <w:rPr>
          <w:rFonts w:ascii="Arial" w:hAnsi="Arial" w:cs="Arial"/>
          <w:sz w:val="24"/>
          <w:szCs w:val="24"/>
        </w:rPr>
        <w:t>28</w:t>
      </w:r>
      <w:r w:rsidR="004B1659" w:rsidRPr="00B621B9">
        <w:rPr>
          <w:rFonts w:ascii="Arial" w:hAnsi="Arial" w:cs="Arial"/>
          <w:sz w:val="24"/>
          <w:szCs w:val="24"/>
        </w:rPr>
        <w:t xml:space="preserve">, which approved </w:t>
      </w:r>
      <w:r w:rsidR="009B28F8" w:rsidRPr="00B621B9">
        <w:rPr>
          <w:rFonts w:ascii="Arial" w:hAnsi="Arial" w:cs="Arial"/>
          <w:sz w:val="24"/>
          <w:szCs w:val="24"/>
        </w:rPr>
        <w:t xml:space="preserve">the </w:t>
      </w:r>
      <w:r w:rsidR="004B1659" w:rsidRPr="00B621B9">
        <w:rPr>
          <w:rFonts w:ascii="Arial" w:hAnsi="Arial" w:cs="Arial"/>
          <w:sz w:val="24"/>
          <w:szCs w:val="24"/>
        </w:rPr>
        <w:t>EE</w:t>
      </w:r>
      <w:r w:rsidR="009B28F8" w:rsidRPr="00B621B9">
        <w:rPr>
          <w:rFonts w:ascii="Arial" w:hAnsi="Arial" w:cs="Arial"/>
          <w:sz w:val="24"/>
          <w:szCs w:val="24"/>
        </w:rPr>
        <w:t xml:space="preserve"> rolling portfoli</w:t>
      </w:r>
      <w:r w:rsidRPr="00B621B9">
        <w:rPr>
          <w:rFonts w:ascii="Arial" w:hAnsi="Arial" w:cs="Arial"/>
          <w:sz w:val="24"/>
          <w:szCs w:val="24"/>
        </w:rPr>
        <w:t xml:space="preserve">o mechanics for 2016 and beyond and </w:t>
      </w:r>
      <w:r w:rsidRPr="00B621B9">
        <w:rPr>
          <w:rFonts w:ascii="Arial" w:hAnsi="Arial" w:cs="Arial"/>
          <w:sz w:val="24"/>
          <w:szCs w:val="24"/>
        </w:rPr>
        <w:lastRenderedPageBreak/>
        <w:t xml:space="preserve">explains that </w:t>
      </w:r>
      <w:r w:rsidR="00422679">
        <w:rPr>
          <w:rFonts w:ascii="Arial" w:hAnsi="Arial" w:cs="Arial"/>
          <w:sz w:val="24"/>
          <w:szCs w:val="24"/>
        </w:rPr>
        <w:t>A</w:t>
      </w:r>
      <w:r w:rsidR="00422679" w:rsidRPr="00B621B9">
        <w:rPr>
          <w:rFonts w:ascii="Arial" w:hAnsi="Arial" w:cs="Arial"/>
          <w:sz w:val="24"/>
          <w:szCs w:val="24"/>
        </w:rPr>
        <w:t xml:space="preserve">nnual </w:t>
      </w:r>
      <w:r w:rsidR="00422679">
        <w:rPr>
          <w:rFonts w:ascii="Arial" w:hAnsi="Arial" w:cs="Arial"/>
          <w:sz w:val="24"/>
          <w:szCs w:val="24"/>
        </w:rPr>
        <w:t xml:space="preserve">Budget </w:t>
      </w:r>
      <w:r w:rsidR="001B3715" w:rsidRPr="00B621B9">
        <w:rPr>
          <w:rFonts w:ascii="Arial" w:hAnsi="Arial" w:cs="Arial"/>
          <w:sz w:val="24"/>
          <w:szCs w:val="24"/>
        </w:rPr>
        <w:t xml:space="preserve">Advice Letter </w:t>
      </w:r>
      <w:r w:rsidR="00422679">
        <w:rPr>
          <w:rFonts w:ascii="Arial" w:hAnsi="Arial" w:cs="Arial"/>
          <w:sz w:val="24"/>
          <w:szCs w:val="24"/>
        </w:rPr>
        <w:t xml:space="preserve">(ABAL) </w:t>
      </w:r>
      <w:r w:rsidRPr="00B621B9">
        <w:rPr>
          <w:rFonts w:ascii="Arial" w:hAnsi="Arial" w:cs="Arial"/>
          <w:sz w:val="24"/>
          <w:szCs w:val="24"/>
        </w:rPr>
        <w:t>filings will propose detailed budgets for cost recovery, transfer, and contracting purposes.</w:t>
      </w:r>
      <w:r w:rsidRPr="00B621B9">
        <w:rPr>
          <w:rStyle w:val="FootnoteReference"/>
          <w:rFonts w:ascii="Arial" w:hAnsi="Arial" w:cs="Arial"/>
          <w:sz w:val="24"/>
          <w:szCs w:val="24"/>
        </w:rPr>
        <w:footnoteReference w:id="4"/>
      </w:r>
    </w:p>
    <w:p w14:paraId="1405FE8D" w14:textId="77777777" w:rsidR="00D61F79" w:rsidRPr="00B621B9" w:rsidRDefault="00D61F79" w:rsidP="00B621B9">
      <w:pPr>
        <w:ind w:right="180"/>
        <w:rPr>
          <w:rFonts w:ascii="Arial" w:eastAsia="Arial" w:hAnsi="Arial" w:cs="Arial"/>
          <w:sz w:val="24"/>
          <w:szCs w:val="24"/>
        </w:rPr>
      </w:pPr>
    </w:p>
    <w:p w14:paraId="45031DB2" w14:textId="77777777" w:rsidR="002F348B" w:rsidRDefault="00043DD4" w:rsidP="002F348B">
      <w:pPr>
        <w:ind w:right="180"/>
        <w:rPr>
          <w:rFonts w:ascii="Arial" w:eastAsia="Arial" w:hAnsi="Arial" w:cs="Arial"/>
          <w:sz w:val="24"/>
          <w:szCs w:val="24"/>
        </w:rPr>
      </w:pPr>
      <w:r>
        <w:rPr>
          <w:rFonts w:ascii="Arial" w:eastAsia="Arial" w:hAnsi="Arial" w:cs="Arial"/>
          <w:sz w:val="24"/>
          <w:szCs w:val="24"/>
        </w:rPr>
        <w:t xml:space="preserve">On June </w:t>
      </w:r>
      <w:r w:rsidR="00BF7BA2">
        <w:rPr>
          <w:rFonts w:ascii="Arial" w:eastAsia="Arial" w:hAnsi="Arial" w:cs="Arial"/>
          <w:sz w:val="24"/>
          <w:szCs w:val="24"/>
        </w:rPr>
        <w:t>6</w:t>
      </w:r>
      <w:r>
        <w:rPr>
          <w:rFonts w:ascii="Arial" w:eastAsia="Arial" w:hAnsi="Arial" w:cs="Arial"/>
          <w:sz w:val="24"/>
          <w:szCs w:val="24"/>
        </w:rPr>
        <w:t xml:space="preserve">, 2018, the Commission issued D.18-05-041, which approved the </w:t>
      </w:r>
      <w:r w:rsidR="00422679">
        <w:rPr>
          <w:rFonts w:ascii="Arial" w:eastAsia="Arial" w:hAnsi="Arial" w:cs="Arial"/>
          <w:sz w:val="24"/>
          <w:szCs w:val="24"/>
        </w:rPr>
        <w:t xml:space="preserve">PAs </w:t>
      </w:r>
      <w:r w:rsidR="00BF7BA2">
        <w:rPr>
          <w:rFonts w:ascii="Arial" w:eastAsia="Arial" w:hAnsi="Arial" w:cs="Arial"/>
          <w:sz w:val="24"/>
          <w:szCs w:val="24"/>
        </w:rPr>
        <w:t xml:space="preserve">Energy Efficiency </w:t>
      </w:r>
      <w:r>
        <w:rPr>
          <w:rFonts w:ascii="Arial" w:eastAsia="Arial" w:hAnsi="Arial" w:cs="Arial"/>
          <w:sz w:val="24"/>
          <w:szCs w:val="24"/>
        </w:rPr>
        <w:t>Business Plan</w:t>
      </w:r>
      <w:r w:rsidR="00422679">
        <w:rPr>
          <w:rFonts w:ascii="Arial" w:eastAsia="Arial" w:hAnsi="Arial" w:cs="Arial"/>
          <w:sz w:val="24"/>
          <w:szCs w:val="24"/>
        </w:rPr>
        <w:t>s</w:t>
      </w:r>
      <w:r w:rsidR="00BF7BA2">
        <w:rPr>
          <w:rFonts w:ascii="Arial" w:eastAsia="Arial" w:hAnsi="Arial" w:cs="Arial"/>
          <w:sz w:val="24"/>
          <w:szCs w:val="24"/>
        </w:rPr>
        <w:t xml:space="preserve">. </w:t>
      </w:r>
      <w:r>
        <w:rPr>
          <w:rFonts w:ascii="Arial" w:eastAsia="Arial" w:hAnsi="Arial" w:cs="Arial"/>
          <w:sz w:val="24"/>
          <w:szCs w:val="24"/>
        </w:rPr>
        <w:t xml:space="preserve"> </w:t>
      </w:r>
      <w:r w:rsidR="002F348B" w:rsidRPr="002F348B">
        <w:rPr>
          <w:rFonts w:ascii="Arial" w:eastAsia="Arial" w:hAnsi="Arial" w:cs="Arial"/>
          <w:sz w:val="24"/>
          <w:szCs w:val="24"/>
        </w:rPr>
        <w:t>D.18-05-041 directed the PAs to, beginning with the ABALs due on September 4,</w:t>
      </w:r>
      <w:r w:rsidR="00BF7BA2">
        <w:rPr>
          <w:rFonts w:ascii="Arial" w:eastAsia="Arial" w:hAnsi="Arial" w:cs="Arial"/>
          <w:sz w:val="24"/>
          <w:szCs w:val="24"/>
        </w:rPr>
        <w:t xml:space="preserve"> </w:t>
      </w:r>
      <w:r w:rsidR="002F348B" w:rsidRPr="002F348B">
        <w:rPr>
          <w:rFonts w:ascii="Arial" w:eastAsia="Arial" w:hAnsi="Arial" w:cs="Arial"/>
          <w:sz w:val="24"/>
          <w:szCs w:val="24"/>
        </w:rPr>
        <w:t>2018, provide the following information in the ABAL submittals</w:t>
      </w:r>
      <w:r w:rsidR="00341A97">
        <w:rPr>
          <w:rStyle w:val="FootnoteReference"/>
          <w:rFonts w:ascii="Arial" w:eastAsia="Arial" w:hAnsi="Arial" w:cs="Arial"/>
          <w:sz w:val="24"/>
          <w:szCs w:val="24"/>
        </w:rPr>
        <w:footnoteReference w:id="5"/>
      </w:r>
      <w:r w:rsidR="002F348B" w:rsidRPr="002F348B">
        <w:rPr>
          <w:rFonts w:ascii="Arial" w:eastAsia="Arial" w:hAnsi="Arial" w:cs="Arial"/>
          <w:sz w:val="24"/>
          <w:szCs w:val="24"/>
        </w:rPr>
        <w:t>:</w:t>
      </w:r>
    </w:p>
    <w:p w14:paraId="23971187" w14:textId="77777777" w:rsidR="006C7276" w:rsidRPr="002F348B" w:rsidRDefault="006C7276" w:rsidP="002F348B">
      <w:pPr>
        <w:ind w:right="180"/>
        <w:rPr>
          <w:rFonts w:ascii="Arial" w:eastAsia="Arial" w:hAnsi="Arial" w:cs="Arial"/>
          <w:sz w:val="24"/>
          <w:szCs w:val="24"/>
        </w:rPr>
      </w:pPr>
    </w:p>
    <w:p w14:paraId="7588360A" w14:textId="77777777" w:rsidR="002F348B" w:rsidRDefault="002F348B" w:rsidP="002F348B">
      <w:pPr>
        <w:numPr>
          <w:ilvl w:val="0"/>
          <w:numId w:val="37"/>
        </w:numPr>
        <w:ind w:right="180"/>
        <w:rPr>
          <w:rFonts w:ascii="Arial" w:eastAsia="Arial" w:hAnsi="Arial" w:cs="Arial"/>
          <w:sz w:val="24"/>
          <w:szCs w:val="24"/>
        </w:rPr>
      </w:pPr>
      <w:r w:rsidRPr="002F348B">
        <w:rPr>
          <w:rFonts w:ascii="Arial" w:eastAsia="Arial" w:hAnsi="Arial" w:cs="Arial"/>
          <w:sz w:val="24"/>
          <w:szCs w:val="24"/>
        </w:rPr>
        <w:t>Forecasted Total Resource Cost (TRC) must meet or exceed 1.25, except during</w:t>
      </w:r>
      <w:r>
        <w:rPr>
          <w:rFonts w:ascii="Arial" w:eastAsia="Arial" w:hAnsi="Arial" w:cs="Arial"/>
          <w:sz w:val="24"/>
          <w:szCs w:val="24"/>
        </w:rPr>
        <w:t xml:space="preserve"> </w:t>
      </w:r>
      <w:r w:rsidRPr="004646D7">
        <w:rPr>
          <w:rFonts w:ascii="Arial" w:eastAsia="Arial" w:hAnsi="Arial" w:cs="Arial"/>
          <w:sz w:val="24"/>
          <w:szCs w:val="24"/>
        </w:rPr>
        <w:t>program years 2019-2022, when the forecasted TRC must meet or exceed 1.0;</w:t>
      </w:r>
    </w:p>
    <w:p w14:paraId="058E2136" w14:textId="77777777" w:rsidR="002F348B" w:rsidRDefault="002F348B" w:rsidP="002F348B">
      <w:pPr>
        <w:numPr>
          <w:ilvl w:val="0"/>
          <w:numId w:val="37"/>
        </w:numPr>
        <w:ind w:right="180"/>
        <w:rPr>
          <w:rFonts w:ascii="Arial" w:eastAsia="Arial" w:hAnsi="Arial" w:cs="Arial"/>
          <w:sz w:val="24"/>
          <w:szCs w:val="24"/>
        </w:rPr>
      </w:pPr>
      <w:r w:rsidRPr="004646D7">
        <w:rPr>
          <w:rFonts w:ascii="Arial" w:eastAsia="Arial" w:hAnsi="Arial" w:cs="Arial"/>
          <w:sz w:val="24"/>
          <w:szCs w:val="24"/>
        </w:rPr>
        <w:t>Forecasted energy savings goals must meet or exceed Commission established</w:t>
      </w:r>
      <w:r>
        <w:rPr>
          <w:rFonts w:ascii="Arial" w:eastAsia="Arial" w:hAnsi="Arial" w:cs="Arial"/>
          <w:sz w:val="24"/>
          <w:szCs w:val="24"/>
        </w:rPr>
        <w:t xml:space="preserve"> </w:t>
      </w:r>
      <w:r w:rsidRPr="004646D7">
        <w:rPr>
          <w:rFonts w:ascii="Arial" w:eastAsia="Arial" w:hAnsi="Arial" w:cs="Arial"/>
          <w:sz w:val="24"/>
          <w:szCs w:val="24"/>
        </w:rPr>
        <w:t>savings goals for each investor-owned utility (IOU);</w:t>
      </w:r>
    </w:p>
    <w:p w14:paraId="389CC698" w14:textId="77777777" w:rsidR="002F348B" w:rsidRDefault="002F348B" w:rsidP="002F348B">
      <w:pPr>
        <w:numPr>
          <w:ilvl w:val="0"/>
          <w:numId w:val="37"/>
        </w:numPr>
        <w:ind w:right="180"/>
        <w:rPr>
          <w:rFonts w:ascii="Arial" w:eastAsia="Arial" w:hAnsi="Arial" w:cs="Arial"/>
          <w:sz w:val="24"/>
          <w:szCs w:val="24"/>
        </w:rPr>
      </w:pPr>
      <w:r w:rsidRPr="004646D7">
        <w:rPr>
          <w:rFonts w:ascii="Arial" w:eastAsia="Arial" w:hAnsi="Arial" w:cs="Arial"/>
          <w:sz w:val="24"/>
          <w:szCs w:val="24"/>
        </w:rPr>
        <w:t>Forecasted budget must not exceed the PA’s annual budget in the approved</w:t>
      </w:r>
      <w:r>
        <w:rPr>
          <w:rFonts w:ascii="Arial" w:eastAsia="Arial" w:hAnsi="Arial" w:cs="Arial"/>
          <w:sz w:val="24"/>
          <w:szCs w:val="24"/>
        </w:rPr>
        <w:t xml:space="preserve"> </w:t>
      </w:r>
      <w:r w:rsidRPr="004646D7">
        <w:rPr>
          <w:rFonts w:ascii="Arial" w:eastAsia="Arial" w:hAnsi="Arial" w:cs="Arial"/>
          <w:sz w:val="24"/>
          <w:szCs w:val="24"/>
        </w:rPr>
        <w:t>business plans, or (if applicable) the revised annual budget in this ABAL;</w:t>
      </w:r>
    </w:p>
    <w:p w14:paraId="717B94F9" w14:textId="77777777" w:rsidR="002F348B" w:rsidRDefault="002F348B" w:rsidP="002F348B">
      <w:pPr>
        <w:numPr>
          <w:ilvl w:val="0"/>
          <w:numId w:val="37"/>
        </w:numPr>
        <w:ind w:right="180"/>
        <w:rPr>
          <w:rFonts w:ascii="Arial" w:eastAsia="Arial" w:hAnsi="Arial" w:cs="Arial"/>
          <w:sz w:val="24"/>
          <w:szCs w:val="24"/>
        </w:rPr>
      </w:pPr>
      <w:r w:rsidRPr="004646D7">
        <w:rPr>
          <w:rFonts w:ascii="Arial" w:eastAsia="Arial" w:hAnsi="Arial" w:cs="Arial"/>
          <w:sz w:val="24"/>
          <w:szCs w:val="24"/>
        </w:rPr>
        <w:t xml:space="preserve">Sector-level Metrics; </w:t>
      </w:r>
    </w:p>
    <w:p w14:paraId="2D0F19E8" w14:textId="77777777" w:rsidR="002F348B" w:rsidRDefault="002F348B" w:rsidP="002F348B">
      <w:pPr>
        <w:numPr>
          <w:ilvl w:val="0"/>
          <w:numId w:val="37"/>
        </w:numPr>
        <w:ind w:right="180"/>
        <w:rPr>
          <w:rFonts w:ascii="Arial" w:eastAsia="Arial" w:hAnsi="Arial" w:cs="Arial"/>
          <w:sz w:val="24"/>
          <w:szCs w:val="24"/>
        </w:rPr>
      </w:pPr>
      <w:r>
        <w:rPr>
          <w:rFonts w:ascii="Arial" w:eastAsia="Arial" w:hAnsi="Arial" w:cs="Arial"/>
          <w:sz w:val="24"/>
          <w:szCs w:val="24"/>
        </w:rPr>
        <w:t>A description of program and portfolio changes</w:t>
      </w:r>
      <w:r w:rsidR="00BF7BA2">
        <w:rPr>
          <w:rFonts w:ascii="Arial" w:eastAsia="Arial" w:hAnsi="Arial" w:cs="Arial"/>
          <w:sz w:val="24"/>
          <w:szCs w:val="24"/>
        </w:rPr>
        <w:t>; and</w:t>
      </w:r>
    </w:p>
    <w:p w14:paraId="3761A017" w14:textId="77777777" w:rsidR="00BF7BA2" w:rsidRDefault="00BF7BA2" w:rsidP="002F348B">
      <w:pPr>
        <w:numPr>
          <w:ilvl w:val="0"/>
          <w:numId w:val="37"/>
        </w:numPr>
        <w:ind w:right="180"/>
        <w:rPr>
          <w:rFonts w:ascii="Arial" w:eastAsia="Arial" w:hAnsi="Arial" w:cs="Arial"/>
          <w:sz w:val="24"/>
          <w:szCs w:val="24"/>
        </w:rPr>
      </w:pPr>
      <w:r>
        <w:rPr>
          <w:rFonts w:ascii="Arial" w:eastAsia="Arial" w:hAnsi="Arial" w:cs="Arial"/>
          <w:sz w:val="24"/>
          <w:szCs w:val="24"/>
        </w:rPr>
        <w:t>Supplemental budget information in the format of the June 12, 2017 supplemental budget filings.</w:t>
      </w:r>
    </w:p>
    <w:p w14:paraId="37475EC8" w14:textId="77777777" w:rsidR="00EE22F0" w:rsidRDefault="00EE22F0" w:rsidP="00EE22F0">
      <w:pPr>
        <w:ind w:right="180"/>
        <w:rPr>
          <w:rFonts w:ascii="Arial" w:eastAsia="Arial" w:hAnsi="Arial" w:cs="Arial"/>
          <w:sz w:val="24"/>
          <w:szCs w:val="24"/>
        </w:rPr>
      </w:pPr>
    </w:p>
    <w:p w14:paraId="480C02FC" w14:textId="77777777" w:rsidR="00EE22F0" w:rsidRPr="004646D7" w:rsidRDefault="00EE22F0" w:rsidP="00EE22F0">
      <w:pPr>
        <w:ind w:right="180"/>
        <w:rPr>
          <w:rFonts w:ascii="Arial" w:eastAsia="Arial" w:hAnsi="Arial" w:cs="Arial"/>
          <w:sz w:val="24"/>
          <w:szCs w:val="24"/>
        </w:rPr>
      </w:pPr>
      <w:r w:rsidRPr="00F76ADC">
        <w:rPr>
          <w:rFonts w:ascii="Arial" w:hAnsi="Arial" w:cs="Arial"/>
          <w:spacing w:val="-1"/>
          <w:sz w:val="24"/>
          <w:szCs w:val="24"/>
        </w:rPr>
        <w:t>On May 21, 2019,</w:t>
      </w:r>
      <w:r>
        <w:rPr>
          <w:rFonts w:ascii="Arial" w:hAnsi="Arial" w:cs="Arial"/>
          <w:spacing w:val="-1"/>
          <w:sz w:val="24"/>
          <w:szCs w:val="24"/>
        </w:rPr>
        <w:t xml:space="preserve"> the Commission</w:t>
      </w:r>
      <w:r w:rsidRPr="00F76ADC">
        <w:rPr>
          <w:rFonts w:ascii="Arial" w:hAnsi="Arial" w:cs="Arial"/>
          <w:spacing w:val="-1"/>
          <w:sz w:val="24"/>
          <w:szCs w:val="24"/>
        </w:rPr>
        <w:t xml:space="preserve"> issued D.19-05-019 adopting three new cost-effectiveness analysis framework policies for distributed energy resources.  Ordering Paragraph 2 of D.19-05-019 directed all Commission filings and submissions requiring cost-effectiveness analysis of distributed energy resources, to review and consider the results of the Program Administrator Cost (PAC) Test and the Ratepayer Impact Measure (RIM) Test.</w:t>
      </w:r>
    </w:p>
    <w:p w14:paraId="0FDB5FB5" w14:textId="77777777" w:rsidR="00EE22F0" w:rsidRDefault="00EE22F0" w:rsidP="00EE22F0">
      <w:pPr>
        <w:ind w:right="180"/>
        <w:rPr>
          <w:rFonts w:ascii="Arial" w:eastAsia="Arial" w:hAnsi="Arial" w:cs="Arial"/>
          <w:sz w:val="24"/>
          <w:szCs w:val="24"/>
        </w:rPr>
      </w:pPr>
    </w:p>
    <w:p w14:paraId="6DF35447" w14:textId="77777777" w:rsidR="00EE22F0" w:rsidRPr="00B621B9" w:rsidRDefault="00EE22F0" w:rsidP="00EE22F0">
      <w:pPr>
        <w:ind w:right="180"/>
        <w:rPr>
          <w:rFonts w:ascii="Arial" w:eastAsia="Arial" w:hAnsi="Arial" w:cs="Arial"/>
          <w:sz w:val="24"/>
          <w:szCs w:val="24"/>
        </w:rPr>
      </w:pPr>
      <w:r w:rsidRPr="00B621B9">
        <w:rPr>
          <w:rFonts w:ascii="Arial" w:eastAsia="Arial" w:hAnsi="Arial" w:cs="Arial"/>
          <w:spacing w:val="-1"/>
          <w:sz w:val="24"/>
          <w:szCs w:val="24"/>
        </w:rPr>
        <w:t xml:space="preserve">On </w:t>
      </w:r>
      <w:r w:rsidR="00BF7BA2">
        <w:rPr>
          <w:rFonts w:ascii="Arial" w:eastAsia="Arial" w:hAnsi="Arial" w:cs="Arial"/>
          <w:spacing w:val="-1"/>
          <w:sz w:val="24"/>
          <w:szCs w:val="24"/>
        </w:rPr>
        <w:t xml:space="preserve">August </w:t>
      </w:r>
      <w:r w:rsidR="0010682C" w:rsidRPr="008E7F2C">
        <w:rPr>
          <w:rFonts w:ascii="Arial" w:eastAsia="Arial" w:hAnsi="Arial" w:cs="Arial"/>
          <w:spacing w:val="-1"/>
          <w:sz w:val="24"/>
          <w:szCs w:val="24"/>
        </w:rPr>
        <w:t>23</w:t>
      </w:r>
      <w:r w:rsidRPr="007A1987">
        <w:rPr>
          <w:rFonts w:ascii="Arial" w:eastAsia="Arial" w:hAnsi="Arial" w:cs="Arial"/>
          <w:spacing w:val="-1"/>
          <w:sz w:val="24"/>
          <w:szCs w:val="24"/>
        </w:rPr>
        <w:t>, 2019</w:t>
      </w:r>
      <w:r w:rsidRPr="008E7F2C">
        <w:rPr>
          <w:rFonts w:ascii="Arial" w:eastAsia="Arial" w:hAnsi="Arial" w:cs="Arial"/>
          <w:spacing w:val="-1"/>
          <w:sz w:val="24"/>
          <w:szCs w:val="24"/>
        </w:rPr>
        <w:t>, the Commission</w:t>
      </w:r>
      <w:r w:rsidRPr="008E7F2C">
        <w:rPr>
          <w:rFonts w:ascii="Arial" w:eastAsia="Arial" w:hAnsi="Arial" w:cs="Arial"/>
          <w:spacing w:val="1"/>
          <w:sz w:val="24"/>
          <w:szCs w:val="24"/>
        </w:rPr>
        <w:t xml:space="preserve"> </w:t>
      </w:r>
      <w:r w:rsidRPr="008E7F2C">
        <w:rPr>
          <w:rFonts w:ascii="Arial" w:eastAsia="Arial" w:hAnsi="Arial" w:cs="Arial"/>
          <w:sz w:val="24"/>
          <w:szCs w:val="24"/>
        </w:rPr>
        <w:t xml:space="preserve">issued </w:t>
      </w:r>
      <w:r w:rsidR="00441BB6" w:rsidRPr="008E7F2C">
        <w:rPr>
          <w:rFonts w:ascii="Arial" w:eastAsia="Arial" w:hAnsi="Arial" w:cs="Arial"/>
          <w:sz w:val="24"/>
          <w:szCs w:val="24"/>
        </w:rPr>
        <w:t>D.</w:t>
      </w:r>
      <w:r w:rsidR="00BF7BA2" w:rsidRPr="007A1987">
        <w:rPr>
          <w:rFonts w:ascii="Arial" w:eastAsia="Arial" w:hAnsi="Arial" w:cs="Arial"/>
          <w:sz w:val="24"/>
          <w:szCs w:val="24"/>
        </w:rPr>
        <w:t>19-08-</w:t>
      </w:r>
      <w:r w:rsidR="0010682C" w:rsidRPr="007A1987">
        <w:rPr>
          <w:rFonts w:ascii="Arial" w:eastAsia="Arial" w:hAnsi="Arial" w:cs="Arial"/>
          <w:sz w:val="24"/>
          <w:szCs w:val="24"/>
        </w:rPr>
        <w:t>034</w:t>
      </w:r>
      <w:r w:rsidR="00BF7BA2">
        <w:rPr>
          <w:rFonts w:ascii="Arial" w:eastAsia="Arial" w:hAnsi="Arial" w:cs="Arial"/>
          <w:sz w:val="24"/>
          <w:szCs w:val="24"/>
        </w:rPr>
        <w:t xml:space="preserve"> which established</w:t>
      </w:r>
      <w:r>
        <w:rPr>
          <w:rFonts w:ascii="Arial" w:eastAsia="Arial" w:hAnsi="Arial" w:cs="Arial"/>
          <w:sz w:val="24"/>
          <w:szCs w:val="24"/>
        </w:rPr>
        <w:t xml:space="preserve"> </w:t>
      </w:r>
      <w:r w:rsidR="00422679">
        <w:rPr>
          <w:rFonts w:ascii="Arial" w:eastAsia="Arial" w:hAnsi="Arial" w:cs="Arial"/>
          <w:sz w:val="24"/>
          <w:szCs w:val="24"/>
        </w:rPr>
        <w:t xml:space="preserve">energy efficiency </w:t>
      </w:r>
      <w:r w:rsidR="00BF7BA2">
        <w:rPr>
          <w:rFonts w:ascii="Arial" w:eastAsia="Arial" w:hAnsi="Arial" w:cs="Arial"/>
          <w:sz w:val="24"/>
          <w:szCs w:val="24"/>
        </w:rPr>
        <w:t>savings</w:t>
      </w:r>
      <w:r w:rsidR="003A505B">
        <w:rPr>
          <w:rFonts w:ascii="Arial" w:eastAsia="Arial" w:hAnsi="Arial" w:cs="Arial"/>
          <w:sz w:val="24"/>
          <w:szCs w:val="24"/>
        </w:rPr>
        <w:t xml:space="preserve"> goals</w:t>
      </w:r>
      <w:r w:rsidR="00BF7BA2">
        <w:rPr>
          <w:rFonts w:ascii="Arial" w:eastAsia="Arial" w:hAnsi="Arial" w:cs="Arial"/>
          <w:sz w:val="24"/>
          <w:szCs w:val="24"/>
        </w:rPr>
        <w:t xml:space="preserve"> </w:t>
      </w:r>
      <w:r>
        <w:rPr>
          <w:rFonts w:ascii="Arial" w:eastAsia="Arial" w:hAnsi="Arial" w:cs="Arial"/>
          <w:sz w:val="24"/>
          <w:szCs w:val="24"/>
        </w:rPr>
        <w:t>for 2020-2030</w:t>
      </w:r>
      <w:r w:rsidR="001E1AC2">
        <w:rPr>
          <w:rFonts w:ascii="Arial" w:eastAsia="Arial" w:hAnsi="Arial" w:cs="Arial"/>
          <w:spacing w:val="-1"/>
          <w:sz w:val="24"/>
          <w:szCs w:val="24"/>
        </w:rPr>
        <w:t>.</w:t>
      </w:r>
    </w:p>
    <w:p w14:paraId="2AF52A78" w14:textId="77777777" w:rsidR="00802FCF" w:rsidRPr="00B621B9" w:rsidRDefault="00802FCF" w:rsidP="00A5362F">
      <w:pPr>
        <w:rPr>
          <w:rFonts w:ascii="Arial" w:hAnsi="Arial" w:cs="Arial"/>
          <w:sz w:val="24"/>
          <w:szCs w:val="24"/>
        </w:rPr>
      </w:pPr>
    </w:p>
    <w:p w14:paraId="1A6B0F0B" w14:textId="77777777" w:rsidR="00A856DF" w:rsidRPr="00B621B9" w:rsidRDefault="007F24AF" w:rsidP="005914B2">
      <w:pPr>
        <w:rPr>
          <w:rFonts w:ascii="Arial" w:hAnsi="Arial" w:cs="Arial"/>
          <w:sz w:val="24"/>
          <w:szCs w:val="24"/>
        </w:rPr>
      </w:pPr>
      <w:r>
        <w:rPr>
          <w:rFonts w:ascii="Arial" w:hAnsi="Arial" w:cs="Arial"/>
          <w:sz w:val="24"/>
          <w:szCs w:val="24"/>
        </w:rPr>
        <w:t xml:space="preserve">Pursuant to </w:t>
      </w:r>
      <w:r w:rsidR="00802FCF" w:rsidRPr="00B621B9">
        <w:rPr>
          <w:rFonts w:ascii="Arial" w:hAnsi="Arial" w:cs="Arial"/>
          <w:sz w:val="24"/>
          <w:szCs w:val="24"/>
        </w:rPr>
        <w:t xml:space="preserve">Energy Division </w:t>
      </w:r>
      <w:r>
        <w:rPr>
          <w:rFonts w:ascii="Arial" w:hAnsi="Arial" w:cs="Arial"/>
          <w:sz w:val="24"/>
          <w:szCs w:val="24"/>
        </w:rPr>
        <w:t>direction,</w:t>
      </w:r>
      <w:r w:rsidR="00802FCF" w:rsidRPr="00B621B9">
        <w:rPr>
          <w:rFonts w:ascii="Arial" w:hAnsi="Arial" w:cs="Arial"/>
          <w:sz w:val="24"/>
          <w:szCs w:val="24"/>
        </w:rPr>
        <w:t xml:space="preserve"> </w:t>
      </w:r>
      <w:r>
        <w:rPr>
          <w:rFonts w:ascii="Arial" w:hAnsi="Arial" w:cs="Arial"/>
          <w:sz w:val="24"/>
          <w:szCs w:val="24"/>
        </w:rPr>
        <w:t>SoCalGas also</w:t>
      </w:r>
      <w:r w:rsidR="00802FCF" w:rsidRPr="00B621B9">
        <w:rPr>
          <w:rFonts w:ascii="Arial" w:hAnsi="Arial" w:cs="Arial"/>
          <w:sz w:val="24"/>
          <w:szCs w:val="24"/>
        </w:rPr>
        <w:t xml:space="preserve"> include</w:t>
      </w:r>
      <w:r>
        <w:rPr>
          <w:rFonts w:ascii="Arial" w:hAnsi="Arial" w:cs="Arial"/>
          <w:sz w:val="24"/>
          <w:szCs w:val="24"/>
        </w:rPr>
        <w:t>s</w:t>
      </w:r>
      <w:r w:rsidR="00802FCF" w:rsidRPr="00B621B9">
        <w:rPr>
          <w:rFonts w:ascii="Arial" w:hAnsi="Arial" w:cs="Arial"/>
          <w:sz w:val="24"/>
          <w:szCs w:val="24"/>
        </w:rPr>
        <w:t xml:space="preserve"> Appendix A as part of the ABAL filing.  </w:t>
      </w:r>
      <w:r w:rsidR="005C2040" w:rsidRPr="00B621B9">
        <w:rPr>
          <w:rFonts w:ascii="Arial" w:hAnsi="Arial" w:cs="Arial"/>
          <w:sz w:val="24"/>
          <w:szCs w:val="24"/>
        </w:rPr>
        <w:t>Appendix A</w:t>
      </w:r>
      <w:r w:rsidR="004B1659" w:rsidRPr="00B621B9">
        <w:rPr>
          <w:rFonts w:ascii="Arial" w:hAnsi="Arial" w:cs="Arial"/>
          <w:sz w:val="24"/>
          <w:szCs w:val="24"/>
        </w:rPr>
        <w:t xml:space="preserve"> </w:t>
      </w:r>
      <w:r w:rsidR="00E6696E" w:rsidRPr="00B621B9">
        <w:rPr>
          <w:rFonts w:ascii="Arial" w:hAnsi="Arial" w:cs="Arial"/>
          <w:sz w:val="24"/>
          <w:szCs w:val="24"/>
        </w:rPr>
        <w:t xml:space="preserve">has </w:t>
      </w:r>
      <w:r w:rsidR="00503EEE" w:rsidRPr="00B621B9">
        <w:rPr>
          <w:rFonts w:ascii="Arial" w:hAnsi="Arial" w:cs="Arial"/>
          <w:sz w:val="24"/>
          <w:szCs w:val="24"/>
        </w:rPr>
        <w:t>been</w:t>
      </w:r>
      <w:r w:rsidR="001C410F" w:rsidRPr="00B621B9">
        <w:rPr>
          <w:rFonts w:ascii="Arial" w:hAnsi="Arial" w:cs="Arial"/>
          <w:sz w:val="24"/>
          <w:szCs w:val="24"/>
        </w:rPr>
        <w:t xml:space="preserve"> uploaded to</w:t>
      </w:r>
      <w:r w:rsidR="00436846" w:rsidRPr="00B621B9">
        <w:rPr>
          <w:rFonts w:ascii="Arial" w:hAnsi="Arial" w:cs="Arial"/>
          <w:sz w:val="24"/>
          <w:szCs w:val="24"/>
        </w:rPr>
        <w:t xml:space="preserve"> the </w:t>
      </w:r>
      <w:r w:rsidR="001C410F" w:rsidRPr="00B621B9">
        <w:rPr>
          <w:rFonts w:ascii="Arial" w:hAnsi="Arial" w:cs="Arial"/>
          <w:sz w:val="24"/>
          <w:szCs w:val="24"/>
        </w:rPr>
        <w:t>CEDARS</w:t>
      </w:r>
      <w:r w:rsidR="00436846" w:rsidRPr="00B621B9">
        <w:rPr>
          <w:rFonts w:ascii="Arial" w:hAnsi="Arial" w:cs="Arial"/>
          <w:sz w:val="24"/>
          <w:szCs w:val="24"/>
        </w:rPr>
        <w:t xml:space="preserve"> website</w:t>
      </w:r>
      <w:r w:rsidR="001C410F" w:rsidRPr="00B621B9">
        <w:rPr>
          <w:rFonts w:ascii="Arial" w:hAnsi="Arial" w:cs="Arial"/>
          <w:sz w:val="24"/>
          <w:szCs w:val="24"/>
        </w:rPr>
        <w:t xml:space="preserve"> and</w:t>
      </w:r>
      <w:r w:rsidR="004B1659" w:rsidRPr="00B621B9">
        <w:rPr>
          <w:rFonts w:ascii="Arial" w:hAnsi="Arial" w:cs="Arial"/>
          <w:sz w:val="24"/>
          <w:szCs w:val="24"/>
        </w:rPr>
        <w:t xml:space="preserve"> </w:t>
      </w:r>
      <w:r w:rsidR="00436846" w:rsidRPr="00B621B9">
        <w:rPr>
          <w:rFonts w:ascii="Arial" w:hAnsi="Arial" w:cs="Arial"/>
          <w:sz w:val="24"/>
          <w:szCs w:val="24"/>
        </w:rPr>
        <w:t xml:space="preserve">will be </w:t>
      </w:r>
      <w:r w:rsidR="004B1659" w:rsidRPr="00B621B9">
        <w:rPr>
          <w:rFonts w:ascii="Arial" w:hAnsi="Arial" w:cs="Arial"/>
          <w:sz w:val="24"/>
          <w:szCs w:val="24"/>
        </w:rPr>
        <w:t xml:space="preserve">made available on </w:t>
      </w:r>
      <w:hyperlink r:id="rId12" w:history="1">
        <w:r w:rsidR="00503EEE" w:rsidRPr="00B621B9">
          <w:rPr>
            <w:rStyle w:val="Hyperlink"/>
            <w:rFonts w:ascii="Arial" w:hAnsi="Arial" w:cs="Arial"/>
            <w:color w:val="auto"/>
            <w:sz w:val="24"/>
            <w:szCs w:val="24"/>
          </w:rPr>
          <w:t>http://www.socalgas.com/regulatory/R13-11-005.shtml</w:t>
        </w:r>
      </w:hyperlink>
      <w:r w:rsidR="004B1659" w:rsidRPr="00B621B9">
        <w:rPr>
          <w:rFonts w:ascii="Arial" w:hAnsi="Arial" w:cs="Arial"/>
          <w:sz w:val="24"/>
          <w:szCs w:val="24"/>
        </w:rPr>
        <w:t>.</w:t>
      </w:r>
      <w:r w:rsidR="00503EEE" w:rsidRPr="00B621B9">
        <w:rPr>
          <w:rFonts w:ascii="Arial" w:hAnsi="Arial" w:cs="Arial"/>
          <w:sz w:val="24"/>
          <w:szCs w:val="24"/>
        </w:rPr>
        <w:t xml:space="preserve">  </w:t>
      </w:r>
      <w:r w:rsidR="005C2040" w:rsidRPr="00B621B9">
        <w:rPr>
          <w:rFonts w:ascii="Arial" w:hAnsi="Arial" w:cs="Arial"/>
          <w:sz w:val="24"/>
          <w:szCs w:val="24"/>
        </w:rPr>
        <w:t>Appendix B</w:t>
      </w:r>
      <w:r w:rsidR="00D81649" w:rsidRPr="00B621B9">
        <w:rPr>
          <w:rFonts w:ascii="Arial" w:hAnsi="Arial" w:cs="Arial"/>
          <w:sz w:val="24"/>
          <w:szCs w:val="24"/>
        </w:rPr>
        <w:t xml:space="preserve"> </w:t>
      </w:r>
      <w:r w:rsidR="00503EEE" w:rsidRPr="00B621B9">
        <w:rPr>
          <w:rFonts w:ascii="Arial" w:hAnsi="Arial" w:cs="Arial"/>
          <w:sz w:val="24"/>
          <w:szCs w:val="24"/>
        </w:rPr>
        <w:t xml:space="preserve">of this Advice Letter provides the CEDARS Filing Confirmation which was printed from the confirmation dashboard upon confirmed completion of </w:t>
      </w:r>
      <w:r w:rsidR="0088294C" w:rsidRPr="00B621B9">
        <w:rPr>
          <w:rFonts w:ascii="Arial" w:hAnsi="Arial" w:cs="Arial"/>
          <w:sz w:val="24"/>
          <w:szCs w:val="24"/>
        </w:rPr>
        <w:t xml:space="preserve">the </w:t>
      </w:r>
      <w:r w:rsidR="00503EEE" w:rsidRPr="00B621B9">
        <w:rPr>
          <w:rFonts w:ascii="Arial" w:hAnsi="Arial" w:cs="Arial"/>
          <w:sz w:val="24"/>
          <w:szCs w:val="24"/>
        </w:rPr>
        <w:t xml:space="preserve">filing </w:t>
      </w:r>
      <w:r w:rsidR="0088294C" w:rsidRPr="00B621B9">
        <w:rPr>
          <w:rFonts w:ascii="Arial" w:hAnsi="Arial" w:cs="Arial"/>
          <w:sz w:val="24"/>
          <w:szCs w:val="24"/>
        </w:rPr>
        <w:t xml:space="preserve">through </w:t>
      </w:r>
      <w:r w:rsidR="00503EEE" w:rsidRPr="00B621B9">
        <w:rPr>
          <w:rFonts w:ascii="Arial" w:hAnsi="Arial" w:cs="Arial"/>
          <w:sz w:val="24"/>
          <w:szCs w:val="24"/>
        </w:rPr>
        <w:t xml:space="preserve">CEDARS. </w:t>
      </w:r>
    </w:p>
    <w:p w14:paraId="182CDD7C" w14:textId="77777777" w:rsidR="00A856DF" w:rsidRPr="00B621B9" w:rsidRDefault="00A856DF" w:rsidP="005914B2">
      <w:pPr>
        <w:rPr>
          <w:rFonts w:ascii="Arial" w:hAnsi="Arial" w:cs="Arial"/>
          <w:sz w:val="24"/>
          <w:szCs w:val="24"/>
        </w:rPr>
      </w:pPr>
    </w:p>
    <w:p w14:paraId="0C399246" w14:textId="77777777" w:rsidR="00151749" w:rsidRPr="00B621B9" w:rsidRDefault="00151749" w:rsidP="00151749">
      <w:pPr>
        <w:rPr>
          <w:rFonts w:ascii="Arial" w:hAnsi="Arial" w:cs="Arial"/>
          <w:b/>
          <w:sz w:val="24"/>
          <w:szCs w:val="24"/>
          <w:u w:val="single"/>
        </w:rPr>
      </w:pPr>
      <w:r w:rsidRPr="00B621B9">
        <w:rPr>
          <w:rFonts w:ascii="Arial" w:hAnsi="Arial" w:cs="Arial"/>
          <w:b/>
          <w:sz w:val="24"/>
          <w:szCs w:val="24"/>
          <w:u w:val="single"/>
        </w:rPr>
        <w:t>SoCalGas’ 20</w:t>
      </w:r>
      <w:r w:rsidR="00447F86">
        <w:rPr>
          <w:rFonts w:ascii="Arial" w:hAnsi="Arial" w:cs="Arial"/>
          <w:b/>
          <w:sz w:val="24"/>
          <w:szCs w:val="24"/>
          <w:u w:val="single"/>
        </w:rPr>
        <w:t>2</w:t>
      </w:r>
      <w:r w:rsidR="0080677A">
        <w:rPr>
          <w:rFonts w:ascii="Arial" w:hAnsi="Arial" w:cs="Arial"/>
          <w:b/>
          <w:sz w:val="24"/>
          <w:szCs w:val="24"/>
          <w:u w:val="single"/>
        </w:rPr>
        <w:t>1</w:t>
      </w:r>
      <w:r w:rsidRPr="00B621B9">
        <w:rPr>
          <w:rFonts w:ascii="Arial" w:hAnsi="Arial" w:cs="Arial"/>
          <w:b/>
          <w:sz w:val="24"/>
          <w:szCs w:val="24"/>
          <w:u w:val="single"/>
        </w:rPr>
        <w:t xml:space="preserve"> </w:t>
      </w:r>
      <w:r w:rsidR="000320B7">
        <w:rPr>
          <w:rFonts w:ascii="Arial" w:hAnsi="Arial" w:cs="Arial"/>
          <w:b/>
          <w:sz w:val="24"/>
          <w:szCs w:val="24"/>
          <w:u w:val="single"/>
        </w:rPr>
        <w:t>Budget and Savings</w:t>
      </w:r>
    </w:p>
    <w:p w14:paraId="17AD5210" w14:textId="77777777" w:rsidR="00AC1955" w:rsidRPr="00B621B9" w:rsidRDefault="00AC1955" w:rsidP="00151749">
      <w:pPr>
        <w:rPr>
          <w:rFonts w:ascii="Arial" w:hAnsi="Arial" w:cs="Arial"/>
          <w:b/>
          <w:sz w:val="24"/>
          <w:szCs w:val="24"/>
          <w:u w:val="single"/>
        </w:rPr>
      </w:pPr>
    </w:p>
    <w:p w14:paraId="6F31DFFD" w14:textId="1196E3F9" w:rsidR="00151749" w:rsidRPr="00B621B9" w:rsidRDefault="004F198A" w:rsidP="00B45350">
      <w:pPr>
        <w:spacing w:before="7" w:line="232" w:lineRule="auto"/>
        <w:ind w:right="177"/>
        <w:rPr>
          <w:rFonts w:ascii="Arial" w:hAnsi="Arial" w:cs="Arial"/>
          <w:sz w:val="24"/>
          <w:szCs w:val="24"/>
        </w:rPr>
      </w:pPr>
      <w:r w:rsidRPr="00B621B9">
        <w:rPr>
          <w:rFonts w:ascii="Arial" w:eastAsia="Arial" w:hAnsi="Arial" w:cs="Arial"/>
          <w:spacing w:val="-1"/>
          <w:sz w:val="24"/>
          <w:szCs w:val="24"/>
        </w:rPr>
        <w:t>SoCalGas’ 20</w:t>
      </w:r>
      <w:r w:rsidR="00447F86">
        <w:rPr>
          <w:rFonts w:ascii="Arial" w:eastAsia="Arial" w:hAnsi="Arial" w:cs="Arial"/>
          <w:spacing w:val="-1"/>
          <w:sz w:val="24"/>
          <w:szCs w:val="24"/>
        </w:rPr>
        <w:t>2</w:t>
      </w:r>
      <w:r w:rsidR="0080677A">
        <w:rPr>
          <w:rFonts w:ascii="Arial" w:eastAsia="Arial" w:hAnsi="Arial" w:cs="Arial"/>
          <w:spacing w:val="-1"/>
          <w:sz w:val="24"/>
          <w:szCs w:val="24"/>
        </w:rPr>
        <w:t>1</w:t>
      </w:r>
      <w:r w:rsidRPr="00B621B9">
        <w:rPr>
          <w:rFonts w:ascii="Arial" w:eastAsia="Arial" w:hAnsi="Arial" w:cs="Arial"/>
          <w:spacing w:val="-1"/>
          <w:sz w:val="24"/>
          <w:szCs w:val="24"/>
        </w:rPr>
        <w:t xml:space="preserve"> program year budget </w:t>
      </w:r>
      <w:r w:rsidRPr="00B92592">
        <w:rPr>
          <w:rFonts w:ascii="Arial" w:eastAsia="Arial" w:hAnsi="Arial" w:cs="Arial"/>
          <w:spacing w:val="-1"/>
          <w:sz w:val="24"/>
          <w:szCs w:val="24"/>
        </w:rPr>
        <w:t>is $</w:t>
      </w:r>
      <w:r w:rsidR="009C7F04" w:rsidRPr="00B92592">
        <w:rPr>
          <w:rFonts w:ascii="Arial" w:eastAsia="Arial" w:hAnsi="Arial" w:cs="Arial"/>
          <w:spacing w:val="-1"/>
          <w:sz w:val="24"/>
          <w:szCs w:val="24"/>
        </w:rPr>
        <w:t>106</w:t>
      </w:r>
      <w:r w:rsidR="0080677A" w:rsidRPr="00B92592">
        <w:rPr>
          <w:rFonts w:ascii="Arial" w:eastAsia="Arial" w:hAnsi="Arial" w:cs="Arial"/>
          <w:spacing w:val="-1"/>
          <w:sz w:val="24"/>
          <w:szCs w:val="24"/>
        </w:rPr>
        <w:t>,</w:t>
      </w:r>
      <w:r w:rsidR="009C7F04" w:rsidRPr="00B92592">
        <w:rPr>
          <w:rFonts w:ascii="Arial" w:eastAsia="Arial" w:hAnsi="Arial" w:cs="Arial"/>
          <w:spacing w:val="-1"/>
          <w:sz w:val="24"/>
          <w:szCs w:val="24"/>
        </w:rPr>
        <w:t>220</w:t>
      </w:r>
      <w:r w:rsidR="0080677A" w:rsidRPr="00B92592">
        <w:rPr>
          <w:rFonts w:ascii="Arial" w:eastAsia="Arial" w:hAnsi="Arial" w:cs="Arial"/>
          <w:spacing w:val="-1"/>
          <w:sz w:val="24"/>
          <w:szCs w:val="24"/>
        </w:rPr>
        <w:t>,</w:t>
      </w:r>
      <w:r w:rsidR="009C7F04" w:rsidRPr="00B92592">
        <w:rPr>
          <w:rFonts w:ascii="Arial" w:eastAsia="Arial" w:hAnsi="Arial" w:cs="Arial"/>
          <w:spacing w:val="-1"/>
          <w:sz w:val="24"/>
          <w:szCs w:val="24"/>
        </w:rPr>
        <w:t>000</w:t>
      </w:r>
      <w:r w:rsidR="00331857" w:rsidRPr="00B92592">
        <w:rPr>
          <w:rFonts w:ascii="Arial" w:eastAsia="Arial" w:hAnsi="Arial" w:cs="Arial"/>
          <w:spacing w:val="-1"/>
          <w:sz w:val="24"/>
          <w:szCs w:val="24"/>
        </w:rPr>
        <w:t>, consistent</w:t>
      </w:r>
      <w:r w:rsidR="00331857" w:rsidRPr="00802BBC">
        <w:rPr>
          <w:rFonts w:ascii="Arial" w:eastAsia="Arial" w:hAnsi="Arial" w:cs="Arial"/>
          <w:spacing w:val="-1"/>
          <w:sz w:val="24"/>
          <w:szCs w:val="24"/>
        </w:rPr>
        <w:t xml:space="preserve"> with D.18-05-041</w:t>
      </w:r>
      <w:r w:rsidRPr="00B621B9">
        <w:rPr>
          <w:rFonts w:ascii="Arial" w:eastAsia="Arial" w:hAnsi="Arial" w:cs="Arial"/>
          <w:spacing w:val="-1"/>
          <w:sz w:val="24"/>
          <w:szCs w:val="24"/>
        </w:rPr>
        <w:t xml:space="preserve">.  </w:t>
      </w:r>
      <w:r w:rsidRPr="00B72832">
        <w:rPr>
          <w:rFonts w:ascii="Arial" w:hAnsi="Arial" w:cs="Arial"/>
          <w:spacing w:val="-1"/>
          <w:sz w:val="24"/>
          <w:szCs w:val="24"/>
        </w:rPr>
        <w:t>T</w:t>
      </w:r>
      <w:r w:rsidR="00AC1955" w:rsidRPr="00B72832">
        <w:rPr>
          <w:rFonts w:ascii="Arial" w:hAnsi="Arial" w:cs="Arial"/>
          <w:spacing w:val="-1"/>
          <w:sz w:val="24"/>
          <w:szCs w:val="24"/>
        </w:rPr>
        <w:t>he</w:t>
      </w:r>
      <w:r w:rsidR="00AC1955" w:rsidRPr="00B72832">
        <w:rPr>
          <w:rFonts w:ascii="Arial" w:hAnsi="Arial" w:cs="Arial"/>
          <w:sz w:val="24"/>
          <w:szCs w:val="24"/>
        </w:rPr>
        <w:t xml:space="preserve"> </w:t>
      </w:r>
      <w:r w:rsidR="00AC1955" w:rsidRPr="00B72832">
        <w:rPr>
          <w:rFonts w:ascii="Arial" w:hAnsi="Arial" w:cs="Arial"/>
          <w:spacing w:val="-1"/>
          <w:sz w:val="24"/>
          <w:szCs w:val="24"/>
        </w:rPr>
        <w:t>20</w:t>
      </w:r>
      <w:r w:rsidR="00447F86" w:rsidRPr="00B72832">
        <w:rPr>
          <w:rFonts w:ascii="Arial" w:hAnsi="Arial" w:cs="Arial"/>
          <w:spacing w:val="-1"/>
          <w:sz w:val="24"/>
          <w:szCs w:val="24"/>
        </w:rPr>
        <w:t>2</w:t>
      </w:r>
      <w:r w:rsidR="0080677A" w:rsidRPr="00B72832">
        <w:rPr>
          <w:rFonts w:ascii="Arial" w:hAnsi="Arial" w:cs="Arial"/>
          <w:spacing w:val="-1"/>
          <w:sz w:val="24"/>
          <w:szCs w:val="24"/>
        </w:rPr>
        <w:t>1</w:t>
      </w:r>
      <w:r w:rsidR="00AC1955" w:rsidRPr="00B72832">
        <w:rPr>
          <w:rFonts w:ascii="Arial" w:hAnsi="Arial" w:cs="Arial"/>
          <w:sz w:val="24"/>
          <w:szCs w:val="24"/>
        </w:rPr>
        <w:t xml:space="preserve"> </w:t>
      </w:r>
      <w:r w:rsidR="00AC1955" w:rsidRPr="00B72832">
        <w:rPr>
          <w:rFonts w:ascii="Arial" w:hAnsi="Arial" w:cs="Arial"/>
          <w:spacing w:val="-1"/>
          <w:sz w:val="24"/>
          <w:szCs w:val="24"/>
        </w:rPr>
        <w:t>funding</w:t>
      </w:r>
      <w:r w:rsidR="00AC1955" w:rsidRPr="00B72832">
        <w:rPr>
          <w:rFonts w:ascii="Arial" w:hAnsi="Arial" w:cs="Arial"/>
          <w:sz w:val="24"/>
          <w:szCs w:val="24"/>
        </w:rPr>
        <w:t xml:space="preserve"> request does not include </w:t>
      </w:r>
      <w:r w:rsidR="00AC1955" w:rsidRPr="00B72832">
        <w:rPr>
          <w:rFonts w:ascii="Arial" w:hAnsi="Arial" w:cs="Arial"/>
          <w:spacing w:val="-1"/>
          <w:sz w:val="24"/>
          <w:szCs w:val="24"/>
        </w:rPr>
        <w:t>the</w:t>
      </w:r>
      <w:r w:rsidR="00AC1955" w:rsidRPr="00B72832">
        <w:rPr>
          <w:rFonts w:ascii="Arial" w:hAnsi="Arial" w:cs="Arial"/>
          <w:sz w:val="24"/>
          <w:szCs w:val="24"/>
        </w:rPr>
        <w:t xml:space="preserve"> </w:t>
      </w:r>
      <w:r w:rsidR="00AC1955" w:rsidRPr="00B72832">
        <w:rPr>
          <w:rFonts w:ascii="Arial" w:hAnsi="Arial" w:cs="Arial"/>
          <w:spacing w:val="-1"/>
          <w:sz w:val="24"/>
          <w:szCs w:val="24"/>
        </w:rPr>
        <w:t>program</w:t>
      </w:r>
      <w:r w:rsidR="00AC1955" w:rsidRPr="00B72832">
        <w:rPr>
          <w:rFonts w:ascii="Arial" w:hAnsi="Arial" w:cs="Arial"/>
          <w:sz w:val="24"/>
          <w:szCs w:val="24"/>
        </w:rPr>
        <w:t xml:space="preserve"> </w:t>
      </w:r>
      <w:r w:rsidR="00AC1955" w:rsidRPr="00B72832">
        <w:rPr>
          <w:rFonts w:ascii="Arial" w:hAnsi="Arial" w:cs="Arial"/>
          <w:spacing w:val="-1"/>
          <w:sz w:val="24"/>
          <w:szCs w:val="24"/>
        </w:rPr>
        <w:t>budget</w:t>
      </w:r>
      <w:r w:rsidR="00AC1955" w:rsidRPr="00B72832">
        <w:rPr>
          <w:rFonts w:ascii="Arial" w:hAnsi="Arial" w:cs="Arial"/>
          <w:sz w:val="24"/>
          <w:szCs w:val="24"/>
        </w:rPr>
        <w:t xml:space="preserve"> </w:t>
      </w:r>
      <w:r w:rsidR="00AC1955" w:rsidRPr="00B72832">
        <w:rPr>
          <w:rFonts w:ascii="Arial" w:hAnsi="Arial" w:cs="Arial"/>
          <w:spacing w:val="-1"/>
          <w:sz w:val="24"/>
          <w:szCs w:val="24"/>
        </w:rPr>
        <w:t>for</w:t>
      </w:r>
      <w:r w:rsidR="00AC1955" w:rsidRPr="00B72832">
        <w:rPr>
          <w:rFonts w:ascii="Arial" w:hAnsi="Arial" w:cs="Arial"/>
          <w:sz w:val="24"/>
          <w:szCs w:val="24"/>
        </w:rPr>
        <w:t xml:space="preserve"> </w:t>
      </w:r>
      <w:r w:rsidR="00AC1955" w:rsidRPr="00B72832">
        <w:rPr>
          <w:rFonts w:ascii="Arial" w:hAnsi="Arial" w:cs="Arial"/>
          <w:spacing w:val="-1"/>
          <w:sz w:val="24"/>
          <w:szCs w:val="24"/>
        </w:rPr>
        <w:t>the</w:t>
      </w:r>
      <w:r w:rsidR="00AC1955" w:rsidRPr="00B72832">
        <w:rPr>
          <w:rFonts w:ascii="Arial" w:hAnsi="Arial" w:cs="Arial"/>
          <w:spacing w:val="27"/>
          <w:sz w:val="24"/>
          <w:szCs w:val="24"/>
        </w:rPr>
        <w:t xml:space="preserve"> </w:t>
      </w:r>
      <w:r w:rsidR="00AC1955" w:rsidRPr="00B72832">
        <w:rPr>
          <w:rFonts w:ascii="Arial" w:hAnsi="Arial" w:cs="Arial"/>
          <w:spacing w:val="-1"/>
          <w:sz w:val="24"/>
          <w:szCs w:val="24"/>
        </w:rPr>
        <w:t>SoCalGas</w:t>
      </w:r>
      <w:r w:rsidR="00AC1955" w:rsidRPr="00B72832">
        <w:rPr>
          <w:rFonts w:ascii="Arial" w:hAnsi="Arial" w:cs="Arial"/>
          <w:spacing w:val="1"/>
          <w:sz w:val="24"/>
          <w:szCs w:val="24"/>
        </w:rPr>
        <w:t xml:space="preserve"> </w:t>
      </w:r>
      <w:r w:rsidR="00AC1955" w:rsidRPr="00B72832">
        <w:rPr>
          <w:rFonts w:ascii="Arial" w:hAnsi="Arial" w:cs="Arial"/>
          <w:spacing w:val="-1"/>
          <w:sz w:val="24"/>
          <w:szCs w:val="24"/>
        </w:rPr>
        <w:t>Statewide</w:t>
      </w:r>
      <w:r w:rsidR="00AC1955" w:rsidRPr="00B72832">
        <w:rPr>
          <w:rFonts w:ascii="Arial" w:hAnsi="Arial" w:cs="Arial"/>
          <w:spacing w:val="1"/>
          <w:sz w:val="24"/>
          <w:szCs w:val="24"/>
        </w:rPr>
        <w:t xml:space="preserve"> </w:t>
      </w:r>
      <w:r w:rsidR="00AC1955" w:rsidRPr="00B72832">
        <w:rPr>
          <w:rFonts w:ascii="Arial" w:hAnsi="Arial" w:cs="Arial"/>
          <w:spacing w:val="-1"/>
          <w:sz w:val="24"/>
          <w:szCs w:val="24"/>
        </w:rPr>
        <w:t>Marketing,</w:t>
      </w:r>
      <w:r w:rsidR="00AC1955" w:rsidRPr="00B72832">
        <w:rPr>
          <w:rFonts w:ascii="Arial" w:hAnsi="Arial" w:cs="Arial"/>
          <w:sz w:val="24"/>
          <w:szCs w:val="24"/>
        </w:rPr>
        <w:t xml:space="preserve"> </w:t>
      </w:r>
      <w:r w:rsidR="00AC1955" w:rsidRPr="00B72832">
        <w:rPr>
          <w:rFonts w:ascii="Arial" w:hAnsi="Arial" w:cs="Arial"/>
          <w:spacing w:val="-1"/>
          <w:sz w:val="24"/>
          <w:szCs w:val="24"/>
        </w:rPr>
        <w:t>Education</w:t>
      </w:r>
      <w:r w:rsidR="00AC1955" w:rsidRPr="00B72832">
        <w:rPr>
          <w:rFonts w:ascii="Arial" w:hAnsi="Arial" w:cs="Arial"/>
          <w:sz w:val="24"/>
          <w:szCs w:val="24"/>
        </w:rPr>
        <w:t xml:space="preserve"> &amp; </w:t>
      </w:r>
      <w:r w:rsidR="00AC1955" w:rsidRPr="00B72832">
        <w:rPr>
          <w:rFonts w:ascii="Arial" w:hAnsi="Arial" w:cs="Arial"/>
          <w:spacing w:val="-1"/>
          <w:sz w:val="24"/>
          <w:szCs w:val="24"/>
        </w:rPr>
        <w:t>Outreach</w:t>
      </w:r>
      <w:r w:rsidR="00AC1955" w:rsidRPr="00B72832">
        <w:rPr>
          <w:rFonts w:ascii="Arial" w:hAnsi="Arial" w:cs="Arial"/>
          <w:sz w:val="24"/>
          <w:szCs w:val="24"/>
        </w:rPr>
        <w:t xml:space="preserve"> </w:t>
      </w:r>
      <w:r w:rsidR="00AC1955" w:rsidRPr="00B72832">
        <w:rPr>
          <w:rFonts w:ascii="Arial" w:hAnsi="Arial" w:cs="Arial"/>
          <w:spacing w:val="-1"/>
          <w:sz w:val="24"/>
          <w:szCs w:val="24"/>
        </w:rPr>
        <w:t>(ME&amp;O)</w:t>
      </w:r>
      <w:r w:rsidR="00AC1955" w:rsidRPr="00B72832">
        <w:rPr>
          <w:rFonts w:ascii="Arial" w:hAnsi="Arial" w:cs="Arial"/>
          <w:sz w:val="24"/>
          <w:szCs w:val="24"/>
        </w:rPr>
        <w:t xml:space="preserve"> </w:t>
      </w:r>
      <w:r w:rsidR="00AC1955" w:rsidRPr="00B72832">
        <w:rPr>
          <w:rFonts w:ascii="Arial" w:hAnsi="Arial" w:cs="Arial"/>
          <w:spacing w:val="-1"/>
          <w:sz w:val="24"/>
          <w:szCs w:val="24"/>
        </w:rPr>
        <w:t>program,</w:t>
      </w:r>
      <w:r w:rsidR="00AC1955" w:rsidRPr="00B72832">
        <w:rPr>
          <w:rFonts w:ascii="Arial" w:hAnsi="Arial" w:cs="Arial"/>
          <w:sz w:val="24"/>
          <w:szCs w:val="24"/>
        </w:rPr>
        <w:t xml:space="preserve"> </w:t>
      </w:r>
      <w:r w:rsidR="00AC1955" w:rsidRPr="00B72832">
        <w:rPr>
          <w:rFonts w:ascii="Arial" w:hAnsi="Arial" w:cs="Arial"/>
          <w:spacing w:val="-1"/>
          <w:sz w:val="24"/>
          <w:szCs w:val="24"/>
        </w:rPr>
        <w:t>nor</w:t>
      </w:r>
      <w:r w:rsidR="00AC1955" w:rsidRPr="00B72832">
        <w:rPr>
          <w:rFonts w:ascii="Arial" w:hAnsi="Arial" w:cs="Arial"/>
          <w:sz w:val="24"/>
          <w:szCs w:val="24"/>
        </w:rPr>
        <w:t xml:space="preserve"> </w:t>
      </w:r>
      <w:r w:rsidR="00AC1955" w:rsidRPr="00B72832">
        <w:rPr>
          <w:rFonts w:ascii="Arial" w:hAnsi="Arial" w:cs="Arial"/>
          <w:spacing w:val="-1"/>
          <w:sz w:val="24"/>
          <w:szCs w:val="24"/>
        </w:rPr>
        <w:t>the</w:t>
      </w:r>
      <w:r w:rsidR="00AC1955" w:rsidRPr="00B72832">
        <w:rPr>
          <w:rFonts w:ascii="Arial" w:hAnsi="Arial" w:cs="Arial"/>
          <w:sz w:val="24"/>
          <w:szCs w:val="24"/>
        </w:rPr>
        <w:t xml:space="preserve"> </w:t>
      </w:r>
      <w:r w:rsidR="00AC1955" w:rsidRPr="00B72832">
        <w:rPr>
          <w:rFonts w:ascii="Arial" w:hAnsi="Arial" w:cs="Arial"/>
          <w:spacing w:val="-1"/>
          <w:sz w:val="24"/>
          <w:szCs w:val="24"/>
        </w:rPr>
        <w:t>20</w:t>
      </w:r>
      <w:r w:rsidR="00447F86" w:rsidRPr="00B72832">
        <w:rPr>
          <w:rFonts w:ascii="Arial" w:hAnsi="Arial" w:cs="Arial"/>
          <w:spacing w:val="-1"/>
          <w:sz w:val="24"/>
          <w:szCs w:val="24"/>
        </w:rPr>
        <w:t>2</w:t>
      </w:r>
      <w:r w:rsidR="0080677A" w:rsidRPr="00B72832">
        <w:rPr>
          <w:rFonts w:ascii="Arial" w:hAnsi="Arial" w:cs="Arial"/>
          <w:spacing w:val="-1"/>
          <w:sz w:val="24"/>
          <w:szCs w:val="24"/>
        </w:rPr>
        <w:t>1</w:t>
      </w:r>
      <w:r w:rsidR="00AC1955" w:rsidRPr="00B72832">
        <w:rPr>
          <w:rFonts w:ascii="Arial" w:hAnsi="Arial" w:cs="Arial"/>
          <w:spacing w:val="24"/>
          <w:sz w:val="24"/>
          <w:szCs w:val="24"/>
        </w:rPr>
        <w:t xml:space="preserve"> </w:t>
      </w:r>
      <w:r w:rsidR="00AC1955" w:rsidRPr="00B72832">
        <w:rPr>
          <w:rFonts w:ascii="Arial" w:hAnsi="Arial" w:cs="Arial"/>
          <w:sz w:val="24"/>
          <w:szCs w:val="24"/>
        </w:rPr>
        <w:t xml:space="preserve">program budget for the </w:t>
      </w:r>
      <w:r w:rsidR="00AC1955" w:rsidRPr="00B72832">
        <w:rPr>
          <w:rFonts w:ascii="Arial" w:hAnsi="Arial" w:cs="Arial"/>
          <w:spacing w:val="-1"/>
          <w:sz w:val="24"/>
          <w:szCs w:val="24"/>
        </w:rPr>
        <w:t>Statewide</w:t>
      </w:r>
      <w:r w:rsidR="00AC1955" w:rsidRPr="00B72832">
        <w:rPr>
          <w:rFonts w:ascii="Arial" w:hAnsi="Arial" w:cs="Arial"/>
          <w:sz w:val="24"/>
          <w:szCs w:val="24"/>
        </w:rPr>
        <w:t xml:space="preserve"> </w:t>
      </w:r>
      <w:r w:rsidR="00AC1955" w:rsidRPr="00B72832">
        <w:rPr>
          <w:rFonts w:ascii="Arial" w:hAnsi="Arial" w:cs="Arial"/>
          <w:spacing w:val="-1"/>
          <w:sz w:val="24"/>
          <w:szCs w:val="24"/>
        </w:rPr>
        <w:t>Financing</w:t>
      </w:r>
      <w:r w:rsidR="00AC1955" w:rsidRPr="00B72832">
        <w:rPr>
          <w:rFonts w:ascii="Arial" w:hAnsi="Arial" w:cs="Arial"/>
          <w:sz w:val="24"/>
          <w:szCs w:val="24"/>
        </w:rPr>
        <w:t xml:space="preserve"> </w:t>
      </w:r>
      <w:r w:rsidR="00AC1955" w:rsidRPr="00B72832">
        <w:rPr>
          <w:rFonts w:ascii="Arial" w:hAnsi="Arial" w:cs="Arial"/>
          <w:spacing w:val="-1"/>
          <w:sz w:val="24"/>
          <w:szCs w:val="24"/>
        </w:rPr>
        <w:t>Pilots</w:t>
      </w:r>
      <w:r w:rsidR="002D6BA8" w:rsidRPr="00B72832">
        <w:rPr>
          <w:rStyle w:val="FootnoteReference"/>
          <w:rFonts w:ascii="Arial" w:hAnsi="Arial" w:cs="Arial"/>
          <w:spacing w:val="-1"/>
          <w:sz w:val="24"/>
          <w:szCs w:val="24"/>
        </w:rPr>
        <w:footnoteReference w:id="6"/>
      </w:r>
      <w:r w:rsidR="00AC1955" w:rsidRPr="00B72832">
        <w:rPr>
          <w:rFonts w:ascii="Arial" w:hAnsi="Arial" w:cs="Arial"/>
          <w:spacing w:val="-1"/>
          <w:sz w:val="24"/>
          <w:szCs w:val="24"/>
        </w:rPr>
        <w:t>.</w:t>
      </w:r>
      <w:r w:rsidR="00AC1955" w:rsidRPr="00B72832">
        <w:rPr>
          <w:rFonts w:ascii="Arial" w:hAnsi="Arial" w:cs="Arial"/>
          <w:sz w:val="24"/>
          <w:szCs w:val="24"/>
        </w:rPr>
        <w:t xml:space="preserve"> </w:t>
      </w:r>
      <w:r w:rsidR="00AC1955" w:rsidRPr="00B72832">
        <w:rPr>
          <w:rFonts w:ascii="Arial" w:hAnsi="Arial" w:cs="Arial"/>
          <w:spacing w:val="1"/>
          <w:sz w:val="24"/>
          <w:szCs w:val="24"/>
        </w:rPr>
        <w:t xml:space="preserve"> </w:t>
      </w:r>
      <w:r w:rsidR="00AC1955" w:rsidRPr="00B72832">
        <w:rPr>
          <w:rFonts w:ascii="Arial" w:hAnsi="Arial" w:cs="Arial"/>
          <w:spacing w:val="-1"/>
          <w:sz w:val="24"/>
          <w:szCs w:val="24"/>
        </w:rPr>
        <w:t>The</w:t>
      </w:r>
      <w:r w:rsidR="00AC1955" w:rsidRPr="00B72832">
        <w:rPr>
          <w:rFonts w:ascii="Arial" w:hAnsi="Arial" w:cs="Arial"/>
          <w:sz w:val="24"/>
          <w:szCs w:val="24"/>
        </w:rPr>
        <w:t xml:space="preserve"> </w:t>
      </w:r>
      <w:r w:rsidR="00AC1955" w:rsidRPr="00B72832">
        <w:rPr>
          <w:rFonts w:ascii="Arial" w:hAnsi="Arial" w:cs="Arial"/>
          <w:spacing w:val="-1"/>
          <w:sz w:val="24"/>
          <w:szCs w:val="24"/>
        </w:rPr>
        <w:t>Southern</w:t>
      </w:r>
      <w:r w:rsidR="00AC1955" w:rsidRPr="00B72832">
        <w:rPr>
          <w:rFonts w:ascii="Arial" w:hAnsi="Arial" w:cs="Arial"/>
          <w:sz w:val="24"/>
          <w:szCs w:val="24"/>
        </w:rPr>
        <w:t xml:space="preserve"> </w:t>
      </w:r>
      <w:r w:rsidR="00AC1955" w:rsidRPr="00B72832">
        <w:rPr>
          <w:rFonts w:ascii="Arial" w:hAnsi="Arial" w:cs="Arial"/>
          <w:spacing w:val="-1"/>
          <w:sz w:val="24"/>
          <w:szCs w:val="24"/>
        </w:rPr>
        <w:t>California</w:t>
      </w:r>
      <w:r w:rsidR="00AC1955" w:rsidRPr="00B72832">
        <w:rPr>
          <w:rFonts w:ascii="Arial" w:hAnsi="Arial" w:cs="Arial"/>
          <w:sz w:val="24"/>
          <w:szCs w:val="24"/>
        </w:rPr>
        <w:t xml:space="preserve"> </w:t>
      </w:r>
      <w:r w:rsidR="00AC1955" w:rsidRPr="00B72832">
        <w:rPr>
          <w:rFonts w:ascii="Arial" w:hAnsi="Arial" w:cs="Arial"/>
          <w:spacing w:val="-1"/>
          <w:sz w:val="24"/>
          <w:szCs w:val="24"/>
        </w:rPr>
        <w:t>Regional</w:t>
      </w:r>
      <w:r w:rsidR="00AC1955" w:rsidRPr="00B72832">
        <w:rPr>
          <w:rFonts w:ascii="Arial" w:hAnsi="Arial" w:cs="Arial"/>
          <w:sz w:val="24"/>
          <w:szCs w:val="24"/>
        </w:rPr>
        <w:t xml:space="preserve"> </w:t>
      </w:r>
      <w:r w:rsidR="00AC1955" w:rsidRPr="00B72832">
        <w:rPr>
          <w:rFonts w:ascii="Arial" w:hAnsi="Arial" w:cs="Arial"/>
          <w:spacing w:val="-1"/>
          <w:sz w:val="24"/>
          <w:szCs w:val="24"/>
        </w:rPr>
        <w:t>Energy Network</w:t>
      </w:r>
      <w:r w:rsidR="00AC1955" w:rsidRPr="00B72832">
        <w:rPr>
          <w:rFonts w:ascii="Arial" w:hAnsi="Arial" w:cs="Arial"/>
          <w:sz w:val="24"/>
          <w:szCs w:val="24"/>
        </w:rPr>
        <w:t xml:space="preserve"> </w:t>
      </w:r>
      <w:r w:rsidR="00AC1955" w:rsidRPr="00B72832">
        <w:rPr>
          <w:rFonts w:ascii="Arial" w:hAnsi="Arial" w:cs="Arial"/>
          <w:spacing w:val="-1"/>
          <w:sz w:val="24"/>
          <w:szCs w:val="24"/>
        </w:rPr>
        <w:t>(SoCalREN)</w:t>
      </w:r>
      <w:r w:rsidR="00B45350" w:rsidRPr="00B72832">
        <w:rPr>
          <w:rFonts w:ascii="Arial" w:hAnsi="Arial" w:cs="Arial"/>
          <w:spacing w:val="-1"/>
          <w:sz w:val="24"/>
          <w:szCs w:val="24"/>
        </w:rPr>
        <w:t xml:space="preserve"> and Tri-County Regional Energy Network (3C-REN)</w:t>
      </w:r>
      <w:r w:rsidR="00AC1955" w:rsidRPr="00B72832">
        <w:rPr>
          <w:rFonts w:ascii="Arial" w:hAnsi="Arial" w:cs="Arial"/>
          <w:sz w:val="24"/>
          <w:szCs w:val="24"/>
        </w:rPr>
        <w:t xml:space="preserve"> </w:t>
      </w:r>
      <w:r w:rsidR="001D52E7" w:rsidRPr="00B72832">
        <w:rPr>
          <w:rFonts w:ascii="Arial" w:hAnsi="Arial" w:cs="Arial"/>
          <w:spacing w:val="-1"/>
          <w:sz w:val="24"/>
          <w:szCs w:val="24"/>
        </w:rPr>
        <w:t>are</w:t>
      </w:r>
      <w:r w:rsidR="00AC1955" w:rsidRPr="00B72832">
        <w:rPr>
          <w:rFonts w:ascii="Arial" w:hAnsi="Arial" w:cs="Arial"/>
          <w:sz w:val="24"/>
          <w:szCs w:val="24"/>
        </w:rPr>
        <w:t xml:space="preserve"> </w:t>
      </w:r>
      <w:r w:rsidR="00AC1955" w:rsidRPr="00B72832">
        <w:rPr>
          <w:rFonts w:ascii="Arial" w:hAnsi="Arial" w:cs="Arial"/>
          <w:spacing w:val="-1"/>
          <w:sz w:val="24"/>
          <w:szCs w:val="24"/>
        </w:rPr>
        <w:lastRenderedPageBreak/>
        <w:t>submitting</w:t>
      </w:r>
      <w:r w:rsidR="00AC1955" w:rsidRPr="00B72832">
        <w:rPr>
          <w:rFonts w:ascii="Arial" w:hAnsi="Arial" w:cs="Arial"/>
          <w:sz w:val="24"/>
          <w:szCs w:val="24"/>
        </w:rPr>
        <w:t xml:space="preserve"> </w:t>
      </w:r>
      <w:r w:rsidR="001D52E7" w:rsidRPr="00B72832">
        <w:rPr>
          <w:rFonts w:ascii="Arial" w:hAnsi="Arial" w:cs="Arial"/>
          <w:spacing w:val="-1"/>
          <w:sz w:val="24"/>
          <w:szCs w:val="24"/>
        </w:rPr>
        <w:t>their</w:t>
      </w:r>
      <w:r w:rsidR="00AC1955" w:rsidRPr="00B72832">
        <w:rPr>
          <w:rFonts w:ascii="Arial" w:hAnsi="Arial" w:cs="Arial"/>
          <w:sz w:val="24"/>
          <w:szCs w:val="24"/>
        </w:rPr>
        <w:t xml:space="preserve"> </w:t>
      </w:r>
      <w:r w:rsidR="00AC1955" w:rsidRPr="00B72832">
        <w:rPr>
          <w:rFonts w:ascii="Arial" w:hAnsi="Arial" w:cs="Arial"/>
          <w:spacing w:val="-1"/>
          <w:sz w:val="24"/>
          <w:szCs w:val="24"/>
        </w:rPr>
        <w:t>own</w:t>
      </w:r>
      <w:r w:rsidR="00B45350" w:rsidRPr="00B72832">
        <w:rPr>
          <w:rFonts w:ascii="Arial" w:hAnsi="Arial" w:cs="Arial"/>
          <w:spacing w:val="-1"/>
          <w:sz w:val="24"/>
          <w:szCs w:val="24"/>
        </w:rPr>
        <w:t xml:space="preserve"> </w:t>
      </w:r>
      <w:r w:rsidR="00AC1955" w:rsidRPr="00B72832">
        <w:rPr>
          <w:rFonts w:ascii="Arial" w:hAnsi="Arial" w:cs="Arial"/>
          <w:spacing w:val="-1"/>
          <w:sz w:val="24"/>
          <w:szCs w:val="24"/>
        </w:rPr>
        <w:t>Advice Letter</w:t>
      </w:r>
      <w:r w:rsidR="00AC1955" w:rsidRPr="00B72832">
        <w:rPr>
          <w:rFonts w:ascii="Arial" w:hAnsi="Arial" w:cs="Arial"/>
          <w:sz w:val="24"/>
          <w:szCs w:val="24"/>
        </w:rPr>
        <w:t xml:space="preserve"> </w:t>
      </w:r>
      <w:r w:rsidR="00AC1955" w:rsidRPr="00B72832">
        <w:rPr>
          <w:rFonts w:ascii="Arial" w:hAnsi="Arial" w:cs="Arial"/>
          <w:spacing w:val="-1"/>
          <w:sz w:val="24"/>
          <w:szCs w:val="24"/>
        </w:rPr>
        <w:t>to</w:t>
      </w:r>
      <w:r w:rsidR="00AC1955" w:rsidRPr="00B72832">
        <w:rPr>
          <w:rFonts w:ascii="Arial" w:hAnsi="Arial" w:cs="Arial"/>
          <w:sz w:val="24"/>
          <w:szCs w:val="24"/>
        </w:rPr>
        <w:t xml:space="preserve"> </w:t>
      </w:r>
      <w:r w:rsidR="00AC1955" w:rsidRPr="00B72832">
        <w:rPr>
          <w:rFonts w:ascii="Arial" w:hAnsi="Arial" w:cs="Arial"/>
          <w:spacing w:val="-1"/>
          <w:sz w:val="24"/>
          <w:szCs w:val="24"/>
        </w:rPr>
        <w:t>implement</w:t>
      </w:r>
      <w:r w:rsidR="00AC1955" w:rsidRPr="00B72832">
        <w:rPr>
          <w:rFonts w:ascii="Arial" w:hAnsi="Arial" w:cs="Arial"/>
          <w:sz w:val="24"/>
          <w:szCs w:val="24"/>
        </w:rPr>
        <w:t xml:space="preserve"> </w:t>
      </w:r>
      <w:r w:rsidR="00AC1955" w:rsidRPr="00B72832">
        <w:rPr>
          <w:rFonts w:ascii="Arial" w:hAnsi="Arial" w:cs="Arial"/>
          <w:spacing w:val="-1"/>
          <w:sz w:val="24"/>
          <w:szCs w:val="24"/>
        </w:rPr>
        <w:t>programs</w:t>
      </w:r>
      <w:r w:rsidR="00AC1955" w:rsidRPr="00B72832">
        <w:rPr>
          <w:rFonts w:ascii="Arial" w:hAnsi="Arial" w:cs="Arial"/>
          <w:sz w:val="24"/>
          <w:szCs w:val="24"/>
        </w:rPr>
        <w:t xml:space="preserve"> </w:t>
      </w:r>
      <w:r w:rsidR="00AC1955" w:rsidRPr="00B72832">
        <w:rPr>
          <w:rFonts w:ascii="Arial" w:hAnsi="Arial" w:cs="Arial"/>
          <w:spacing w:val="-1"/>
          <w:sz w:val="24"/>
          <w:szCs w:val="24"/>
        </w:rPr>
        <w:t>and</w:t>
      </w:r>
      <w:r w:rsidR="00AC1955" w:rsidRPr="00B72832">
        <w:rPr>
          <w:rFonts w:ascii="Arial" w:hAnsi="Arial" w:cs="Arial"/>
          <w:sz w:val="24"/>
          <w:szCs w:val="24"/>
        </w:rPr>
        <w:t xml:space="preserve"> </w:t>
      </w:r>
      <w:r w:rsidR="00AC1955" w:rsidRPr="00B72832">
        <w:rPr>
          <w:rFonts w:ascii="Arial" w:hAnsi="Arial" w:cs="Arial"/>
          <w:spacing w:val="-1"/>
          <w:sz w:val="24"/>
          <w:szCs w:val="24"/>
        </w:rPr>
        <w:t>associated</w:t>
      </w:r>
      <w:r w:rsidR="00AC1955" w:rsidRPr="00B72832">
        <w:rPr>
          <w:rFonts w:ascii="Arial" w:hAnsi="Arial" w:cs="Arial"/>
          <w:sz w:val="24"/>
          <w:szCs w:val="24"/>
        </w:rPr>
        <w:t xml:space="preserve"> </w:t>
      </w:r>
      <w:r w:rsidR="00AC1955" w:rsidRPr="00B72832">
        <w:rPr>
          <w:rFonts w:ascii="Arial" w:hAnsi="Arial" w:cs="Arial"/>
          <w:spacing w:val="-1"/>
          <w:sz w:val="24"/>
          <w:szCs w:val="24"/>
        </w:rPr>
        <w:t>budget</w:t>
      </w:r>
      <w:r w:rsidR="001D52E7" w:rsidRPr="00B72832">
        <w:rPr>
          <w:rFonts w:ascii="Arial" w:hAnsi="Arial" w:cs="Arial"/>
          <w:spacing w:val="-1"/>
          <w:sz w:val="24"/>
          <w:szCs w:val="24"/>
        </w:rPr>
        <w:t>s</w:t>
      </w:r>
      <w:r w:rsidR="00B45350" w:rsidRPr="00B72832">
        <w:rPr>
          <w:rFonts w:ascii="Arial" w:hAnsi="Arial" w:cs="Arial"/>
          <w:spacing w:val="-1"/>
          <w:sz w:val="24"/>
          <w:szCs w:val="24"/>
        </w:rPr>
        <w:t xml:space="preserve"> for PY 20</w:t>
      </w:r>
      <w:r w:rsidR="00447F86" w:rsidRPr="00B72832">
        <w:rPr>
          <w:rFonts w:ascii="Arial" w:hAnsi="Arial" w:cs="Arial"/>
          <w:spacing w:val="-1"/>
          <w:sz w:val="24"/>
          <w:szCs w:val="24"/>
        </w:rPr>
        <w:t>2</w:t>
      </w:r>
      <w:r w:rsidR="00EC121E" w:rsidRPr="00B72832">
        <w:rPr>
          <w:rFonts w:ascii="Arial" w:hAnsi="Arial" w:cs="Arial"/>
          <w:spacing w:val="-1"/>
          <w:sz w:val="24"/>
          <w:szCs w:val="24"/>
        </w:rPr>
        <w:t>1</w:t>
      </w:r>
      <w:r w:rsidR="00AC1955" w:rsidRPr="00B72832">
        <w:rPr>
          <w:rFonts w:ascii="Arial" w:hAnsi="Arial" w:cs="Arial"/>
          <w:spacing w:val="-1"/>
          <w:sz w:val="24"/>
          <w:szCs w:val="24"/>
        </w:rPr>
        <w:t>.</w:t>
      </w:r>
      <w:r w:rsidR="00AC1955" w:rsidRPr="00B621B9">
        <w:rPr>
          <w:rFonts w:ascii="Arial" w:hAnsi="Arial" w:cs="Arial"/>
          <w:position w:val="11"/>
          <w:sz w:val="24"/>
          <w:szCs w:val="24"/>
        </w:rPr>
        <w:t xml:space="preserve">  </w:t>
      </w:r>
      <w:r w:rsidR="006240A1" w:rsidRPr="00B621B9">
        <w:rPr>
          <w:rFonts w:ascii="Arial" w:eastAsia="Arial" w:hAnsi="Arial" w:cs="Arial"/>
          <w:spacing w:val="-1"/>
          <w:sz w:val="24"/>
          <w:szCs w:val="24"/>
        </w:rPr>
        <w:t>Table 1</w:t>
      </w:r>
      <w:r w:rsidR="006240A1" w:rsidRPr="00B621B9">
        <w:rPr>
          <w:rFonts w:ascii="Arial" w:eastAsia="Arial" w:hAnsi="Arial" w:cs="Arial"/>
          <w:sz w:val="24"/>
          <w:szCs w:val="24"/>
        </w:rPr>
        <w:t xml:space="preserve"> </w:t>
      </w:r>
      <w:r w:rsidR="006240A1" w:rsidRPr="00B621B9">
        <w:rPr>
          <w:rFonts w:ascii="Arial" w:eastAsia="Arial" w:hAnsi="Arial" w:cs="Arial"/>
          <w:spacing w:val="-1"/>
          <w:sz w:val="24"/>
          <w:szCs w:val="24"/>
        </w:rPr>
        <w:t>lists</w:t>
      </w:r>
      <w:r w:rsidR="00D65905" w:rsidRPr="00B621B9">
        <w:rPr>
          <w:rFonts w:ascii="Arial" w:eastAsia="Arial" w:hAnsi="Arial" w:cs="Arial"/>
          <w:sz w:val="24"/>
          <w:szCs w:val="24"/>
        </w:rPr>
        <w:t xml:space="preserve"> </w:t>
      </w:r>
      <w:r w:rsidR="006240A1" w:rsidRPr="00B621B9">
        <w:rPr>
          <w:rFonts w:ascii="Arial" w:eastAsia="Arial" w:hAnsi="Arial" w:cs="Arial"/>
          <w:sz w:val="24"/>
          <w:szCs w:val="24"/>
        </w:rPr>
        <w:t>SoCalGas’ 20</w:t>
      </w:r>
      <w:r w:rsidR="00447F86">
        <w:rPr>
          <w:rFonts w:ascii="Arial" w:eastAsia="Arial" w:hAnsi="Arial" w:cs="Arial"/>
          <w:sz w:val="24"/>
          <w:szCs w:val="24"/>
        </w:rPr>
        <w:t>2</w:t>
      </w:r>
      <w:r w:rsidR="00EC121E">
        <w:rPr>
          <w:rFonts w:ascii="Arial" w:eastAsia="Arial" w:hAnsi="Arial" w:cs="Arial"/>
          <w:sz w:val="24"/>
          <w:szCs w:val="24"/>
        </w:rPr>
        <w:t>1</w:t>
      </w:r>
      <w:r w:rsidR="006240A1" w:rsidRPr="00B621B9">
        <w:rPr>
          <w:rFonts w:ascii="Arial" w:eastAsia="Arial" w:hAnsi="Arial" w:cs="Arial"/>
          <w:sz w:val="24"/>
          <w:szCs w:val="24"/>
        </w:rPr>
        <w:t xml:space="preserve"> budget and the forecasted energy savings, by </w:t>
      </w:r>
      <w:r w:rsidR="001D52E7">
        <w:rPr>
          <w:rFonts w:ascii="Arial" w:eastAsia="Arial" w:hAnsi="Arial" w:cs="Arial"/>
          <w:sz w:val="24"/>
          <w:szCs w:val="24"/>
        </w:rPr>
        <w:t>sector</w:t>
      </w:r>
      <w:r w:rsidR="006240A1" w:rsidRPr="00B621B9">
        <w:rPr>
          <w:rFonts w:ascii="Arial" w:eastAsia="Arial" w:hAnsi="Arial" w:cs="Arial"/>
          <w:sz w:val="24"/>
          <w:szCs w:val="24"/>
        </w:rPr>
        <w:t>.</w:t>
      </w:r>
    </w:p>
    <w:p w14:paraId="3E8B7195" w14:textId="77777777" w:rsidR="00D335C7" w:rsidRPr="00B621B9" w:rsidRDefault="00D335C7" w:rsidP="00151749">
      <w:pPr>
        <w:rPr>
          <w:rFonts w:ascii="Arial" w:hAnsi="Arial" w:cs="Arial"/>
          <w:b/>
          <w:sz w:val="24"/>
          <w:szCs w:val="24"/>
          <w:u w:val="single"/>
        </w:rPr>
      </w:pPr>
    </w:p>
    <w:p w14:paraId="0AE970F1" w14:textId="178978E9" w:rsidR="00B82885" w:rsidRDefault="00151749" w:rsidP="00D335C7">
      <w:pPr>
        <w:spacing w:before="69"/>
        <w:jc w:val="center"/>
        <w:rPr>
          <w:rFonts w:ascii="Arial" w:hAnsi="Arial" w:cs="Arial"/>
          <w:b/>
          <w:spacing w:val="-1"/>
          <w:sz w:val="24"/>
          <w:szCs w:val="24"/>
        </w:rPr>
      </w:pPr>
      <w:r w:rsidRPr="00B621B9">
        <w:rPr>
          <w:rFonts w:ascii="Arial" w:hAnsi="Arial" w:cs="Arial"/>
          <w:b/>
          <w:spacing w:val="-1"/>
          <w:sz w:val="24"/>
          <w:szCs w:val="24"/>
        </w:rPr>
        <w:t>Table</w:t>
      </w:r>
      <w:r w:rsidRPr="00B621B9">
        <w:rPr>
          <w:rFonts w:ascii="Arial" w:hAnsi="Arial" w:cs="Arial"/>
          <w:b/>
          <w:spacing w:val="-6"/>
          <w:sz w:val="24"/>
          <w:szCs w:val="24"/>
        </w:rPr>
        <w:t xml:space="preserve"> </w:t>
      </w:r>
      <w:r w:rsidRPr="00B621B9">
        <w:rPr>
          <w:rFonts w:ascii="Arial" w:hAnsi="Arial" w:cs="Arial"/>
          <w:b/>
          <w:spacing w:val="-1"/>
          <w:sz w:val="24"/>
          <w:szCs w:val="24"/>
        </w:rPr>
        <w:t>1:</w:t>
      </w:r>
      <w:r w:rsidRPr="00B621B9">
        <w:rPr>
          <w:rFonts w:ascii="Arial" w:hAnsi="Arial" w:cs="Arial"/>
          <w:b/>
          <w:spacing w:val="62"/>
          <w:sz w:val="24"/>
          <w:szCs w:val="24"/>
        </w:rPr>
        <w:t xml:space="preserve"> </w:t>
      </w:r>
      <w:r w:rsidR="00CB1801" w:rsidRPr="00B621B9">
        <w:rPr>
          <w:rFonts w:ascii="Arial" w:hAnsi="Arial" w:cs="Arial"/>
          <w:b/>
          <w:spacing w:val="-1"/>
          <w:sz w:val="24"/>
          <w:szCs w:val="24"/>
        </w:rPr>
        <w:t>S</w:t>
      </w:r>
      <w:r w:rsidR="001D52E7">
        <w:rPr>
          <w:rFonts w:ascii="Arial" w:hAnsi="Arial" w:cs="Arial"/>
          <w:b/>
          <w:spacing w:val="-1"/>
          <w:sz w:val="24"/>
          <w:szCs w:val="24"/>
        </w:rPr>
        <w:t>o</w:t>
      </w:r>
      <w:r w:rsidR="00CB1801" w:rsidRPr="00B621B9">
        <w:rPr>
          <w:rFonts w:ascii="Arial" w:hAnsi="Arial" w:cs="Arial"/>
          <w:b/>
          <w:spacing w:val="-1"/>
          <w:sz w:val="24"/>
          <w:szCs w:val="24"/>
        </w:rPr>
        <w:t>C</w:t>
      </w:r>
      <w:r w:rsidR="001D52E7">
        <w:rPr>
          <w:rFonts w:ascii="Arial" w:hAnsi="Arial" w:cs="Arial"/>
          <w:b/>
          <w:spacing w:val="-1"/>
          <w:sz w:val="24"/>
          <w:szCs w:val="24"/>
        </w:rPr>
        <w:t>al</w:t>
      </w:r>
      <w:r w:rsidR="00CB1801" w:rsidRPr="00B621B9">
        <w:rPr>
          <w:rFonts w:ascii="Arial" w:hAnsi="Arial" w:cs="Arial"/>
          <w:b/>
          <w:spacing w:val="-1"/>
          <w:sz w:val="24"/>
          <w:szCs w:val="24"/>
        </w:rPr>
        <w:t>G</w:t>
      </w:r>
      <w:r w:rsidR="001D52E7">
        <w:rPr>
          <w:rFonts w:ascii="Arial" w:hAnsi="Arial" w:cs="Arial"/>
          <w:b/>
          <w:spacing w:val="-1"/>
          <w:sz w:val="24"/>
          <w:szCs w:val="24"/>
        </w:rPr>
        <w:t>as</w:t>
      </w:r>
      <w:r w:rsidR="00CB1801" w:rsidRPr="00B621B9">
        <w:rPr>
          <w:rFonts w:ascii="Arial" w:hAnsi="Arial" w:cs="Arial"/>
          <w:b/>
          <w:spacing w:val="-1"/>
          <w:sz w:val="24"/>
          <w:szCs w:val="24"/>
        </w:rPr>
        <w:t xml:space="preserve"> 2</w:t>
      </w:r>
      <w:r w:rsidRPr="00B621B9">
        <w:rPr>
          <w:rFonts w:ascii="Arial" w:hAnsi="Arial" w:cs="Arial"/>
          <w:b/>
          <w:spacing w:val="-1"/>
          <w:sz w:val="24"/>
          <w:szCs w:val="24"/>
        </w:rPr>
        <w:t>0</w:t>
      </w:r>
      <w:r w:rsidR="00447F86">
        <w:rPr>
          <w:rFonts w:ascii="Arial" w:hAnsi="Arial" w:cs="Arial"/>
          <w:b/>
          <w:spacing w:val="-1"/>
          <w:sz w:val="24"/>
          <w:szCs w:val="24"/>
        </w:rPr>
        <w:t>2</w:t>
      </w:r>
      <w:r w:rsidR="004A1338">
        <w:rPr>
          <w:rFonts w:ascii="Arial" w:hAnsi="Arial" w:cs="Arial"/>
          <w:b/>
          <w:spacing w:val="-1"/>
          <w:sz w:val="24"/>
          <w:szCs w:val="24"/>
        </w:rPr>
        <w:t>1</w:t>
      </w:r>
      <w:r w:rsidRPr="00B621B9">
        <w:rPr>
          <w:rFonts w:ascii="Arial" w:hAnsi="Arial" w:cs="Arial"/>
          <w:b/>
          <w:spacing w:val="-1"/>
          <w:sz w:val="24"/>
          <w:szCs w:val="24"/>
        </w:rPr>
        <w:t xml:space="preserve"> </w:t>
      </w:r>
      <w:r w:rsidR="00CB1801" w:rsidRPr="00B621B9">
        <w:rPr>
          <w:rFonts w:ascii="Arial" w:hAnsi="Arial" w:cs="Arial"/>
          <w:b/>
          <w:spacing w:val="-1"/>
          <w:sz w:val="24"/>
          <w:szCs w:val="24"/>
        </w:rPr>
        <w:t xml:space="preserve">Budget </w:t>
      </w:r>
      <w:r w:rsidR="00A462C6" w:rsidRPr="00B621B9">
        <w:rPr>
          <w:rFonts w:ascii="Arial" w:hAnsi="Arial" w:cs="Arial"/>
          <w:b/>
          <w:spacing w:val="-1"/>
          <w:sz w:val="24"/>
          <w:szCs w:val="24"/>
        </w:rPr>
        <w:t>and Savings</w:t>
      </w:r>
    </w:p>
    <w:p w14:paraId="4ECC61ED" w14:textId="77777777" w:rsidR="00D335C7" w:rsidRDefault="00D335C7">
      <w:pPr>
        <w:spacing w:before="69"/>
        <w:jc w:val="center"/>
        <w:rPr>
          <w:rFonts w:ascii="Arial" w:hAnsi="Arial" w:cs="Arial"/>
          <w:b/>
          <w:spacing w:val="-1"/>
          <w:sz w:val="24"/>
          <w:szCs w:val="24"/>
        </w:rPr>
      </w:pPr>
    </w:p>
    <w:p w14:paraId="389E72DE" w14:textId="7106E218" w:rsidR="00B64DFB" w:rsidRDefault="00D335C7" w:rsidP="005209A8">
      <w:pPr>
        <w:spacing w:before="69"/>
        <w:jc w:val="center"/>
      </w:pPr>
      <w:r w:rsidRPr="00F61009">
        <w:rPr>
          <w:noProof/>
        </w:rPr>
        <w:drawing>
          <wp:inline distT="0" distB="0" distL="0" distR="0" wp14:anchorId="301CA283" wp14:editId="69DBDF77">
            <wp:extent cx="5943600" cy="3235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235960"/>
                    </a:xfrm>
                    <a:prstGeom prst="rect">
                      <a:avLst/>
                    </a:prstGeom>
                    <a:noFill/>
                    <a:ln>
                      <a:noFill/>
                    </a:ln>
                  </pic:spPr>
                </pic:pic>
              </a:graphicData>
            </a:graphic>
          </wp:inline>
        </w:drawing>
      </w:r>
    </w:p>
    <w:p w14:paraId="4CC6D909" w14:textId="77777777" w:rsidR="001508F8" w:rsidRPr="00B621B9" w:rsidRDefault="001508F8" w:rsidP="00A459FD">
      <w:pPr>
        <w:spacing w:before="69"/>
        <w:ind w:left="-450" w:right="-450"/>
        <w:jc w:val="center"/>
        <w:rPr>
          <w:rFonts w:ascii="Arial" w:hAnsi="Arial" w:cs="Arial"/>
          <w:sz w:val="24"/>
          <w:szCs w:val="24"/>
        </w:rPr>
      </w:pPr>
    </w:p>
    <w:p w14:paraId="0381026B" w14:textId="77777777" w:rsidR="00331857" w:rsidRDefault="00331857" w:rsidP="001274BE">
      <w:pPr>
        <w:rPr>
          <w:rFonts w:ascii="Arial" w:hAnsi="Arial" w:cs="Arial"/>
          <w:sz w:val="24"/>
          <w:szCs w:val="24"/>
        </w:rPr>
      </w:pPr>
      <w:r w:rsidRPr="00F60EF2">
        <w:rPr>
          <w:rFonts w:ascii="Arial" w:hAnsi="Arial" w:cs="Arial"/>
          <w:sz w:val="24"/>
          <w:szCs w:val="24"/>
        </w:rPr>
        <w:t xml:space="preserve">SoCalGas’ allocation of </w:t>
      </w:r>
      <w:r w:rsidR="00A6568F" w:rsidRPr="00F60EF2">
        <w:rPr>
          <w:rFonts w:ascii="Arial" w:hAnsi="Arial" w:cs="Arial"/>
          <w:sz w:val="24"/>
          <w:szCs w:val="24"/>
        </w:rPr>
        <w:t>the evaluation, measurement &amp; verification (</w:t>
      </w:r>
      <w:r w:rsidRPr="00F60EF2">
        <w:rPr>
          <w:rFonts w:ascii="Arial" w:hAnsi="Arial" w:cs="Arial"/>
          <w:sz w:val="24"/>
          <w:szCs w:val="24"/>
        </w:rPr>
        <w:t>EM&amp;V</w:t>
      </w:r>
      <w:r w:rsidR="00A6568F" w:rsidRPr="00F60EF2">
        <w:rPr>
          <w:rFonts w:ascii="Arial" w:hAnsi="Arial" w:cs="Arial"/>
          <w:sz w:val="24"/>
          <w:szCs w:val="24"/>
        </w:rPr>
        <w:t>)</w:t>
      </w:r>
      <w:r w:rsidRPr="00F60EF2">
        <w:rPr>
          <w:rFonts w:ascii="Arial" w:hAnsi="Arial" w:cs="Arial"/>
          <w:sz w:val="24"/>
          <w:szCs w:val="24"/>
        </w:rPr>
        <w:t xml:space="preserve"> budget is in conformance with the direction provided in D.16-08-019,</w:t>
      </w:r>
      <w:r w:rsidRPr="00F60EF2">
        <w:rPr>
          <w:rStyle w:val="FootnoteReference"/>
          <w:rFonts w:ascii="Arial" w:hAnsi="Arial" w:cs="Arial"/>
          <w:sz w:val="24"/>
          <w:szCs w:val="24"/>
        </w:rPr>
        <w:footnoteReference w:id="7"/>
      </w:r>
      <w:r w:rsidRPr="00F60EF2">
        <w:rPr>
          <w:rFonts w:ascii="Arial" w:hAnsi="Arial" w:cs="Arial"/>
          <w:sz w:val="24"/>
          <w:szCs w:val="24"/>
        </w:rPr>
        <w:t xml:space="preserve"> which maintains EM&amp;V budget levels at 4% of the portfolio budget and funding split accessible to </w:t>
      </w:r>
      <w:r w:rsidR="00422679" w:rsidRPr="00F60EF2">
        <w:rPr>
          <w:rFonts w:ascii="Arial" w:hAnsi="Arial" w:cs="Arial"/>
          <w:sz w:val="24"/>
          <w:szCs w:val="24"/>
        </w:rPr>
        <w:t xml:space="preserve">Energy Division </w:t>
      </w:r>
      <w:r w:rsidRPr="00F60EF2">
        <w:rPr>
          <w:rFonts w:ascii="Arial" w:hAnsi="Arial" w:cs="Arial"/>
          <w:sz w:val="24"/>
          <w:szCs w:val="24"/>
        </w:rPr>
        <w:t xml:space="preserve">and </w:t>
      </w:r>
      <w:r w:rsidR="00422679" w:rsidRPr="00F60EF2">
        <w:rPr>
          <w:rFonts w:ascii="Arial" w:hAnsi="Arial" w:cs="Arial"/>
          <w:sz w:val="24"/>
          <w:szCs w:val="24"/>
        </w:rPr>
        <w:t>P</w:t>
      </w:r>
      <w:r w:rsidR="00FE26A1" w:rsidRPr="00F60EF2">
        <w:rPr>
          <w:rFonts w:ascii="Arial" w:hAnsi="Arial" w:cs="Arial"/>
          <w:sz w:val="24"/>
          <w:szCs w:val="24"/>
        </w:rPr>
        <w:t>A</w:t>
      </w:r>
      <w:r w:rsidR="00422679" w:rsidRPr="00F60EF2">
        <w:rPr>
          <w:rFonts w:ascii="Arial" w:hAnsi="Arial" w:cs="Arial"/>
          <w:sz w:val="24"/>
          <w:szCs w:val="24"/>
        </w:rPr>
        <w:t xml:space="preserve">s </w:t>
      </w:r>
      <w:r w:rsidRPr="00F60EF2">
        <w:rPr>
          <w:rFonts w:ascii="Arial" w:hAnsi="Arial" w:cs="Arial"/>
          <w:sz w:val="24"/>
          <w:szCs w:val="24"/>
        </w:rPr>
        <w:t>of 72.5%/27.5%, respectively.</w:t>
      </w:r>
    </w:p>
    <w:p w14:paraId="3A7474BD" w14:textId="77777777" w:rsidR="002C52C7" w:rsidRPr="00B621B9" w:rsidRDefault="002C52C7" w:rsidP="004B1659">
      <w:pPr>
        <w:rPr>
          <w:rFonts w:ascii="Arial" w:hAnsi="Arial" w:cs="Arial"/>
          <w:b/>
          <w:sz w:val="24"/>
          <w:szCs w:val="24"/>
          <w:u w:val="single"/>
        </w:rPr>
      </w:pPr>
    </w:p>
    <w:p w14:paraId="20AF4184" w14:textId="77777777" w:rsidR="00FC26CF" w:rsidRDefault="00FC26CF" w:rsidP="004B1659">
      <w:pPr>
        <w:rPr>
          <w:rFonts w:ascii="Arial" w:hAnsi="Arial" w:cs="Arial"/>
          <w:b/>
          <w:sz w:val="24"/>
          <w:szCs w:val="24"/>
          <w:u w:val="single"/>
        </w:rPr>
      </w:pPr>
      <w:r w:rsidRPr="00B621B9">
        <w:rPr>
          <w:rFonts w:ascii="Arial" w:hAnsi="Arial" w:cs="Arial"/>
          <w:b/>
          <w:sz w:val="24"/>
          <w:szCs w:val="24"/>
          <w:u w:val="single"/>
        </w:rPr>
        <w:t>SoCalGas Portfolio Cost-Effectiveness</w:t>
      </w:r>
    </w:p>
    <w:p w14:paraId="7E712A09" w14:textId="77777777" w:rsidR="00B82885" w:rsidRPr="00B621B9" w:rsidRDefault="00B82885" w:rsidP="004B1659">
      <w:pPr>
        <w:rPr>
          <w:rFonts w:ascii="Arial" w:hAnsi="Arial" w:cs="Arial"/>
          <w:b/>
          <w:sz w:val="24"/>
          <w:szCs w:val="24"/>
          <w:u w:val="single"/>
        </w:rPr>
      </w:pPr>
    </w:p>
    <w:p w14:paraId="5666873D" w14:textId="77777777" w:rsidR="00D60597" w:rsidRPr="005209A8" w:rsidRDefault="00D60597" w:rsidP="005209A8">
      <w:pPr>
        <w:rPr>
          <w:rFonts w:ascii="Arial" w:hAnsi="Arial" w:cs="Arial"/>
          <w:sz w:val="24"/>
          <w:szCs w:val="24"/>
        </w:rPr>
      </w:pPr>
      <w:r w:rsidRPr="005209A8">
        <w:rPr>
          <w:rFonts w:ascii="Arial" w:hAnsi="Arial" w:cs="Arial"/>
          <w:sz w:val="24"/>
          <w:szCs w:val="24"/>
        </w:rPr>
        <w:t>SoCalGas is proposing a portfolio cost-effectiveness based upon approved energy</w:t>
      </w:r>
    </w:p>
    <w:p w14:paraId="365F259F" w14:textId="77777777" w:rsidR="00D60597" w:rsidRPr="005209A8" w:rsidRDefault="00D60597" w:rsidP="005209A8">
      <w:pPr>
        <w:rPr>
          <w:rFonts w:ascii="Arial" w:hAnsi="Arial" w:cs="Arial"/>
          <w:sz w:val="24"/>
          <w:szCs w:val="24"/>
        </w:rPr>
      </w:pPr>
      <w:r w:rsidRPr="005209A8">
        <w:rPr>
          <w:rFonts w:ascii="Arial" w:hAnsi="Arial" w:cs="Arial"/>
          <w:sz w:val="24"/>
          <w:szCs w:val="24"/>
        </w:rPr>
        <w:t>savings and cost-effectiveness inputs to its program and measure mixes, as shown in Table 2 below. The portfolio cost-effectiveness may change as the Commission</w:t>
      </w:r>
    </w:p>
    <w:p w14:paraId="7B332544" w14:textId="77777777" w:rsidR="00D60597" w:rsidRPr="005209A8" w:rsidRDefault="00D60597" w:rsidP="005209A8">
      <w:pPr>
        <w:rPr>
          <w:rFonts w:ascii="Arial" w:hAnsi="Arial" w:cs="Arial"/>
          <w:sz w:val="24"/>
          <w:szCs w:val="24"/>
        </w:rPr>
      </w:pPr>
      <w:r w:rsidRPr="005209A8">
        <w:rPr>
          <w:rFonts w:ascii="Arial" w:hAnsi="Arial" w:cs="Arial"/>
          <w:sz w:val="24"/>
          <w:szCs w:val="24"/>
        </w:rPr>
        <w:t>releases measure dispositions and other key inputs which could reduce or improve</w:t>
      </w:r>
    </w:p>
    <w:p w14:paraId="7429A01B" w14:textId="77777777" w:rsidR="002C52C7" w:rsidRDefault="00D60597" w:rsidP="002C52C7">
      <w:pPr>
        <w:rPr>
          <w:rFonts w:ascii="Arial" w:hAnsi="Arial" w:cs="Arial"/>
          <w:sz w:val="24"/>
          <w:szCs w:val="24"/>
        </w:rPr>
      </w:pPr>
      <w:r w:rsidRPr="005209A8">
        <w:rPr>
          <w:rFonts w:ascii="Arial" w:hAnsi="Arial" w:cs="Arial"/>
          <w:sz w:val="24"/>
          <w:szCs w:val="24"/>
        </w:rPr>
        <w:t>portfolio savings and cost-effectiveness. SoCalGas will continue to evaluate its portfolio</w:t>
      </w:r>
      <w:r w:rsidR="008924ED" w:rsidRPr="005209A8">
        <w:rPr>
          <w:rFonts w:ascii="Arial" w:hAnsi="Arial" w:cs="Arial"/>
          <w:sz w:val="24"/>
          <w:szCs w:val="24"/>
        </w:rPr>
        <w:t xml:space="preserve"> </w:t>
      </w:r>
      <w:r w:rsidRPr="005209A8">
        <w:rPr>
          <w:rFonts w:ascii="Arial" w:hAnsi="Arial" w:cs="Arial"/>
          <w:sz w:val="24"/>
          <w:szCs w:val="24"/>
        </w:rPr>
        <w:t xml:space="preserve">as cost-effectiveness inputs change. </w:t>
      </w:r>
    </w:p>
    <w:p w14:paraId="7BF01621" w14:textId="77777777" w:rsidR="002C52C7" w:rsidRDefault="002C52C7" w:rsidP="002C52C7">
      <w:pPr>
        <w:rPr>
          <w:rFonts w:ascii="Arial" w:hAnsi="Arial" w:cs="Arial"/>
          <w:b/>
          <w:spacing w:val="-1"/>
          <w:sz w:val="24"/>
          <w:szCs w:val="24"/>
        </w:rPr>
      </w:pPr>
      <w:bookmarkStart w:id="7" w:name="_Hlk18007586"/>
    </w:p>
    <w:p w14:paraId="073C5207" w14:textId="77777777" w:rsidR="00D335C7" w:rsidRDefault="00D335C7">
      <w:pPr>
        <w:rPr>
          <w:rFonts w:ascii="Arial" w:hAnsi="Arial" w:cs="Arial"/>
          <w:b/>
          <w:spacing w:val="-1"/>
          <w:sz w:val="24"/>
          <w:szCs w:val="24"/>
        </w:rPr>
      </w:pPr>
      <w:r>
        <w:rPr>
          <w:rFonts w:ascii="Arial" w:hAnsi="Arial" w:cs="Arial"/>
          <w:b/>
          <w:spacing w:val="-1"/>
          <w:sz w:val="24"/>
          <w:szCs w:val="24"/>
        </w:rPr>
        <w:br w:type="page"/>
      </w:r>
    </w:p>
    <w:p w14:paraId="448DE69A" w14:textId="0CE80FEB" w:rsidR="00206FC6" w:rsidRPr="00A459FD" w:rsidRDefault="00206FC6" w:rsidP="002C52C7">
      <w:pPr>
        <w:jc w:val="center"/>
        <w:rPr>
          <w:rFonts w:ascii="Arial" w:hAnsi="Arial" w:cs="Arial"/>
          <w:b/>
          <w:spacing w:val="-1"/>
          <w:position w:val="8"/>
          <w:sz w:val="24"/>
          <w:szCs w:val="24"/>
        </w:rPr>
      </w:pPr>
      <w:r w:rsidRPr="00A459FD">
        <w:rPr>
          <w:rFonts w:ascii="Arial" w:hAnsi="Arial" w:cs="Arial"/>
          <w:b/>
          <w:spacing w:val="-1"/>
          <w:sz w:val="24"/>
          <w:szCs w:val="24"/>
        </w:rPr>
        <w:lastRenderedPageBreak/>
        <w:t xml:space="preserve">Table </w:t>
      </w:r>
      <w:r w:rsidR="008924ED" w:rsidRPr="00A459FD">
        <w:rPr>
          <w:rFonts w:ascii="Arial" w:hAnsi="Arial" w:cs="Arial"/>
          <w:b/>
          <w:spacing w:val="-1"/>
          <w:sz w:val="24"/>
          <w:szCs w:val="24"/>
        </w:rPr>
        <w:t>2</w:t>
      </w:r>
      <w:r w:rsidRPr="00A459FD">
        <w:rPr>
          <w:rFonts w:ascii="Arial" w:hAnsi="Arial" w:cs="Arial"/>
          <w:b/>
          <w:spacing w:val="-1"/>
          <w:sz w:val="24"/>
          <w:szCs w:val="24"/>
        </w:rPr>
        <w:t>:</w:t>
      </w:r>
      <w:r w:rsidRPr="00A459FD">
        <w:rPr>
          <w:rFonts w:ascii="Arial" w:hAnsi="Arial" w:cs="Arial"/>
          <w:b/>
          <w:spacing w:val="65"/>
          <w:sz w:val="24"/>
          <w:szCs w:val="24"/>
        </w:rPr>
        <w:t xml:space="preserve"> </w:t>
      </w:r>
      <w:r w:rsidRPr="00A459FD">
        <w:rPr>
          <w:rFonts w:ascii="Arial" w:hAnsi="Arial" w:cs="Arial"/>
          <w:b/>
          <w:spacing w:val="-1"/>
          <w:sz w:val="24"/>
          <w:szCs w:val="24"/>
        </w:rPr>
        <w:t>20</w:t>
      </w:r>
      <w:r w:rsidR="00C76CDE" w:rsidRPr="00A459FD">
        <w:rPr>
          <w:rFonts w:ascii="Arial" w:hAnsi="Arial" w:cs="Arial"/>
          <w:b/>
          <w:spacing w:val="-1"/>
          <w:sz w:val="24"/>
          <w:szCs w:val="24"/>
        </w:rPr>
        <w:t>2</w:t>
      </w:r>
      <w:r w:rsidR="00F61009" w:rsidRPr="00A459FD">
        <w:rPr>
          <w:rFonts w:ascii="Arial" w:hAnsi="Arial" w:cs="Arial"/>
          <w:b/>
          <w:spacing w:val="-1"/>
          <w:sz w:val="24"/>
          <w:szCs w:val="24"/>
        </w:rPr>
        <w:t>1</w:t>
      </w:r>
      <w:r w:rsidRPr="00A459FD">
        <w:rPr>
          <w:rFonts w:ascii="Arial" w:hAnsi="Arial" w:cs="Arial"/>
          <w:b/>
          <w:spacing w:val="-1"/>
          <w:sz w:val="24"/>
          <w:szCs w:val="24"/>
        </w:rPr>
        <w:t xml:space="preserve"> EE Portfolio Cost-Effectiveness</w:t>
      </w:r>
    </w:p>
    <w:p w14:paraId="12D46A1B" w14:textId="77777777" w:rsidR="00206FC6" w:rsidRPr="00A459FD" w:rsidRDefault="00206FC6" w:rsidP="00206FC6">
      <w:pPr>
        <w:ind w:left="139" w:right="204"/>
        <w:jc w:val="center"/>
        <w:rPr>
          <w:rFonts w:ascii="Arial" w:eastAsia="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56"/>
        <w:gridCol w:w="1006"/>
        <w:gridCol w:w="960"/>
        <w:gridCol w:w="960"/>
      </w:tblGrid>
      <w:tr w:rsidR="00206FC6" w:rsidRPr="00F61009" w14:paraId="1D59BEC0" w14:textId="77777777" w:rsidTr="00F76ADC">
        <w:trPr>
          <w:trHeight w:hRule="exact" w:val="598"/>
          <w:jc w:val="center"/>
        </w:trPr>
        <w:tc>
          <w:tcPr>
            <w:tcW w:w="3656" w:type="dxa"/>
            <w:vMerge w:val="restart"/>
          </w:tcPr>
          <w:p w14:paraId="79F73E36" w14:textId="77777777" w:rsidR="00206FC6" w:rsidRPr="00A459FD" w:rsidRDefault="00206FC6" w:rsidP="00BB6B4B">
            <w:pPr>
              <w:rPr>
                <w:rFonts w:ascii="Arial" w:hAnsi="Arial" w:cs="Arial"/>
                <w:sz w:val="24"/>
                <w:szCs w:val="24"/>
              </w:rPr>
            </w:pPr>
          </w:p>
        </w:tc>
        <w:tc>
          <w:tcPr>
            <w:tcW w:w="2926" w:type="dxa"/>
            <w:gridSpan w:val="3"/>
            <w:vAlign w:val="center"/>
          </w:tcPr>
          <w:p w14:paraId="1D1A847F" w14:textId="77777777" w:rsidR="00206FC6" w:rsidRPr="00A459FD" w:rsidRDefault="00206FC6" w:rsidP="00F76ADC">
            <w:pPr>
              <w:pStyle w:val="TableParagraph"/>
              <w:jc w:val="center"/>
              <w:rPr>
                <w:rFonts w:ascii="Arial" w:hAnsi="Arial" w:cs="Arial"/>
                <w:b/>
                <w:spacing w:val="-1"/>
                <w:sz w:val="24"/>
                <w:szCs w:val="24"/>
              </w:rPr>
            </w:pPr>
            <w:r w:rsidRPr="00A459FD">
              <w:rPr>
                <w:rFonts w:ascii="Arial" w:hAnsi="Arial" w:cs="Arial"/>
                <w:b/>
                <w:spacing w:val="-1"/>
                <w:sz w:val="24"/>
                <w:szCs w:val="24"/>
              </w:rPr>
              <w:t>Cost-Effectiveness</w:t>
            </w:r>
          </w:p>
        </w:tc>
      </w:tr>
      <w:tr w:rsidR="00206FC6" w:rsidRPr="00F61009" w14:paraId="40C1A074" w14:textId="77777777" w:rsidTr="00F76ADC">
        <w:trPr>
          <w:trHeight w:hRule="exact" w:val="344"/>
          <w:jc w:val="center"/>
        </w:trPr>
        <w:tc>
          <w:tcPr>
            <w:tcW w:w="3656" w:type="dxa"/>
            <w:vMerge/>
          </w:tcPr>
          <w:p w14:paraId="16F79196" w14:textId="77777777" w:rsidR="00206FC6" w:rsidRPr="00A459FD" w:rsidRDefault="00206FC6" w:rsidP="00BB6B4B">
            <w:pPr>
              <w:rPr>
                <w:rFonts w:ascii="Arial" w:hAnsi="Arial" w:cs="Arial"/>
                <w:sz w:val="24"/>
                <w:szCs w:val="24"/>
              </w:rPr>
            </w:pPr>
          </w:p>
        </w:tc>
        <w:tc>
          <w:tcPr>
            <w:tcW w:w="1006" w:type="dxa"/>
          </w:tcPr>
          <w:p w14:paraId="3298E60F" w14:textId="77777777" w:rsidR="00206FC6" w:rsidRPr="00A459FD" w:rsidRDefault="00206FC6" w:rsidP="00BB6B4B">
            <w:pPr>
              <w:pStyle w:val="TableParagraph"/>
              <w:spacing w:line="274" w:lineRule="exact"/>
              <w:ind w:left="233"/>
              <w:rPr>
                <w:rFonts w:ascii="Arial" w:eastAsia="Arial" w:hAnsi="Arial" w:cs="Arial"/>
                <w:sz w:val="24"/>
                <w:szCs w:val="24"/>
              </w:rPr>
            </w:pPr>
            <w:r w:rsidRPr="00A459FD">
              <w:rPr>
                <w:rFonts w:ascii="Arial" w:hAnsi="Arial" w:cs="Arial"/>
                <w:sz w:val="24"/>
                <w:szCs w:val="24"/>
              </w:rPr>
              <w:t>TRC</w:t>
            </w:r>
          </w:p>
        </w:tc>
        <w:tc>
          <w:tcPr>
            <w:tcW w:w="960" w:type="dxa"/>
          </w:tcPr>
          <w:p w14:paraId="2EBE9AA0" w14:textId="77777777" w:rsidR="00206FC6" w:rsidRPr="00A459FD" w:rsidRDefault="00206FC6" w:rsidP="00BB6B4B">
            <w:pPr>
              <w:pStyle w:val="TableParagraph"/>
              <w:spacing w:line="274" w:lineRule="exact"/>
              <w:ind w:left="210"/>
              <w:rPr>
                <w:rFonts w:ascii="Arial" w:eastAsia="Arial" w:hAnsi="Arial" w:cs="Arial"/>
                <w:sz w:val="24"/>
                <w:szCs w:val="24"/>
              </w:rPr>
            </w:pPr>
            <w:r w:rsidRPr="00A459FD">
              <w:rPr>
                <w:rFonts w:ascii="Arial" w:hAnsi="Arial" w:cs="Arial"/>
                <w:sz w:val="24"/>
                <w:szCs w:val="24"/>
              </w:rPr>
              <w:t>PAC</w:t>
            </w:r>
          </w:p>
        </w:tc>
        <w:tc>
          <w:tcPr>
            <w:tcW w:w="960" w:type="dxa"/>
          </w:tcPr>
          <w:p w14:paraId="613EC969" w14:textId="77777777" w:rsidR="00206FC6" w:rsidRPr="00A459FD" w:rsidRDefault="00206FC6" w:rsidP="00BB6B4B">
            <w:pPr>
              <w:pStyle w:val="TableParagraph"/>
              <w:spacing w:line="274" w:lineRule="exact"/>
              <w:ind w:left="210"/>
              <w:rPr>
                <w:rFonts w:ascii="Arial" w:hAnsi="Arial" w:cs="Arial"/>
                <w:sz w:val="24"/>
                <w:szCs w:val="24"/>
              </w:rPr>
            </w:pPr>
            <w:r w:rsidRPr="00A459FD">
              <w:rPr>
                <w:rFonts w:ascii="Arial" w:hAnsi="Arial" w:cs="Arial"/>
                <w:sz w:val="24"/>
                <w:szCs w:val="24"/>
              </w:rPr>
              <w:t>RIM</w:t>
            </w:r>
          </w:p>
        </w:tc>
      </w:tr>
      <w:tr w:rsidR="00206FC6" w:rsidRPr="00F61009" w14:paraId="76DA9478" w14:textId="77777777" w:rsidTr="00F76ADC">
        <w:trPr>
          <w:trHeight w:hRule="exact" w:val="328"/>
          <w:jc w:val="center"/>
        </w:trPr>
        <w:tc>
          <w:tcPr>
            <w:tcW w:w="3656" w:type="dxa"/>
          </w:tcPr>
          <w:p w14:paraId="5F355DC7" w14:textId="77777777" w:rsidR="00206FC6" w:rsidRPr="00A459FD" w:rsidRDefault="00206FC6" w:rsidP="00BB6B4B">
            <w:pPr>
              <w:pStyle w:val="TableParagraph"/>
              <w:spacing w:line="275" w:lineRule="exact"/>
              <w:ind w:left="85"/>
              <w:rPr>
                <w:rFonts w:ascii="Arial" w:eastAsia="Arial" w:hAnsi="Arial" w:cs="Arial"/>
                <w:b/>
                <w:sz w:val="24"/>
                <w:szCs w:val="24"/>
              </w:rPr>
            </w:pPr>
            <w:r w:rsidRPr="00A459FD">
              <w:rPr>
                <w:rFonts w:ascii="Arial" w:hAnsi="Arial" w:cs="Arial"/>
                <w:b/>
                <w:spacing w:val="-1"/>
                <w:sz w:val="24"/>
                <w:szCs w:val="24"/>
              </w:rPr>
              <w:t>Without Codes &amp; Standards</w:t>
            </w:r>
          </w:p>
        </w:tc>
        <w:tc>
          <w:tcPr>
            <w:tcW w:w="1006" w:type="dxa"/>
          </w:tcPr>
          <w:p w14:paraId="1D5B7AC1" w14:textId="3D2DEFCD" w:rsidR="00206FC6" w:rsidRPr="00A459FD" w:rsidRDefault="00A74BE3" w:rsidP="00BB6B4B">
            <w:pPr>
              <w:pStyle w:val="TableParagraph"/>
              <w:spacing w:line="275" w:lineRule="exact"/>
              <w:ind w:left="277"/>
              <w:rPr>
                <w:rFonts w:ascii="Arial" w:eastAsia="Arial" w:hAnsi="Arial" w:cs="Arial"/>
                <w:sz w:val="24"/>
                <w:szCs w:val="24"/>
              </w:rPr>
            </w:pPr>
            <w:r w:rsidRPr="00A459FD">
              <w:rPr>
                <w:rFonts w:ascii="Arial" w:eastAsia="Arial" w:hAnsi="Arial" w:cs="Arial"/>
                <w:sz w:val="24"/>
                <w:szCs w:val="24"/>
              </w:rPr>
              <w:t>1.</w:t>
            </w:r>
            <w:r w:rsidR="00F61009" w:rsidRPr="00A459FD">
              <w:rPr>
                <w:rFonts w:ascii="Arial" w:eastAsia="Arial" w:hAnsi="Arial" w:cs="Arial"/>
                <w:sz w:val="24"/>
                <w:szCs w:val="24"/>
              </w:rPr>
              <w:t>15</w:t>
            </w:r>
          </w:p>
        </w:tc>
        <w:tc>
          <w:tcPr>
            <w:tcW w:w="960" w:type="dxa"/>
          </w:tcPr>
          <w:p w14:paraId="59810153" w14:textId="26555308" w:rsidR="00206FC6" w:rsidRPr="00A459FD" w:rsidRDefault="00A74BE3" w:rsidP="00BB6B4B">
            <w:pPr>
              <w:pStyle w:val="TableParagraph"/>
              <w:spacing w:line="275" w:lineRule="exact"/>
              <w:ind w:left="255"/>
              <w:rPr>
                <w:rFonts w:ascii="Arial" w:eastAsia="Arial" w:hAnsi="Arial" w:cs="Arial"/>
                <w:sz w:val="24"/>
                <w:szCs w:val="24"/>
              </w:rPr>
            </w:pPr>
            <w:r w:rsidRPr="00A459FD">
              <w:rPr>
                <w:rFonts w:ascii="Arial" w:eastAsia="Arial" w:hAnsi="Arial" w:cs="Arial"/>
                <w:sz w:val="24"/>
                <w:szCs w:val="24"/>
              </w:rPr>
              <w:t>1.</w:t>
            </w:r>
            <w:r w:rsidR="00F61009" w:rsidRPr="00A459FD">
              <w:rPr>
                <w:rFonts w:ascii="Arial" w:eastAsia="Arial" w:hAnsi="Arial" w:cs="Arial"/>
                <w:sz w:val="24"/>
                <w:szCs w:val="24"/>
              </w:rPr>
              <w:t>48</w:t>
            </w:r>
          </w:p>
        </w:tc>
        <w:tc>
          <w:tcPr>
            <w:tcW w:w="960" w:type="dxa"/>
          </w:tcPr>
          <w:p w14:paraId="451CA45E" w14:textId="325F1F4A" w:rsidR="00206FC6" w:rsidRPr="00A459FD" w:rsidRDefault="00145A3B" w:rsidP="00BB6B4B">
            <w:pPr>
              <w:pStyle w:val="TableParagraph"/>
              <w:spacing w:line="275" w:lineRule="exact"/>
              <w:ind w:left="255"/>
              <w:rPr>
                <w:rFonts w:ascii="Arial" w:eastAsia="Arial" w:hAnsi="Arial" w:cs="Arial"/>
                <w:sz w:val="24"/>
                <w:szCs w:val="24"/>
              </w:rPr>
            </w:pPr>
            <w:r w:rsidRPr="00A459FD">
              <w:rPr>
                <w:rFonts w:ascii="Arial" w:eastAsia="Arial" w:hAnsi="Arial" w:cs="Arial"/>
                <w:sz w:val="24"/>
                <w:szCs w:val="24"/>
              </w:rPr>
              <w:t>1.</w:t>
            </w:r>
            <w:r w:rsidR="00F61009" w:rsidRPr="00A459FD">
              <w:rPr>
                <w:rFonts w:ascii="Arial" w:eastAsia="Arial" w:hAnsi="Arial" w:cs="Arial"/>
                <w:sz w:val="24"/>
                <w:szCs w:val="24"/>
              </w:rPr>
              <w:t>48</w:t>
            </w:r>
          </w:p>
        </w:tc>
      </w:tr>
      <w:tr w:rsidR="00206FC6" w:rsidRPr="00B621B9" w14:paraId="1006120E" w14:textId="77777777" w:rsidTr="009F7A00">
        <w:trPr>
          <w:trHeight w:hRule="exact" w:val="343"/>
          <w:jc w:val="center"/>
        </w:trPr>
        <w:tc>
          <w:tcPr>
            <w:tcW w:w="3656" w:type="dxa"/>
          </w:tcPr>
          <w:p w14:paraId="3A7EB622" w14:textId="77777777" w:rsidR="00206FC6" w:rsidRPr="00A459FD" w:rsidRDefault="00206FC6" w:rsidP="00BB6B4B">
            <w:pPr>
              <w:pStyle w:val="TableParagraph"/>
              <w:spacing w:line="275" w:lineRule="exact"/>
              <w:ind w:left="85"/>
              <w:rPr>
                <w:rFonts w:ascii="Arial" w:eastAsia="Arial" w:hAnsi="Arial" w:cs="Arial"/>
                <w:b/>
                <w:sz w:val="24"/>
                <w:szCs w:val="24"/>
              </w:rPr>
            </w:pPr>
            <w:r w:rsidRPr="00A459FD">
              <w:rPr>
                <w:rFonts w:ascii="Arial" w:hAnsi="Arial" w:cs="Arial"/>
                <w:b/>
                <w:sz w:val="24"/>
                <w:szCs w:val="24"/>
              </w:rPr>
              <w:t>With Codes &amp; Standards</w:t>
            </w:r>
          </w:p>
        </w:tc>
        <w:tc>
          <w:tcPr>
            <w:tcW w:w="1006" w:type="dxa"/>
          </w:tcPr>
          <w:p w14:paraId="2A1DF79E" w14:textId="06403B5E" w:rsidR="00206FC6" w:rsidRPr="00A459FD" w:rsidRDefault="00B64DFB" w:rsidP="00BB6B4B">
            <w:pPr>
              <w:pStyle w:val="TableParagraph"/>
              <w:spacing w:line="275" w:lineRule="exact"/>
              <w:ind w:left="277"/>
              <w:rPr>
                <w:rFonts w:ascii="Arial" w:eastAsia="Arial" w:hAnsi="Arial" w:cs="Arial"/>
                <w:sz w:val="24"/>
                <w:szCs w:val="24"/>
              </w:rPr>
            </w:pPr>
            <w:r w:rsidRPr="00A459FD">
              <w:rPr>
                <w:rFonts w:ascii="Arial" w:eastAsia="Arial" w:hAnsi="Arial" w:cs="Arial"/>
                <w:sz w:val="24"/>
                <w:szCs w:val="24"/>
              </w:rPr>
              <w:t>1.</w:t>
            </w:r>
            <w:r w:rsidR="00F61009" w:rsidRPr="00A459FD">
              <w:rPr>
                <w:rFonts w:ascii="Arial" w:eastAsia="Arial" w:hAnsi="Arial" w:cs="Arial"/>
                <w:sz w:val="24"/>
                <w:szCs w:val="24"/>
              </w:rPr>
              <w:t>63</w:t>
            </w:r>
          </w:p>
        </w:tc>
        <w:tc>
          <w:tcPr>
            <w:tcW w:w="960" w:type="dxa"/>
          </w:tcPr>
          <w:p w14:paraId="5AB123E4" w14:textId="693244AF" w:rsidR="00206FC6" w:rsidRPr="00A459FD" w:rsidRDefault="00B64DFB" w:rsidP="00BB6B4B">
            <w:pPr>
              <w:pStyle w:val="TableParagraph"/>
              <w:spacing w:line="275" w:lineRule="exact"/>
              <w:ind w:left="277"/>
              <w:rPr>
                <w:rFonts w:ascii="Arial" w:eastAsia="Arial" w:hAnsi="Arial" w:cs="Arial"/>
                <w:sz w:val="24"/>
                <w:szCs w:val="24"/>
              </w:rPr>
            </w:pPr>
            <w:r w:rsidRPr="00A459FD">
              <w:rPr>
                <w:rFonts w:ascii="Arial" w:eastAsia="Arial" w:hAnsi="Arial" w:cs="Arial"/>
                <w:sz w:val="24"/>
                <w:szCs w:val="24"/>
              </w:rPr>
              <w:t>3.</w:t>
            </w:r>
            <w:r w:rsidR="00F61009" w:rsidRPr="00A459FD">
              <w:rPr>
                <w:rFonts w:ascii="Arial" w:eastAsia="Arial" w:hAnsi="Arial" w:cs="Arial"/>
                <w:sz w:val="24"/>
                <w:szCs w:val="24"/>
              </w:rPr>
              <w:t>52</w:t>
            </w:r>
          </w:p>
        </w:tc>
        <w:tc>
          <w:tcPr>
            <w:tcW w:w="960" w:type="dxa"/>
          </w:tcPr>
          <w:p w14:paraId="58BAC435" w14:textId="4881EEFA" w:rsidR="00206FC6" w:rsidRPr="00FC6201" w:rsidRDefault="00B64DFB" w:rsidP="00BB6B4B">
            <w:pPr>
              <w:pStyle w:val="TableParagraph"/>
              <w:spacing w:line="275" w:lineRule="exact"/>
              <w:ind w:left="277"/>
              <w:rPr>
                <w:rFonts w:ascii="Arial" w:eastAsia="Arial" w:hAnsi="Arial" w:cs="Arial"/>
                <w:sz w:val="24"/>
                <w:szCs w:val="24"/>
              </w:rPr>
            </w:pPr>
            <w:r w:rsidRPr="00A459FD">
              <w:rPr>
                <w:rFonts w:ascii="Arial" w:eastAsia="Arial" w:hAnsi="Arial" w:cs="Arial"/>
                <w:sz w:val="24"/>
                <w:szCs w:val="24"/>
              </w:rPr>
              <w:t>3.</w:t>
            </w:r>
            <w:r w:rsidR="00F61009" w:rsidRPr="00A459FD">
              <w:rPr>
                <w:rFonts w:ascii="Arial" w:eastAsia="Arial" w:hAnsi="Arial" w:cs="Arial"/>
                <w:sz w:val="24"/>
                <w:szCs w:val="24"/>
              </w:rPr>
              <w:t>52</w:t>
            </w:r>
          </w:p>
        </w:tc>
      </w:tr>
    </w:tbl>
    <w:p w14:paraId="53EF4CAC" w14:textId="77777777" w:rsidR="00FC26CF" w:rsidRPr="00B621B9" w:rsidRDefault="00FC26CF" w:rsidP="00FC26CF">
      <w:pPr>
        <w:spacing w:before="11"/>
        <w:rPr>
          <w:rFonts w:ascii="Arial" w:eastAsia="Arial" w:hAnsi="Arial" w:cs="Arial"/>
          <w:b/>
          <w:bCs/>
          <w:sz w:val="24"/>
          <w:szCs w:val="24"/>
        </w:rPr>
      </w:pPr>
    </w:p>
    <w:bookmarkEnd w:id="7"/>
    <w:p w14:paraId="1E5D350F" w14:textId="77777777" w:rsidR="00FC26CF" w:rsidRDefault="00FC26CF" w:rsidP="00FC26CF">
      <w:pPr>
        <w:spacing w:before="69"/>
        <w:ind w:left="119" w:right="139"/>
        <w:rPr>
          <w:rFonts w:ascii="Arial" w:hAnsi="Arial" w:cs="Arial"/>
          <w:spacing w:val="-1"/>
          <w:sz w:val="24"/>
          <w:szCs w:val="24"/>
        </w:rPr>
      </w:pPr>
      <w:r w:rsidRPr="00B621B9">
        <w:rPr>
          <w:rFonts w:ascii="Arial" w:hAnsi="Arial" w:cs="Arial"/>
          <w:spacing w:val="-1"/>
          <w:sz w:val="24"/>
          <w:szCs w:val="24"/>
        </w:rPr>
        <w:t xml:space="preserve">The SoCalGas </w:t>
      </w:r>
      <w:r w:rsidRPr="00B621B9">
        <w:rPr>
          <w:rFonts w:ascii="Arial" w:hAnsi="Arial" w:cs="Arial"/>
          <w:sz w:val="24"/>
          <w:szCs w:val="24"/>
        </w:rPr>
        <w:t xml:space="preserve">TRC and </w:t>
      </w:r>
      <w:r w:rsidRPr="00B621B9">
        <w:rPr>
          <w:rFonts w:ascii="Arial" w:hAnsi="Arial" w:cs="Arial"/>
          <w:spacing w:val="-1"/>
          <w:sz w:val="24"/>
          <w:szCs w:val="24"/>
        </w:rPr>
        <w:t>PAC cost-</w:t>
      </w:r>
      <w:r w:rsidRPr="00B621B9">
        <w:rPr>
          <w:rFonts w:ascii="Arial" w:hAnsi="Arial" w:cs="Arial"/>
          <w:sz w:val="24"/>
          <w:szCs w:val="24"/>
        </w:rPr>
        <w:t xml:space="preserve">effectiveness results reflect the </w:t>
      </w:r>
      <w:r w:rsidRPr="00B621B9">
        <w:rPr>
          <w:rFonts w:ascii="Arial" w:hAnsi="Arial" w:cs="Arial"/>
          <w:spacing w:val="-1"/>
          <w:sz w:val="24"/>
          <w:szCs w:val="24"/>
        </w:rPr>
        <w:t>inclusion of the following inputs:</w:t>
      </w:r>
    </w:p>
    <w:p w14:paraId="78C93A5E" w14:textId="77777777" w:rsidR="00245493" w:rsidRPr="00B621B9" w:rsidRDefault="00245493" w:rsidP="00FC26CF">
      <w:pPr>
        <w:spacing w:before="69"/>
        <w:ind w:left="119" w:right="139"/>
        <w:rPr>
          <w:rFonts w:ascii="Arial" w:hAnsi="Arial" w:cs="Arial"/>
          <w:spacing w:val="-1"/>
          <w:sz w:val="24"/>
          <w:szCs w:val="24"/>
        </w:rPr>
      </w:pPr>
    </w:p>
    <w:p w14:paraId="5AD111A5" w14:textId="69A4A3DB" w:rsidR="004113EE" w:rsidRPr="007D319D" w:rsidRDefault="004113EE" w:rsidP="004113EE">
      <w:pPr>
        <w:widowControl w:val="0"/>
        <w:numPr>
          <w:ilvl w:val="0"/>
          <w:numId w:val="22"/>
        </w:numPr>
        <w:tabs>
          <w:tab w:val="left" w:pos="481"/>
        </w:tabs>
        <w:ind w:right="139" w:hanging="360"/>
        <w:rPr>
          <w:rFonts w:ascii="Arial" w:eastAsia="Arial" w:hAnsi="Arial" w:cs="Arial"/>
          <w:sz w:val="24"/>
          <w:szCs w:val="24"/>
        </w:rPr>
      </w:pPr>
      <w:r w:rsidRPr="00B621B9">
        <w:rPr>
          <w:rFonts w:ascii="Arial" w:hAnsi="Arial" w:cs="Arial"/>
          <w:spacing w:val="-1"/>
          <w:sz w:val="24"/>
          <w:szCs w:val="24"/>
        </w:rPr>
        <w:t xml:space="preserve">Uses the </w:t>
      </w:r>
      <w:r w:rsidR="0097710D">
        <w:rPr>
          <w:rFonts w:ascii="Arial" w:hAnsi="Arial" w:cs="Arial"/>
          <w:spacing w:val="-1"/>
          <w:sz w:val="24"/>
          <w:szCs w:val="24"/>
        </w:rPr>
        <w:t>updated avoided cost values for 202</w:t>
      </w:r>
      <w:r w:rsidR="00EC121E">
        <w:rPr>
          <w:rFonts w:ascii="Arial" w:hAnsi="Arial" w:cs="Arial"/>
          <w:spacing w:val="-1"/>
          <w:sz w:val="24"/>
          <w:szCs w:val="24"/>
        </w:rPr>
        <w:t>1</w:t>
      </w:r>
      <w:r w:rsidRPr="00B621B9">
        <w:rPr>
          <w:rFonts w:ascii="Arial" w:hAnsi="Arial" w:cs="Arial"/>
          <w:spacing w:val="-1"/>
          <w:sz w:val="24"/>
          <w:szCs w:val="24"/>
        </w:rPr>
        <w:t xml:space="preserve"> in </w:t>
      </w:r>
      <w:r w:rsidR="0097710D">
        <w:rPr>
          <w:rFonts w:ascii="Arial" w:hAnsi="Arial" w:cs="Arial"/>
          <w:spacing w:val="-1"/>
          <w:sz w:val="24"/>
          <w:szCs w:val="24"/>
        </w:rPr>
        <w:t>the Cost</w:t>
      </w:r>
      <w:r w:rsidR="00422679">
        <w:rPr>
          <w:rFonts w:ascii="Arial" w:hAnsi="Arial" w:cs="Arial"/>
          <w:spacing w:val="-1"/>
          <w:sz w:val="24"/>
          <w:szCs w:val="24"/>
        </w:rPr>
        <w:t>-</w:t>
      </w:r>
      <w:r w:rsidR="0097710D">
        <w:rPr>
          <w:rFonts w:ascii="Arial" w:hAnsi="Arial" w:cs="Arial"/>
          <w:spacing w:val="-1"/>
          <w:sz w:val="24"/>
          <w:szCs w:val="24"/>
        </w:rPr>
        <w:t>Effectiveness Tool (</w:t>
      </w:r>
      <w:r w:rsidRPr="00B621B9">
        <w:rPr>
          <w:rFonts w:ascii="Arial" w:hAnsi="Arial" w:cs="Arial"/>
          <w:spacing w:val="-1"/>
          <w:sz w:val="24"/>
          <w:szCs w:val="24"/>
        </w:rPr>
        <w:t>CET</w:t>
      </w:r>
      <w:r w:rsidR="0097710D">
        <w:rPr>
          <w:rFonts w:ascii="Arial" w:hAnsi="Arial" w:cs="Arial"/>
          <w:spacing w:val="-1"/>
          <w:sz w:val="24"/>
          <w:szCs w:val="24"/>
        </w:rPr>
        <w:t>),</w:t>
      </w:r>
      <w:r w:rsidRPr="00B621B9">
        <w:rPr>
          <w:rFonts w:ascii="Arial" w:hAnsi="Arial" w:cs="Arial"/>
          <w:spacing w:val="-1"/>
          <w:sz w:val="24"/>
          <w:szCs w:val="24"/>
        </w:rPr>
        <w:t xml:space="preserve"> version </w:t>
      </w:r>
      <w:r w:rsidR="00A75276">
        <w:rPr>
          <w:rFonts w:ascii="Arial" w:hAnsi="Arial" w:cs="Arial"/>
          <w:spacing w:val="-1"/>
          <w:sz w:val="24"/>
          <w:szCs w:val="24"/>
        </w:rPr>
        <w:t>ACC</w:t>
      </w:r>
      <w:r w:rsidR="000B23A4">
        <w:rPr>
          <w:rFonts w:ascii="Arial" w:hAnsi="Arial" w:cs="Arial"/>
          <w:spacing w:val="-1"/>
          <w:sz w:val="24"/>
          <w:szCs w:val="24"/>
        </w:rPr>
        <w:t>_2020_v1a</w:t>
      </w:r>
      <w:r w:rsidRPr="00B621B9">
        <w:rPr>
          <w:rFonts w:ascii="Arial" w:hAnsi="Arial" w:cs="Arial"/>
          <w:spacing w:val="-1"/>
          <w:sz w:val="24"/>
          <w:szCs w:val="24"/>
        </w:rPr>
        <w:t>,</w:t>
      </w:r>
      <w:r w:rsidRPr="00B621B9">
        <w:rPr>
          <w:rFonts w:ascii="Arial" w:hAnsi="Arial" w:cs="Arial"/>
          <w:spacing w:val="1"/>
          <w:sz w:val="24"/>
          <w:szCs w:val="24"/>
        </w:rPr>
        <w:t xml:space="preserve"> </w:t>
      </w:r>
      <w:r w:rsidR="00910DF2">
        <w:rPr>
          <w:rFonts w:ascii="Arial" w:hAnsi="Arial" w:cs="Arial"/>
          <w:spacing w:val="1"/>
          <w:sz w:val="24"/>
          <w:szCs w:val="24"/>
        </w:rPr>
        <w:t xml:space="preserve">adopted </w:t>
      </w:r>
      <w:r w:rsidR="0097710D" w:rsidRPr="00091205">
        <w:rPr>
          <w:rFonts w:ascii="Arial" w:hAnsi="Arial" w:cs="Arial"/>
          <w:spacing w:val="-1"/>
          <w:sz w:val="24"/>
          <w:szCs w:val="24"/>
        </w:rPr>
        <w:t>in Resolution</w:t>
      </w:r>
      <w:r w:rsidR="0097710D">
        <w:rPr>
          <w:rFonts w:ascii="Arial" w:hAnsi="Arial" w:cs="Arial"/>
          <w:spacing w:val="-1"/>
          <w:sz w:val="24"/>
          <w:szCs w:val="24"/>
        </w:rPr>
        <w:t xml:space="preserve"> </w:t>
      </w:r>
      <w:r w:rsidR="0097710D" w:rsidRPr="001A48F2">
        <w:rPr>
          <w:rFonts w:ascii="Arial" w:hAnsi="Arial" w:cs="Arial"/>
          <w:spacing w:val="-1"/>
          <w:sz w:val="24"/>
          <w:szCs w:val="24"/>
        </w:rPr>
        <w:t>E-</w:t>
      </w:r>
      <w:r w:rsidR="007D319D" w:rsidRPr="001A48F2">
        <w:rPr>
          <w:rFonts w:ascii="Arial" w:hAnsi="Arial" w:cs="Arial"/>
          <w:spacing w:val="-1"/>
          <w:sz w:val="24"/>
          <w:szCs w:val="24"/>
        </w:rPr>
        <w:t>50</w:t>
      </w:r>
      <w:r w:rsidR="001912D9" w:rsidRPr="001A48F2">
        <w:rPr>
          <w:rFonts w:ascii="Arial" w:hAnsi="Arial" w:cs="Arial"/>
          <w:spacing w:val="-1"/>
          <w:sz w:val="24"/>
          <w:szCs w:val="24"/>
        </w:rPr>
        <w:t>77</w:t>
      </w:r>
      <w:r w:rsidRPr="007D319D">
        <w:rPr>
          <w:rFonts w:ascii="Arial" w:hAnsi="Arial" w:cs="Arial"/>
          <w:spacing w:val="-1"/>
          <w:sz w:val="24"/>
          <w:szCs w:val="24"/>
        </w:rPr>
        <w:t>.</w:t>
      </w:r>
    </w:p>
    <w:p w14:paraId="219EDD8E" w14:textId="77777777" w:rsidR="0097710D" w:rsidRPr="00B621B9" w:rsidRDefault="0097710D" w:rsidP="004113EE">
      <w:pPr>
        <w:widowControl w:val="0"/>
        <w:numPr>
          <w:ilvl w:val="0"/>
          <w:numId w:val="22"/>
        </w:numPr>
        <w:tabs>
          <w:tab w:val="left" w:pos="481"/>
        </w:tabs>
        <w:ind w:right="139" w:hanging="360"/>
        <w:rPr>
          <w:rFonts w:ascii="Arial" w:eastAsia="Arial" w:hAnsi="Arial" w:cs="Arial"/>
          <w:sz w:val="24"/>
          <w:szCs w:val="24"/>
        </w:rPr>
      </w:pPr>
      <w:r w:rsidRPr="00015EB3">
        <w:rPr>
          <w:rFonts w:ascii="Arial" w:eastAsia="Arial" w:hAnsi="Arial" w:cs="Arial"/>
          <w:sz w:val="24"/>
          <w:szCs w:val="24"/>
        </w:rPr>
        <w:t xml:space="preserve">Excludes the 5% market effects </w:t>
      </w:r>
      <w:r w:rsidR="00477BEE" w:rsidRPr="00015EB3">
        <w:rPr>
          <w:rFonts w:ascii="Arial" w:eastAsia="Arial" w:hAnsi="Arial" w:cs="Arial"/>
          <w:sz w:val="24"/>
          <w:szCs w:val="24"/>
        </w:rPr>
        <w:t>adjustment</w:t>
      </w:r>
      <w:r w:rsidR="00CD3A0B" w:rsidRPr="00E3651C">
        <w:rPr>
          <w:rFonts w:ascii="Arial" w:eastAsia="Arial" w:hAnsi="Arial" w:cs="Arial"/>
          <w:sz w:val="24"/>
          <w:szCs w:val="24"/>
        </w:rPr>
        <w:t xml:space="preserve"> </w:t>
      </w:r>
      <w:r w:rsidR="0087478A" w:rsidRPr="00E3651C">
        <w:rPr>
          <w:rFonts w:ascii="Arial" w:eastAsia="Arial" w:hAnsi="Arial" w:cs="Arial"/>
          <w:sz w:val="24"/>
          <w:szCs w:val="24"/>
        </w:rPr>
        <w:t xml:space="preserve">from </w:t>
      </w:r>
      <w:r w:rsidR="00422679">
        <w:rPr>
          <w:rFonts w:ascii="Arial" w:eastAsia="Arial" w:hAnsi="Arial" w:cs="Arial"/>
          <w:sz w:val="24"/>
          <w:szCs w:val="24"/>
        </w:rPr>
        <w:t>PA</w:t>
      </w:r>
      <w:r w:rsidR="0087478A">
        <w:rPr>
          <w:rFonts w:ascii="Arial" w:eastAsia="Arial" w:hAnsi="Arial" w:cs="Arial"/>
          <w:sz w:val="24"/>
          <w:szCs w:val="24"/>
        </w:rPr>
        <w:t xml:space="preserve"> forecasts</w:t>
      </w:r>
      <w:r w:rsidR="00422679">
        <w:rPr>
          <w:rFonts w:ascii="Arial" w:eastAsia="Arial" w:hAnsi="Arial" w:cs="Arial"/>
          <w:sz w:val="24"/>
          <w:szCs w:val="24"/>
        </w:rPr>
        <w:t>,</w:t>
      </w:r>
      <w:r w:rsidR="0087478A">
        <w:rPr>
          <w:rFonts w:ascii="Arial" w:eastAsia="Arial" w:hAnsi="Arial" w:cs="Arial"/>
          <w:sz w:val="24"/>
          <w:szCs w:val="24"/>
        </w:rPr>
        <w:t xml:space="preserve"> </w:t>
      </w:r>
      <w:r w:rsidR="00A10AC4">
        <w:rPr>
          <w:rFonts w:ascii="Arial" w:eastAsia="Arial" w:hAnsi="Arial" w:cs="Arial"/>
          <w:sz w:val="24"/>
          <w:szCs w:val="24"/>
        </w:rPr>
        <w:t>as required in</w:t>
      </w:r>
      <w:r w:rsidR="00CD3A0B">
        <w:rPr>
          <w:rFonts w:ascii="Arial" w:eastAsia="Arial" w:hAnsi="Arial" w:cs="Arial"/>
          <w:sz w:val="24"/>
          <w:szCs w:val="24"/>
        </w:rPr>
        <w:t xml:space="preserve"> </w:t>
      </w:r>
      <w:r w:rsidR="00A10AC4" w:rsidRPr="008E7F2C">
        <w:rPr>
          <w:rFonts w:ascii="Arial" w:eastAsia="Arial" w:hAnsi="Arial" w:cs="Arial"/>
          <w:sz w:val="24"/>
          <w:szCs w:val="24"/>
        </w:rPr>
        <w:t>D.19-</w:t>
      </w:r>
      <w:r w:rsidR="00A6568F" w:rsidRPr="007A1987">
        <w:rPr>
          <w:rFonts w:ascii="Arial" w:eastAsia="Arial" w:hAnsi="Arial" w:cs="Arial"/>
          <w:sz w:val="24"/>
          <w:szCs w:val="24"/>
        </w:rPr>
        <w:t>08</w:t>
      </w:r>
      <w:r w:rsidR="00A10AC4" w:rsidRPr="007A1987">
        <w:rPr>
          <w:rFonts w:ascii="Arial" w:eastAsia="Arial" w:hAnsi="Arial" w:cs="Arial"/>
          <w:sz w:val="24"/>
          <w:szCs w:val="24"/>
        </w:rPr>
        <w:t>-</w:t>
      </w:r>
      <w:r w:rsidR="0010682C" w:rsidRPr="007A1987">
        <w:rPr>
          <w:rFonts w:ascii="Arial" w:eastAsia="Arial" w:hAnsi="Arial" w:cs="Arial"/>
          <w:sz w:val="24"/>
          <w:szCs w:val="24"/>
        </w:rPr>
        <w:t>034</w:t>
      </w:r>
      <w:r w:rsidR="00CD3A0B" w:rsidRPr="008E7F2C">
        <w:rPr>
          <w:rFonts w:ascii="Arial" w:eastAsia="Arial" w:hAnsi="Arial" w:cs="Arial"/>
          <w:sz w:val="24"/>
          <w:szCs w:val="24"/>
        </w:rPr>
        <w:t>.</w:t>
      </w:r>
      <w:r w:rsidR="00CD3A0B" w:rsidRPr="008E7F2C">
        <w:rPr>
          <w:rStyle w:val="FootnoteReference"/>
          <w:rFonts w:ascii="Arial" w:eastAsia="Arial" w:hAnsi="Arial" w:cs="Arial"/>
          <w:sz w:val="24"/>
          <w:szCs w:val="24"/>
        </w:rPr>
        <w:footnoteReference w:id="8"/>
      </w:r>
    </w:p>
    <w:p w14:paraId="66A658AA" w14:textId="69B28F8A" w:rsidR="00477BEE" w:rsidRPr="0005171F" w:rsidRDefault="00A10AC4" w:rsidP="000C6954">
      <w:pPr>
        <w:widowControl w:val="0"/>
        <w:numPr>
          <w:ilvl w:val="0"/>
          <w:numId w:val="22"/>
        </w:numPr>
        <w:tabs>
          <w:tab w:val="left" w:pos="481"/>
        </w:tabs>
        <w:spacing w:before="18" w:line="278" w:lineRule="exact"/>
        <w:ind w:right="1009" w:hanging="360"/>
        <w:rPr>
          <w:rFonts w:ascii="Arial" w:eastAsia="Arial" w:hAnsi="Arial" w:cs="Arial"/>
          <w:sz w:val="24"/>
          <w:szCs w:val="24"/>
        </w:rPr>
      </w:pPr>
      <w:r w:rsidRPr="0005171F">
        <w:rPr>
          <w:rFonts w:ascii="Arial" w:eastAsia="Arial" w:hAnsi="Arial" w:cs="Arial"/>
          <w:sz w:val="24"/>
          <w:szCs w:val="24"/>
        </w:rPr>
        <w:t>Uses</w:t>
      </w:r>
      <w:r w:rsidR="000C6954" w:rsidRPr="0005171F">
        <w:rPr>
          <w:rFonts w:ascii="Arial" w:eastAsia="Arial" w:hAnsi="Arial" w:cs="Arial"/>
          <w:sz w:val="24"/>
          <w:szCs w:val="24"/>
        </w:rPr>
        <w:t xml:space="preserve"> approved workpaper values based on the July 1</w:t>
      </w:r>
      <w:r w:rsidR="0005171F" w:rsidRPr="0005171F">
        <w:rPr>
          <w:rFonts w:ascii="Arial" w:eastAsia="Arial" w:hAnsi="Arial" w:cs="Arial"/>
          <w:sz w:val="24"/>
          <w:szCs w:val="24"/>
        </w:rPr>
        <w:t>5</w:t>
      </w:r>
      <w:r w:rsidR="000C6954" w:rsidRPr="0005171F">
        <w:rPr>
          <w:rFonts w:ascii="Arial" w:eastAsia="Arial" w:hAnsi="Arial" w:cs="Arial"/>
          <w:sz w:val="24"/>
          <w:szCs w:val="24"/>
        </w:rPr>
        <w:t>, 20</w:t>
      </w:r>
      <w:r w:rsidR="0005171F" w:rsidRPr="0005171F">
        <w:rPr>
          <w:rFonts w:ascii="Arial" w:eastAsia="Arial" w:hAnsi="Arial" w:cs="Arial"/>
          <w:sz w:val="24"/>
          <w:szCs w:val="24"/>
        </w:rPr>
        <w:t>20</w:t>
      </w:r>
      <w:r w:rsidR="000C6954" w:rsidRPr="0005171F">
        <w:rPr>
          <w:rFonts w:ascii="Arial" w:eastAsia="Arial" w:hAnsi="Arial" w:cs="Arial"/>
          <w:sz w:val="24"/>
          <w:szCs w:val="24"/>
        </w:rPr>
        <w:t xml:space="preserve"> guidance provided by Energy Division.</w:t>
      </w:r>
    </w:p>
    <w:p w14:paraId="16A467EC" w14:textId="77777777" w:rsidR="004113EE" w:rsidRPr="00B621B9" w:rsidRDefault="004113EE" w:rsidP="004113EE">
      <w:pPr>
        <w:widowControl w:val="0"/>
        <w:numPr>
          <w:ilvl w:val="0"/>
          <w:numId w:val="22"/>
        </w:numPr>
        <w:tabs>
          <w:tab w:val="left" w:pos="481"/>
        </w:tabs>
        <w:spacing w:before="18" w:line="278" w:lineRule="exact"/>
        <w:ind w:right="1009" w:hanging="360"/>
        <w:rPr>
          <w:rFonts w:ascii="Arial" w:eastAsia="Arial" w:hAnsi="Arial" w:cs="Arial"/>
          <w:sz w:val="24"/>
          <w:szCs w:val="24"/>
        </w:rPr>
      </w:pPr>
      <w:r w:rsidRPr="00B621B9">
        <w:rPr>
          <w:rFonts w:ascii="Arial" w:hAnsi="Arial" w:cs="Arial"/>
          <w:spacing w:val="-1"/>
          <w:sz w:val="24"/>
          <w:szCs w:val="24"/>
        </w:rPr>
        <w:t>General Rate Case (GRC) loaders</w:t>
      </w:r>
      <w:r w:rsidRPr="00B621B9">
        <w:rPr>
          <w:rFonts w:ascii="Arial" w:hAnsi="Arial" w:cs="Arial"/>
          <w:sz w:val="24"/>
          <w:szCs w:val="24"/>
        </w:rPr>
        <w:t xml:space="preserve"> </w:t>
      </w:r>
      <w:r w:rsidRPr="00B621B9">
        <w:rPr>
          <w:rFonts w:ascii="Arial" w:hAnsi="Arial" w:cs="Arial"/>
          <w:spacing w:val="-1"/>
          <w:sz w:val="24"/>
          <w:szCs w:val="24"/>
        </w:rPr>
        <w:t>associated with the EE program</w:t>
      </w:r>
      <w:r w:rsidRPr="00B621B9">
        <w:rPr>
          <w:rFonts w:ascii="Arial" w:hAnsi="Arial" w:cs="Arial"/>
          <w:sz w:val="24"/>
          <w:szCs w:val="24"/>
        </w:rPr>
        <w:t xml:space="preserve"> </w:t>
      </w:r>
      <w:r w:rsidRPr="00B621B9">
        <w:rPr>
          <w:rFonts w:ascii="Arial" w:hAnsi="Arial" w:cs="Arial"/>
          <w:spacing w:val="-1"/>
          <w:sz w:val="24"/>
          <w:szCs w:val="24"/>
        </w:rPr>
        <w:t>labor, as</w:t>
      </w:r>
      <w:r w:rsidRPr="00B621B9">
        <w:rPr>
          <w:rFonts w:ascii="Arial" w:hAnsi="Arial" w:cs="Arial"/>
          <w:spacing w:val="28"/>
          <w:sz w:val="24"/>
          <w:szCs w:val="24"/>
        </w:rPr>
        <w:t xml:space="preserve"> </w:t>
      </w:r>
      <w:r w:rsidRPr="00B621B9">
        <w:rPr>
          <w:rFonts w:ascii="Arial" w:hAnsi="Arial" w:cs="Arial"/>
          <w:sz w:val="24"/>
          <w:szCs w:val="24"/>
        </w:rPr>
        <w:t>directed</w:t>
      </w:r>
      <w:r w:rsidRPr="00B621B9">
        <w:rPr>
          <w:rFonts w:ascii="Arial" w:hAnsi="Arial" w:cs="Arial"/>
          <w:spacing w:val="-1"/>
          <w:sz w:val="24"/>
          <w:szCs w:val="24"/>
        </w:rPr>
        <w:t xml:space="preserve"> </w:t>
      </w:r>
      <w:r w:rsidRPr="00B621B9">
        <w:rPr>
          <w:rFonts w:ascii="Arial" w:hAnsi="Arial" w:cs="Arial"/>
          <w:sz w:val="24"/>
          <w:szCs w:val="24"/>
        </w:rPr>
        <w:t>by D.12-11-015, OP</w:t>
      </w:r>
      <w:r w:rsidR="00441BB6">
        <w:rPr>
          <w:rFonts w:ascii="Arial" w:hAnsi="Arial" w:cs="Arial"/>
          <w:sz w:val="24"/>
          <w:szCs w:val="24"/>
        </w:rPr>
        <w:t xml:space="preserve"> 39</w:t>
      </w:r>
      <w:r w:rsidR="00D61F79">
        <w:rPr>
          <w:rFonts w:ascii="Arial" w:hAnsi="Arial" w:cs="Arial"/>
          <w:sz w:val="24"/>
          <w:szCs w:val="24"/>
        </w:rPr>
        <w:t>.</w:t>
      </w:r>
      <w:r w:rsidR="008A1C1C">
        <w:rPr>
          <w:rStyle w:val="FootnoteReference"/>
          <w:rFonts w:ascii="Arial" w:hAnsi="Arial" w:cs="Arial"/>
          <w:sz w:val="24"/>
          <w:szCs w:val="24"/>
        </w:rPr>
        <w:footnoteReference w:id="9"/>
      </w:r>
    </w:p>
    <w:p w14:paraId="3C338D5F" w14:textId="77777777" w:rsidR="004113EE" w:rsidRPr="00B621B9" w:rsidRDefault="004113EE" w:rsidP="00B621B9">
      <w:pPr>
        <w:widowControl w:val="0"/>
        <w:numPr>
          <w:ilvl w:val="0"/>
          <w:numId w:val="22"/>
        </w:numPr>
        <w:tabs>
          <w:tab w:val="left" w:pos="481"/>
        </w:tabs>
        <w:spacing w:before="15" w:line="276" w:lineRule="exact"/>
        <w:ind w:right="594" w:hanging="360"/>
        <w:rPr>
          <w:rFonts w:ascii="Arial" w:eastAsia="Arial" w:hAnsi="Arial" w:cs="Arial"/>
          <w:sz w:val="24"/>
          <w:szCs w:val="24"/>
        </w:rPr>
      </w:pPr>
      <w:r w:rsidRPr="00B621B9">
        <w:rPr>
          <w:rFonts w:ascii="Arial" w:hAnsi="Arial" w:cs="Arial"/>
          <w:sz w:val="24"/>
          <w:szCs w:val="24"/>
        </w:rPr>
        <w:t>A</w:t>
      </w:r>
      <w:r w:rsidRPr="00B621B9">
        <w:rPr>
          <w:rFonts w:ascii="Arial" w:hAnsi="Arial" w:cs="Arial"/>
          <w:spacing w:val="-1"/>
          <w:sz w:val="24"/>
          <w:szCs w:val="24"/>
        </w:rPr>
        <w:t xml:space="preserve"> projected shareholder incentive</w:t>
      </w:r>
      <w:r w:rsidRPr="00B621B9">
        <w:rPr>
          <w:rFonts w:ascii="Arial" w:hAnsi="Arial" w:cs="Arial"/>
          <w:sz w:val="24"/>
          <w:szCs w:val="24"/>
        </w:rPr>
        <w:t xml:space="preserve"> amount associated with the </w:t>
      </w:r>
      <w:r w:rsidRPr="00B621B9">
        <w:rPr>
          <w:rFonts w:ascii="Arial" w:hAnsi="Arial" w:cs="Arial"/>
          <w:spacing w:val="-1"/>
          <w:sz w:val="24"/>
          <w:szCs w:val="24"/>
        </w:rPr>
        <w:t>approved portfolio</w:t>
      </w:r>
      <w:r w:rsidRPr="00B621B9">
        <w:rPr>
          <w:rFonts w:ascii="Arial" w:hAnsi="Arial" w:cs="Arial"/>
          <w:spacing w:val="26"/>
          <w:sz w:val="24"/>
          <w:szCs w:val="24"/>
        </w:rPr>
        <w:t xml:space="preserve"> </w:t>
      </w:r>
      <w:r w:rsidRPr="00B621B9">
        <w:rPr>
          <w:rFonts w:ascii="Arial" w:hAnsi="Arial" w:cs="Arial"/>
          <w:spacing w:val="-1"/>
          <w:sz w:val="24"/>
          <w:szCs w:val="24"/>
        </w:rPr>
        <w:t>budget and projected therm savings</w:t>
      </w:r>
      <w:r w:rsidRPr="00B621B9">
        <w:rPr>
          <w:rFonts w:ascii="Arial" w:hAnsi="Arial" w:cs="Arial"/>
          <w:spacing w:val="1"/>
          <w:sz w:val="24"/>
          <w:szCs w:val="24"/>
        </w:rPr>
        <w:t xml:space="preserve"> </w:t>
      </w:r>
      <w:r w:rsidRPr="00B621B9">
        <w:rPr>
          <w:rFonts w:ascii="Arial" w:hAnsi="Arial" w:cs="Arial"/>
          <w:sz w:val="24"/>
          <w:szCs w:val="24"/>
        </w:rPr>
        <w:t xml:space="preserve">activity.  This assumption </w:t>
      </w:r>
      <w:r w:rsidRPr="00B621B9">
        <w:rPr>
          <w:rFonts w:ascii="Arial" w:hAnsi="Arial" w:cs="Arial"/>
          <w:spacing w:val="-1"/>
          <w:sz w:val="24"/>
          <w:szCs w:val="24"/>
        </w:rPr>
        <w:t>conforms to the</w:t>
      </w:r>
      <w:r w:rsidR="00996885" w:rsidRPr="00B621B9">
        <w:rPr>
          <w:rFonts w:ascii="Arial" w:hAnsi="Arial" w:cs="Arial"/>
          <w:spacing w:val="-1"/>
          <w:sz w:val="24"/>
          <w:szCs w:val="24"/>
        </w:rPr>
        <w:t xml:space="preserve"> </w:t>
      </w:r>
      <w:r w:rsidRPr="00B621B9">
        <w:rPr>
          <w:rFonts w:ascii="Arial" w:hAnsi="Arial" w:cs="Arial"/>
          <w:spacing w:val="-1"/>
          <w:sz w:val="24"/>
          <w:szCs w:val="24"/>
        </w:rPr>
        <w:t>methodology adopted in the Efficiency</w:t>
      </w:r>
      <w:r w:rsidRPr="00B621B9">
        <w:rPr>
          <w:rFonts w:ascii="Arial" w:hAnsi="Arial" w:cs="Arial"/>
          <w:sz w:val="24"/>
          <w:szCs w:val="24"/>
        </w:rPr>
        <w:t xml:space="preserve"> Savings and Performance </w:t>
      </w:r>
      <w:r w:rsidRPr="00B621B9">
        <w:rPr>
          <w:rFonts w:ascii="Arial" w:hAnsi="Arial" w:cs="Arial"/>
          <w:spacing w:val="-1"/>
          <w:sz w:val="24"/>
          <w:szCs w:val="24"/>
        </w:rPr>
        <w:t>Incentive (ESPI)</w:t>
      </w:r>
      <w:r w:rsidRPr="00B621B9">
        <w:rPr>
          <w:rFonts w:ascii="Arial" w:hAnsi="Arial" w:cs="Arial"/>
          <w:spacing w:val="24"/>
          <w:sz w:val="24"/>
          <w:szCs w:val="24"/>
        </w:rPr>
        <w:t xml:space="preserve"> </w:t>
      </w:r>
      <w:r w:rsidRPr="00B621B9">
        <w:rPr>
          <w:rFonts w:ascii="Arial" w:hAnsi="Arial" w:cs="Arial"/>
          <w:spacing w:val="-1"/>
          <w:sz w:val="24"/>
          <w:szCs w:val="24"/>
        </w:rPr>
        <w:t>Mechanism</w:t>
      </w:r>
      <w:r w:rsidRPr="00B621B9">
        <w:rPr>
          <w:rFonts w:ascii="Arial" w:hAnsi="Arial" w:cs="Arial"/>
          <w:spacing w:val="1"/>
          <w:sz w:val="24"/>
          <w:szCs w:val="24"/>
        </w:rPr>
        <w:t xml:space="preserve"> </w:t>
      </w:r>
      <w:r w:rsidRPr="00B621B9">
        <w:rPr>
          <w:rFonts w:ascii="Arial" w:hAnsi="Arial" w:cs="Arial"/>
          <w:spacing w:val="-1"/>
          <w:sz w:val="24"/>
          <w:szCs w:val="24"/>
        </w:rPr>
        <w:t>in D.13-09-023.</w:t>
      </w:r>
    </w:p>
    <w:p w14:paraId="20C337AD" w14:textId="77777777" w:rsidR="00D96845" w:rsidRDefault="00D96845" w:rsidP="00B621B9">
      <w:pPr>
        <w:widowControl w:val="0"/>
        <w:tabs>
          <w:tab w:val="left" w:pos="481"/>
        </w:tabs>
        <w:spacing w:before="15" w:line="276" w:lineRule="exact"/>
        <w:ind w:right="594"/>
        <w:rPr>
          <w:rFonts w:ascii="Arial" w:hAnsi="Arial" w:cs="Arial"/>
          <w:spacing w:val="-1"/>
          <w:sz w:val="24"/>
          <w:szCs w:val="24"/>
        </w:rPr>
      </w:pPr>
    </w:p>
    <w:p w14:paraId="7C3BAA3B" w14:textId="77777777" w:rsidR="00245493" w:rsidRPr="00CA5207" w:rsidRDefault="00245493" w:rsidP="00245493">
      <w:pPr>
        <w:ind w:right="328"/>
        <w:rPr>
          <w:rFonts w:ascii="Arial" w:eastAsia="Arial" w:hAnsi="Arial" w:cs="Arial"/>
          <w:spacing w:val="-1"/>
          <w:sz w:val="24"/>
          <w:szCs w:val="24"/>
        </w:rPr>
      </w:pPr>
      <w:r w:rsidRPr="00CA5207">
        <w:rPr>
          <w:rFonts w:ascii="Arial" w:eastAsia="Arial" w:hAnsi="Arial" w:cs="Arial"/>
          <w:spacing w:val="-1"/>
          <w:sz w:val="24"/>
          <w:szCs w:val="24"/>
        </w:rPr>
        <w:t>D.18-05-041 requires claimed and evaluated TRC and PAC of each program and of</w:t>
      </w:r>
    </w:p>
    <w:p w14:paraId="17FE9717" w14:textId="27AD488C" w:rsidR="00245493" w:rsidRDefault="00245493" w:rsidP="00245493">
      <w:pPr>
        <w:ind w:right="328"/>
        <w:rPr>
          <w:rFonts w:ascii="Arial" w:eastAsia="Arial" w:hAnsi="Arial" w:cs="Arial"/>
          <w:spacing w:val="-1"/>
          <w:sz w:val="24"/>
          <w:szCs w:val="24"/>
        </w:rPr>
      </w:pPr>
      <w:r w:rsidRPr="00CA5207">
        <w:rPr>
          <w:rFonts w:ascii="Arial" w:eastAsia="Arial" w:hAnsi="Arial" w:cs="Arial"/>
          <w:spacing w:val="-1"/>
          <w:sz w:val="24"/>
          <w:szCs w:val="24"/>
        </w:rPr>
        <w:t>each sector for the two most recent years for which data is available.</w:t>
      </w:r>
      <w:r w:rsidR="008A1C1C">
        <w:rPr>
          <w:rStyle w:val="FootnoteReference"/>
          <w:rFonts w:ascii="Arial" w:eastAsia="Arial" w:hAnsi="Arial" w:cs="Arial"/>
          <w:spacing w:val="-1"/>
          <w:sz w:val="24"/>
          <w:szCs w:val="24"/>
        </w:rPr>
        <w:footnoteReference w:id="10"/>
      </w:r>
      <w:r w:rsidR="00A6568F">
        <w:rPr>
          <w:rFonts w:ascii="Arial" w:eastAsia="Arial" w:hAnsi="Arial" w:cs="Arial"/>
          <w:spacing w:val="-1"/>
          <w:sz w:val="24"/>
          <w:szCs w:val="24"/>
        </w:rPr>
        <w:t xml:space="preserve"> </w:t>
      </w:r>
      <w:r w:rsidR="00422679">
        <w:rPr>
          <w:rFonts w:ascii="Arial" w:eastAsia="Arial" w:hAnsi="Arial" w:cs="Arial"/>
          <w:spacing w:val="-1"/>
          <w:sz w:val="24"/>
          <w:szCs w:val="24"/>
        </w:rPr>
        <w:t xml:space="preserve"> </w:t>
      </w:r>
      <w:r w:rsidR="00A44613">
        <w:rPr>
          <w:rFonts w:ascii="Arial" w:eastAsia="Arial" w:hAnsi="Arial" w:cs="Arial"/>
          <w:spacing w:val="-1"/>
          <w:sz w:val="24"/>
          <w:szCs w:val="24"/>
        </w:rPr>
        <w:t xml:space="preserve"> </w:t>
      </w:r>
      <w:r w:rsidRPr="00CA5207">
        <w:rPr>
          <w:rFonts w:ascii="Arial" w:eastAsia="Arial" w:hAnsi="Arial" w:cs="Arial"/>
          <w:spacing w:val="-1"/>
          <w:sz w:val="24"/>
          <w:szCs w:val="24"/>
        </w:rPr>
        <w:t xml:space="preserve"> Claimed TRC and PAC</w:t>
      </w:r>
      <w:r>
        <w:rPr>
          <w:rFonts w:ascii="Arial" w:eastAsia="Arial" w:hAnsi="Arial" w:cs="Arial"/>
          <w:spacing w:val="-1"/>
          <w:sz w:val="24"/>
          <w:szCs w:val="24"/>
        </w:rPr>
        <w:t xml:space="preserve"> </w:t>
      </w:r>
      <w:r w:rsidRPr="00CA5207">
        <w:rPr>
          <w:rFonts w:ascii="Arial" w:eastAsia="Arial" w:hAnsi="Arial" w:cs="Arial"/>
          <w:spacing w:val="-1"/>
          <w:sz w:val="24"/>
          <w:szCs w:val="24"/>
        </w:rPr>
        <w:t>for 201</w:t>
      </w:r>
      <w:r w:rsidR="00BE4932">
        <w:rPr>
          <w:rFonts w:ascii="Arial" w:eastAsia="Arial" w:hAnsi="Arial" w:cs="Arial"/>
          <w:spacing w:val="-1"/>
          <w:sz w:val="24"/>
          <w:szCs w:val="24"/>
        </w:rPr>
        <w:t>8</w:t>
      </w:r>
      <w:r w:rsidRPr="00CA5207">
        <w:rPr>
          <w:rFonts w:ascii="Arial" w:eastAsia="Arial" w:hAnsi="Arial" w:cs="Arial"/>
          <w:spacing w:val="-1"/>
          <w:sz w:val="24"/>
          <w:szCs w:val="24"/>
        </w:rPr>
        <w:t xml:space="preserve"> and 201</w:t>
      </w:r>
      <w:r w:rsidR="00BE4932">
        <w:rPr>
          <w:rFonts w:ascii="Arial" w:eastAsia="Arial" w:hAnsi="Arial" w:cs="Arial"/>
          <w:spacing w:val="-1"/>
          <w:sz w:val="24"/>
          <w:szCs w:val="24"/>
        </w:rPr>
        <w:t>9</w:t>
      </w:r>
      <w:r w:rsidRPr="00CA5207">
        <w:rPr>
          <w:rFonts w:ascii="Arial" w:eastAsia="Arial" w:hAnsi="Arial" w:cs="Arial"/>
          <w:spacing w:val="-1"/>
          <w:sz w:val="24"/>
          <w:szCs w:val="24"/>
        </w:rPr>
        <w:t xml:space="preserve"> are available on CEDARS.</w:t>
      </w:r>
      <w:r w:rsidR="00A44613">
        <w:rPr>
          <w:rFonts w:ascii="Arial" w:eastAsia="Arial" w:hAnsi="Arial" w:cs="Arial"/>
          <w:spacing w:val="-1"/>
          <w:sz w:val="24"/>
          <w:szCs w:val="24"/>
        </w:rPr>
        <w:t xml:space="preserve"> </w:t>
      </w:r>
      <w:r w:rsidRPr="00CA5207">
        <w:rPr>
          <w:rFonts w:ascii="Arial" w:eastAsia="Arial" w:hAnsi="Arial" w:cs="Arial"/>
          <w:spacing w:val="-1"/>
          <w:sz w:val="24"/>
          <w:szCs w:val="24"/>
        </w:rPr>
        <w:t xml:space="preserve"> D.18-05-041 also requires a showing of</w:t>
      </w:r>
      <w:r>
        <w:rPr>
          <w:rFonts w:ascii="Arial" w:eastAsia="Arial" w:hAnsi="Arial" w:cs="Arial"/>
          <w:spacing w:val="-1"/>
          <w:sz w:val="24"/>
          <w:szCs w:val="24"/>
        </w:rPr>
        <w:t xml:space="preserve"> </w:t>
      </w:r>
      <w:r w:rsidRPr="00CA5207">
        <w:rPr>
          <w:rFonts w:ascii="Arial" w:eastAsia="Arial" w:hAnsi="Arial" w:cs="Arial"/>
          <w:spacing w:val="-1"/>
          <w:sz w:val="24"/>
          <w:szCs w:val="24"/>
        </w:rPr>
        <w:t>forecasted, claimed and evaluated TRC and PAC at the portfolio</w:t>
      </w:r>
      <w:r w:rsidR="00C70667">
        <w:rPr>
          <w:rFonts w:ascii="Arial" w:eastAsia="Arial" w:hAnsi="Arial" w:cs="Arial"/>
          <w:spacing w:val="-1"/>
          <w:sz w:val="24"/>
          <w:szCs w:val="24"/>
        </w:rPr>
        <w:t xml:space="preserve"> level</w:t>
      </w:r>
      <w:r w:rsidRPr="00CA5207">
        <w:rPr>
          <w:rFonts w:ascii="Arial" w:eastAsia="Arial" w:hAnsi="Arial" w:cs="Arial"/>
          <w:spacing w:val="-1"/>
          <w:sz w:val="24"/>
          <w:szCs w:val="24"/>
        </w:rPr>
        <w:t xml:space="preserve"> going back to the</w:t>
      </w:r>
      <w:r>
        <w:rPr>
          <w:rFonts w:ascii="Arial" w:eastAsia="Arial" w:hAnsi="Arial" w:cs="Arial"/>
          <w:spacing w:val="-1"/>
          <w:sz w:val="24"/>
          <w:szCs w:val="24"/>
        </w:rPr>
        <w:t xml:space="preserve"> </w:t>
      </w:r>
      <w:r w:rsidRPr="00CA5207">
        <w:rPr>
          <w:rFonts w:ascii="Arial" w:eastAsia="Arial" w:hAnsi="Arial" w:cs="Arial"/>
          <w:spacing w:val="-1"/>
          <w:sz w:val="24"/>
          <w:szCs w:val="24"/>
        </w:rPr>
        <w:t>beginning of the Rolling Portfolio (2016).</w:t>
      </w:r>
      <w:r w:rsidR="008A1C1C">
        <w:rPr>
          <w:rStyle w:val="FootnoteReference"/>
          <w:rFonts w:ascii="Arial" w:eastAsia="Arial" w:hAnsi="Arial" w:cs="Arial"/>
          <w:spacing w:val="-1"/>
          <w:sz w:val="24"/>
          <w:szCs w:val="24"/>
        </w:rPr>
        <w:footnoteReference w:id="11"/>
      </w:r>
      <w:r w:rsidRPr="00CA5207">
        <w:rPr>
          <w:rFonts w:ascii="Arial" w:eastAsia="Arial" w:hAnsi="Arial" w:cs="Arial"/>
          <w:spacing w:val="-1"/>
          <w:sz w:val="24"/>
          <w:szCs w:val="24"/>
        </w:rPr>
        <w:t xml:space="preserve"> </w:t>
      </w:r>
      <w:r w:rsidR="00422679">
        <w:rPr>
          <w:rFonts w:ascii="Arial" w:eastAsia="Arial" w:hAnsi="Arial" w:cs="Arial"/>
          <w:spacing w:val="-1"/>
          <w:sz w:val="24"/>
          <w:szCs w:val="24"/>
        </w:rPr>
        <w:t xml:space="preserve"> </w:t>
      </w:r>
      <w:r w:rsidRPr="00CA5207">
        <w:rPr>
          <w:rFonts w:ascii="Arial" w:eastAsia="Arial" w:hAnsi="Arial" w:cs="Arial"/>
          <w:spacing w:val="-1"/>
          <w:sz w:val="24"/>
          <w:szCs w:val="24"/>
        </w:rPr>
        <w:t>SoCalGas provides this information in Table</w:t>
      </w:r>
      <w:r>
        <w:rPr>
          <w:rFonts w:ascii="Arial" w:eastAsia="Arial" w:hAnsi="Arial" w:cs="Arial"/>
          <w:spacing w:val="-1"/>
          <w:sz w:val="24"/>
          <w:szCs w:val="24"/>
        </w:rPr>
        <w:t xml:space="preserve"> </w:t>
      </w:r>
      <w:r w:rsidR="00F9098F">
        <w:rPr>
          <w:rFonts w:ascii="Arial" w:eastAsia="Arial" w:hAnsi="Arial" w:cs="Arial"/>
          <w:spacing w:val="-1"/>
          <w:sz w:val="24"/>
          <w:szCs w:val="24"/>
        </w:rPr>
        <w:t>3</w:t>
      </w:r>
      <w:r w:rsidRPr="00CA5207">
        <w:rPr>
          <w:rFonts w:ascii="Arial" w:eastAsia="Arial" w:hAnsi="Arial" w:cs="Arial"/>
          <w:spacing w:val="-1"/>
          <w:sz w:val="24"/>
          <w:szCs w:val="24"/>
        </w:rPr>
        <w:t xml:space="preserve"> below.</w:t>
      </w:r>
    </w:p>
    <w:p w14:paraId="1CF7185C" w14:textId="77777777" w:rsidR="00245493" w:rsidRDefault="00245493" w:rsidP="00245493">
      <w:pPr>
        <w:ind w:right="328"/>
        <w:rPr>
          <w:rFonts w:ascii="Arial" w:eastAsia="Arial" w:hAnsi="Arial" w:cs="Arial"/>
          <w:spacing w:val="-1"/>
          <w:sz w:val="24"/>
          <w:szCs w:val="24"/>
        </w:rPr>
      </w:pPr>
    </w:p>
    <w:p w14:paraId="4E6E5471" w14:textId="77777777" w:rsidR="00245493" w:rsidRDefault="006D3EF5" w:rsidP="00245493">
      <w:pPr>
        <w:jc w:val="center"/>
        <w:rPr>
          <w:rFonts w:ascii="Arial" w:hAnsi="Arial" w:cs="Arial"/>
          <w:b/>
          <w:spacing w:val="-1"/>
          <w:sz w:val="24"/>
          <w:szCs w:val="24"/>
        </w:rPr>
      </w:pPr>
      <w:r>
        <w:rPr>
          <w:rFonts w:ascii="Arial" w:hAnsi="Arial" w:cs="Arial"/>
          <w:b/>
          <w:sz w:val="24"/>
          <w:szCs w:val="24"/>
        </w:rPr>
        <w:br w:type="page"/>
      </w:r>
      <w:r w:rsidR="00245493" w:rsidRPr="00B621B9">
        <w:rPr>
          <w:rFonts w:ascii="Arial" w:hAnsi="Arial" w:cs="Arial"/>
          <w:b/>
          <w:sz w:val="24"/>
          <w:szCs w:val="24"/>
        </w:rPr>
        <w:lastRenderedPageBreak/>
        <w:t>Table</w:t>
      </w:r>
      <w:r w:rsidR="00245493" w:rsidRPr="00B621B9">
        <w:rPr>
          <w:rFonts w:ascii="Arial" w:hAnsi="Arial" w:cs="Arial"/>
          <w:b/>
          <w:spacing w:val="-1"/>
          <w:sz w:val="24"/>
          <w:szCs w:val="24"/>
        </w:rPr>
        <w:t xml:space="preserve"> </w:t>
      </w:r>
      <w:r w:rsidR="00F9098F">
        <w:rPr>
          <w:rFonts w:ascii="Arial" w:hAnsi="Arial" w:cs="Arial"/>
          <w:b/>
          <w:sz w:val="24"/>
          <w:szCs w:val="24"/>
        </w:rPr>
        <w:t>3</w:t>
      </w:r>
      <w:r w:rsidR="00245493" w:rsidRPr="00B621B9">
        <w:rPr>
          <w:rFonts w:ascii="Arial" w:hAnsi="Arial" w:cs="Arial"/>
          <w:b/>
          <w:sz w:val="24"/>
          <w:szCs w:val="24"/>
        </w:rPr>
        <w:t xml:space="preserve">:  </w:t>
      </w:r>
      <w:r w:rsidR="00245493">
        <w:rPr>
          <w:rFonts w:ascii="Arial" w:hAnsi="Arial" w:cs="Arial"/>
          <w:b/>
          <w:spacing w:val="-1"/>
          <w:sz w:val="24"/>
          <w:szCs w:val="24"/>
        </w:rPr>
        <w:t>Forecasted, Claimed, and Evaluated TRC and PAC</w:t>
      </w:r>
    </w:p>
    <w:p w14:paraId="79AA56C7" w14:textId="2B11645E" w:rsidR="00B82885" w:rsidRDefault="00B82885" w:rsidP="00206FC6">
      <w:pPr>
        <w:rPr>
          <w:rFonts w:ascii="Arial" w:hAnsi="Arial" w:cs="Arial"/>
          <w:b/>
          <w:sz w:val="24"/>
          <w:szCs w:val="24"/>
          <w:u w:val="single"/>
        </w:rPr>
      </w:pPr>
    </w:p>
    <w:p w14:paraId="5544366D" w14:textId="4D6002DF" w:rsidR="00C461C9" w:rsidRDefault="00174784" w:rsidP="00F940A3">
      <w:pPr>
        <w:ind w:left="810"/>
        <w:rPr>
          <w:rFonts w:ascii="Arial" w:hAnsi="Arial" w:cs="Arial"/>
          <w:b/>
          <w:sz w:val="24"/>
          <w:szCs w:val="24"/>
          <w:u w:val="single"/>
        </w:rPr>
      </w:pPr>
      <w:r>
        <w:rPr>
          <w:noProof/>
        </w:rPr>
        <w:drawing>
          <wp:inline distT="0" distB="0" distL="0" distR="0" wp14:anchorId="775B000C" wp14:editId="521D0115">
            <wp:extent cx="4905375" cy="4537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9700" cy="4560498"/>
                    </a:xfrm>
                    <a:prstGeom prst="rect">
                      <a:avLst/>
                    </a:prstGeom>
                  </pic:spPr>
                </pic:pic>
              </a:graphicData>
            </a:graphic>
          </wp:inline>
        </w:drawing>
      </w:r>
    </w:p>
    <w:p w14:paraId="7BD30DD7" w14:textId="77777777" w:rsidR="00BA5418" w:rsidRDefault="00BA5418" w:rsidP="00206FC6">
      <w:pPr>
        <w:rPr>
          <w:rFonts w:ascii="Arial" w:hAnsi="Arial" w:cs="Arial"/>
          <w:b/>
          <w:sz w:val="24"/>
          <w:szCs w:val="24"/>
          <w:u w:val="single"/>
        </w:rPr>
      </w:pPr>
    </w:p>
    <w:p w14:paraId="159D0F3B" w14:textId="77777777" w:rsidR="005B642B" w:rsidRDefault="005B642B" w:rsidP="005B642B">
      <w:pPr>
        <w:rPr>
          <w:rFonts w:ascii="Arial" w:hAnsi="Arial" w:cs="Arial"/>
          <w:sz w:val="24"/>
          <w:szCs w:val="24"/>
        </w:rPr>
      </w:pPr>
      <w:r w:rsidRPr="00AF70BF">
        <w:rPr>
          <w:rFonts w:ascii="Arial" w:hAnsi="Arial" w:cs="Arial"/>
          <w:sz w:val="24"/>
          <w:szCs w:val="24"/>
        </w:rPr>
        <w:t>SoCalGas’ has taken significant steps in working towards achieving its forecasted TRC.</w:t>
      </w:r>
      <w:r>
        <w:rPr>
          <w:rFonts w:ascii="Arial" w:hAnsi="Arial" w:cs="Arial"/>
          <w:sz w:val="24"/>
          <w:szCs w:val="24"/>
        </w:rPr>
        <w:t xml:space="preserve"> </w:t>
      </w:r>
    </w:p>
    <w:p w14:paraId="455DF884" w14:textId="0190F818" w:rsidR="005B642B" w:rsidRDefault="005B642B" w:rsidP="005B642B">
      <w:pPr>
        <w:rPr>
          <w:rFonts w:ascii="Arial" w:hAnsi="Arial" w:cs="Arial"/>
          <w:sz w:val="24"/>
          <w:szCs w:val="24"/>
        </w:rPr>
      </w:pPr>
      <w:r>
        <w:rPr>
          <w:rFonts w:ascii="Arial" w:hAnsi="Arial" w:cs="Arial"/>
          <w:sz w:val="24"/>
          <w:szCs w:val="24"/>
        </w:rPr>
        <w:t>In PY 202</w:t>
      </w:r>
      <w:r w:rsidR="000E2EA3">
        <w:rPr>
          <w:rFonts w:ascii="Arial" w:hAnsi="Arial" w:cs="Arial"/>
          <w:sz w:val="24"/>
          <w:szCs w:val="24"/>
        </w:rPr>
        <w:t>1</w:t>
      </w:r>
      <w:r>
        <w:rPr>
          <w:rFonts w:ascii="Arial" w:hAnsi="Arial" w:cs="Arial"/>
          <w:sz w:val="24"/>
          <w:szCs w:val="24"/>
        </w:rPr>
        <w:t xml:space="preserve">, </w:t>
      </w:r>
      <w:r w:rsidRPr="00C34261">
        <w:rPr>
          <w:rFonts w:ascii="Arial" w:hAnsi="Arial" w:cs="Arial"/>
          <w:sz w:val="24"/>
          <w:szCs w:val="24"/>
        </w:rPr>
        <w:t xml:space="preserve">SoCalGas </w:t>
      </w:r>
      <w:r>
        <w:rPr>
          <w:rFonts w:ascii="Arial" w:hAnsi="Arial" w:cs="Arial"/>
          <w:sz w:val="24"/>
          <w:szCs w:val="24"/>
        </w:rPr>
        <w:t xml:space="preserve">will continue its work </w:t>
      </w:r>
      <w:r w:rsidRPr="00C34261">
        <w:rPr>
          <w:rFonts w:ascii="Arial" w:hAnsi="Arial" w:cs="Arial"/>
          <w:sz w:val="24"/>
          <w:szCs w:val="24"/>
        </w:rPr>
        <w:t>towards achieving a cost-effective E</w:t>
      </w:r>
      <w:r>
        <w:rPr>
          <w:rFonts w:ascii="Arial" w:hAnsi="Arial" w:cs="Arial"/>
          <w:sz w:val="24"/>
          <w:szCs w:val="24"/>
        </w:rPr>
        <w:t xml:space="preserve">nergy </w:t>
      </w:r>
      <w:r w:rsidRPr="00C34261">
        <w:rPr>
          <w:rFonts w:ascii="Arial" w:hAnsi="Arial" w:cs="Arial"/>
          <w:sz w:val="24"/>
          <w:szCs w:val="24"/>
        </w:rPr>
        <w:t>E</w:t>
      </w:r>
      <w:r>
        <w:rPr>
          <w:rFonts w:ascii="Arial" w:hAnsi="Arial" w:cs="Arial"/>
          <w:sz w:val="24"/>
          <w:szCs w:val="24"/>
        </w:rPr>
        <w:t>fficiency</w:t>
      </w:r>
      <w:r w:rsidRPr="00C34261">
        <w:rPr>
          <w:rFonts w:ascii="Arial" w:hAnsi="Arial" w:cs="Arial"/>
          <w:sz w:val="24"/>
          <w:szCs w:val="24"/>
        </w:rPr>
        <w:t xml:space="preserve"> portfolio that meets the objectives of D.18-05-041. </w:t>
      </w:r>
      <w:r>
        <w:rPr>
          <w:rFonts w:ascii="Arial" w:hAnsi="Arial" w:cs="Arial"/>
          <w:sz w:val="24"/>
          <w:szCs w:val="24"/>
        </w:rPr>
        <w:t xml:space="preserve"> As part of</w:t>
      </w:r>
      <w:r w:rsidRPr="00C34261">
        <w:rPr>
          <w:rFonts w:ascii="Arial" w:hAnsi="Arial" w:cs="Arial"/>
          <w:sz w:val="24"/>
          <w:szCs w:val="24"/>
        </w:rPr>
        <w:t xml:space="preserve"> program year 20</w:t>
      </w:r>
      <w:r w:rsidR="000E2EA3">
        <w:rPr>
          <w:rFonts w:ascii="Arial" w:hAnsi="Arial" w:cs="Arial"/>
          <w:sz w:val="24"/>
          <w:szCs w:val="24"/>
        </w:rPr>
        <w:t>20</w:t>
      </w:r>
      <w:r w:rsidRPr="00C34261">
        <w:rPr>
          <w:rFonts w:ascii="Arial" w:hAnsi="Arial" w:cs="Arial"/>
          <w:sz w:val="24"/>
          <w:szCs w:val="24"/>
        </w:rPr>
        <w:t>, SoCalGas adopted significant programmatic changes (i.e. more than 40% change in funding) approved through the 20</w:t>
      </w:r>
      <w:r w:rsidR="000E7490">
        <w:rPr>
          <w:rFonts w:ascii="Arial" w:hAnsi="Arial" w:cs="Arial"/>
          <w:sz w:val="24"/>
          <w:szCs w:val="24"/>
        </w:rPr>
        <w:t>20</w:t>
      </w:r>
      <w:r w:rsidRPr="00C34261">
        <w:rPr>
          <w:rFonts w:ascii="Arial" w:hAnsi="Arial" w:cs="Arial"/>
          <w:sz w:val="24"/>
          <w:szCs w:val="24"/>
        </w:rPr>
        <w:t xml:space="preserve"> ABAL (Advice Letter No. </w:t>
      </w:r>
      <w:r w:rsidR="000E7490">
        <w:rPr>
          <w:rFonts w:ascii="Arial" w:hAnsi="Arial" w:cs="Arial"/>
          <w:sz w:val="24"/>
          <w:szCs w:val="24"/>
        </w:rPr>
        <w:t>5510</w:t>
      </w:r>
      <w:r w:rsidRPr="00C34261">
        <w:rPr>
          <w:rFonts w:ascii="Arial" w:hAnsi="Arial" w:cs="Arial"/>
          <w:sz w:val="24"/>
          <w:szCs w:val="24"/>
        </w:rPr>
        <w:t xml:space="preserve">) to better align program offerings, meet expected energy savings, and target a forecasted 1.25 TRC in future years.  </w:t>
      </w:r>
    </w:p>
    <w:p w14:paraId="4113AEA1" w14:textId="77777777" w:rsidR="005B642B" w:rsidRDefault="005B642B" w:rsidP="005B642B">
      <w:pPr>
        <w:rPr>
          <w:rFonts w:ascii="Arial" w:hAnsi="Arial" w:cs="Arial"/>
          <w:sz w:val="24"/>
          <w:szCs w:val="24"/>
        </w:rPr>
      </w:pPr>
    </w:p>
    <w:p w14:paraId="2B1F25B0" w14:textId="77777777" w:rsidR="005B642B" w:rsidRDefault="005B642B" w:rsidP="005B642B">
      <w:pPr>
        <w:rPr>
          <w:rFonts w:ascii="Arial" w:hAnsi="Arial" w:cs="Arial"/>
          <w:sz w:val="24"/>
          <w:szCs w:val="24"/>
        </w:rPr>
      </w:pPr>
      <w:r w:rsidRPr="00306D31">
        <w:rPr>
          <w:rFonts w:ascii="Arial" w:hAnsi="Arial" w:cs="Arial"/>
          <w:sz w:val="24"/>
          <w:szCs w:val="24"/>
        </w:rPr>
        <w:t>SoCalGas’ strategies will continue to focus on cost-effectiveness to both exceed an evaluated 1.0</w:t>
      </w:r>
      <w:r>
        <w:rPr>
          <w:rFonts w:ascii="Arial" w:hAnsi="Arial" w:cs="Arial"/>
          <w:sz w:val="24"/>
          <w:szCs w:val="24"/>
        </w:rPr>
        <w:t>0</w:t>
      </w:r>
      <w:r w:rsidRPr="00306D31">
        <w:rPr>
          <w:rFonts w:ascii="Arial" w:hAnsi="Arial" w:cs="Arial"/>
          <w:sz w:val="24"/>
          <w:szCs w:val="24"/>
        </w:rPr>
        <w:t xml:space="preserve"> TRC and forecasted 1.25 TRC through the ramp years.  A listing of these strategies is provided below:</w:t>
      </w:r>
    </w:p>
    <w:p w14:paraId="64F5AA8D" w14:textId="77777777" w:rsidR="005B642B" w:rsidRPr="00306D31" w:rsidRDefault="005B642B" w:rsidP="005B642B">
      <w:pPr>
        <w:rPr>
          <w:rFonts w:ascii="Arial" w:hAnsi="Arial" w:cs="Arial"/>
          <w:sz w:val="24"/>
          <w:szCs w:val="24"/>
        </w:rPr>
      </w:pPr>
    </w:p>
    <w:p w14:paraId="3F9CC65A" w14:textId="77777777" w:rsidR="005B642B" w:rsidRPr="00306D31" w:rsidRDefault="005B642B" w:rsidP="005B642B">
      <w:pPr>
        <w:numPr>
          <w:ilvl w:val="0"/>
          <w:numId w:val="40"/>
        </w:numPr>
        <w:rPr>
          <w:rFonts w:ascii="Arial" w:hAnsi="Arial" w:cs="Arial"/>
          <w:sz w:val="24"/>
          <w:szCs w:val="24"/>
        </w:rPr>
      </w:pPr>
      <w:r w:rsidRPr="00306D31">
        <w:rPr>
          <w:rFonts w:ascii="Arial" w:hAnsi="Arial" w:cs="Arial"/>
          <w:sz w:val="24"/>
          <w:szCs w:val="24"/>
        </w:rPr>
        <w:t>Increasing the comprehensiveness of current programs offerings and/or delivery to minimize lost energy efficiency opportunities and reduced program cost.</w:t>
      </w:r>
    </w:p>
    <w:p w14:paraId="7C725072" w14:textId="4788526B" w:rsidR="005B642B" w:rsidRDefault="005B642B" w:rsidP="005B642B">
      <w:pPr>
        <w:numPr>
          <w:ilvl w:val="0"/>
          <w:numId w:val="40"/>
        </w:numPr>
        <w:rPr>
          <w:rFonts w:ascii="Arial" w:hAnsi="Arial" w:cs="Arial"/>
          <w:sz w:val="24"/>
          <w:szCs w:val="24"/>
        </w:rPr>
      </w:pPr>
      <w:r w:rsidRPr="00306D31">
        <w:rPr>
          <w:rFonts w:ascii="Arial" w:hAnsi="Arial" w:cs="Arial"/>
          <w:sz w:val="24"/>
          <w:szCs w:val="24"/>
        </w:rPr>
        <w:t xml:space="preserve">Continuing the expansion of program partnerships with municipal electric utilities, water agencies, and air quality districts to drive down administrative costs, </w:t>
      </w:r>
      <w:r w:rsidRPr="00306D31">
        <w:rPr>
          <w:rFonts w:ascii="Arial" w:hAnsi="Arial" w:cs="Arial"/>
          <w:sz w:val="24"/>
          <w:szCs w:val="24"/>
        </w:rPr>
        <w:lastRenderedPageBreak/>
        <w:t>develop more holistic program offerings that provide added benefits to customers and increased cost-effectiveness to the PA.</w:t>
      </w:r>
    </w:p>
    <w:p w14:paraId="53CEAE0F" w14:textId="1727C2CE" w:rsidR="0003360F" w:rsidRPr="00306D31" w:rsidRDefault="0003360F" w:rsidP="005B642B">
      <w:pPr>
        <w:numPr>
          <w:ilvl w:val="0"/>
          <w:numId w:val="40"/>
        </w:numPr>
        <w:rPr>
          <w:rFonts w:ascii="Arial" w:hAnsi="Arial" w:cs="Arial"/>
          <w:sz w:val="24"/>
          <w:szCs w:val="24"/>
        </w:rPr>
      </w:pPr>
      <w:r w:rsidRPr="0003360F">
        <w:rPr>
          <w:rFonts w:ascii="Arial" w:hAnsi="Arial" w:cs="Arial"/>
          <w:sz w:val="24"/>
          <w:szCs w:val="24"/>
        </w:rPr>
        <w:t>Continuing with Local Government Partnerships (LGP’s), while consolidating some LGP’s into existing Regional Partnerships with a focus on increasing cost effectiveness of partnerships, while better serving all segments of Public Sector customers within those Regional Partnerships.</w:t>
      </w:r>
    </w:p>
    <w:p w14:paraId="35184622" w14:textId="780865A2" w:rsidR="005B642B" w:rsidRPr="00306D31" w:rsidRDefault="005B642B" w:rsidP="005B642B">
      <w:pPr>
        <w:numPr>
          <w:ilvl w:val="0"/>
          <w:numId w:val="40"/>
        </w:numPr>
        <w:rPr>
          <w:rFonts w:ascii="Arial" w:hAnsi="Arial" w:cs="Arial"/>
          <w:sz w:val="24"/>
          <w:szCs w:val="24"/>
        </w:rPr>
      </w:pPr>
      <w:r w:rsidRPr="00306D31">
        <w:rPr>
          <w:rFonts w:ascii="Arial" w:hAnsi="Arial" w:cs="Arial"/>
          <w:sz w:val="24"/>
          <w:szCs w:val="24"/>
        </w:rPr>
        <w:t>Eliminating or scaling of non-cost-effective programs and approaches based on program level metrics and key performance indicators.</w:t>
      </w:r>
    </w:p>
    <w:p w14:paraId="7F474A62" w14:textId="77777777" w:rsidR="005B642B" w:rsidRPr="00306D31" w:rsidRDefault="005B642B" w:rsidP="005B642B">
      <w:pPr>
        <w:numPr>
          <w:ilvl w:val="0"/>
          <w:numId w:val="40"/>
        </w:numPr>
        <w:rPr>
          <w:rFonts w:ascii="Arial" w:hAnsi="Arial" w:cs="Arial"/>
          <w:sz w:val="24"/>
          <w:szCs w:val="24"/>
        </w:rPr>
      </w:pPr>
      <w:r w:rsidRPr="00306D31">
        <w:rPr>
          <w:rFonts w:ascii="Arial" w:hAnsi="Arial" w:cs="Arial"/>
          <w:sz w:val="24"/>
          <w:szCs w:val="24"/>
        </w:rPr>
        <w:t>Continu</w:t>
      </w:r>
      <w:r>
        <w:rPr>
          <w:rFonts w:ascii="Arial" w:hAnsi="Arial" w:cs="Arial"/>
          <w:sz w:val="24"/>
          <w:szCs w:val="24"/>
        </w:rPr>
        <w:t>ous</w:t>
      </w:r>
      <w:r w:rsidRPr="00306D31">
        <w:rPr>
          <w:rFonts w:ascii="Arial" w:hAnsi="Arial" w:cs="Arial"/>
          <w:sz w:val="24"/>
          <w:szCs w:val="24"/>
        </w:rPr>
        <w:t xml:space="preserve"> improvement o</w:t>
      </w:r>
      <w:r>
        <w:rPr>
          <w:rFonts w:ascii="Arial" w:hAnsi="Arial" w:cs="Arial"/>
          <w:sz w:val="24"/>
          <w:szCs w:val="24"/>
        </w:rPr>
        <w:t xml:space="preserve">f internal processes and program </w:t>
      </w:r>
      <w:r w:rsidRPr="00306D31">
        <w:rPr>
          <w:rFonts w:ascii="Arial" w:hAnsi="Arial" w:cs="Arial"/>
          <w:sz w:val="24"/>
          <w:szCs w:val="24"/>
        </w:rPr>
        <w:t>delivery strategies.</w:t>
      </w:r>
    </w:p>
    <w:p w14:paraId="6CFD8F1B" w14:textId="77777777" w:rsidR="005B642B" w:rsidRPr="00306D31" w:rsidRDefault="005B642B" w:rsidP="005B642B">
      <w:pPr>
        <w:numPr>
          <w:ilvl w:val="0"/>
          <w:numId w:val="40"/>
        </w:numPr>
        <w:rPr>
          <w:rFonts w:ascii="Arial" w:hAnsi="Arial" w:cs="Arial"/>
          <w:sz w:val="24"/>
          <w:szCs w:val="24"/>
        </w:rPr>
      </w:pPr>
      <w:r w:rsidRPr="00306D31">
        <w:rPr>
          <w:rFonts w:ascii="Arial" w:hAnsi="Arial" w:cs="Arial"/>
          <w:sz w:val="24"/>
          <w:szCs w:val="24"/>
        </w:rPr>
        <w:t>Adding new measures and technologies as they become available.</w:t>
      </w:r>
    </w:p>
    <w:p w14:paraId="5667E23D" w14:textId="77777777" w:rsidR="005B642B" w:rsidRDefault="005B642B" w:rsidP="005B642B">
      <w:pPr>
        <w:numPr>
          <w:ilvl w:val="0"/>
          <w:numId w:val="40"/>
        </w:numPr>
        <w:rPr>
          <w:rFonts w:ascii="Arial" w:hAnsi="Arial" w:cs="Arial"/>
          <w:sz w:val="24"/>
          <w:szCs w:val="24"/>
        </w:rPr>
      </w:pPr>
      <w:r w:rsidRPr="00306D31">
        <w:rPr>
          <w:rFonts w:ascii="Arial" w:hAnsi="Arial" w:cs="Arial"/>
          <w:sz w:val="24"/>
          <w:szCs w:val="24"/>
        </w:rPr>
        <w:t>Leveraging expanded financing offerings to drive the conversion of energy efficiency project opportunities.</w:t>
      </w:r>
    </w:p>
    <w:p w14:paraId="6A5F197F" w14:textId="77777777" w:rsidR="005B642B" w:rsidRPr="00306D31" w:rsidRDefault="005B642B" w:rsidP="005B642B">
      <w:pPr>
        <w:ind w:left="720"/>
        <w:rPr>
          <w:rFonts w:ascii="Arial" w:hAnsi="Arial" w:cs="Arial"/>
          <w:sz w:val="24"/>
          <w:szCs w:val="24"/>
        </w:rPr>
      </w:pPr>
    </w:p>
    <w:p w14:paraId="5D620715" w14:textId="4D312393" w:rsidR="005B642B" w:rsidRPr="00441BB6" w:rsidRDefault="005B642B" w:rsidP="005B642B">
      <w:pPr>
        <w:rPr>
          <w:rFonts w:ascii="Arial" w:hAnsi="Arial" w:cs="Arial"/>
          <w:sz w:val="24"/>
          <w:szCs w:val="24"/>
        </w:rPr>
      </w:pPr>
      <w:r w:rsidRPr="00306D31">
        <w:rPr>
          <w:rFonts w:ascii="Arial" w:hAnsi="Arial" w:cs="Arial"/>
          <w:sz w:val="24"/>
          <w:szCs w:val="24"/>
        </w:rPr>
        <w:t>Further focus on cost-effectiveness within SoCalGas’ portfolio will be placed on the third-party solicitation process whereby SoCalGas plans to refresh market segment approaches with new cost-effective contracts</w:t>
      </w:r>
      <w:r>
        <w:rPr>
          <w:rFonts w:ascii="Arial" w:hAnsi="Arial" w:cs="Arial"/>
          <w:sz w:val="24"/>
          <w:szCs w:val="24"/>
        </w:rPr>
        <w:t>.</w:t>
      </w:r>
    </w:p>
    <w:p w14:paraId="06C3D292" w14:textId="77777777" w:rsidR="002B6ECA" w:rsidRDefault="002B6ECA" w:rsidP="00F3217D">
      <w:pPr>
        <w:rPr>
          <w:rFonts w:ascii="Arial" w:hAnsi="Arial" w:cs="Arial"/>
          <w:b/>
          <w:sz w:val="24"/>
          <w:szCs w:val="24"/>
          <w:u w:val="single"/>
        </w:rPr>
      </w:pPr>
    </w:p>
    <w:p w14:paraId="6C6F1D84" w14:textId="2DFABA24" w:rsidR="00F3217D" w:rsidRPr="00B621B9" w:rsidRDefault="008E2F39" w:rsidP="00F3217D">
      <w:pPr>
        <w:rPr>
          <w:rFonts w:ascii="Arial" w:hAnsi="Arial" w:cs="Arial"/>
          <w:b/>
          <w:sz w:val="24"/>
          <w:szCs w:val="24"/>
          <w:u w:val="single"/>
        </w:rPr>
      </w:pPr>
      <w:r>
        <w:rPr>
          <w:rFonts w:ascii="Arial" w:hAnsi="Arial" w:cs="Arial"/>
          <w:b/>
          <w:sz w:val="24"/>
          <w:szCs w:val="24"/>
          <w:u w:val="single"/>
        </w:rPr>
        <w:t>SoCalGas PY 20</w:t>
      </w:r>
      <w:r w:rsidR="005A55E1">
        <w:rPr>
          <w:rFonts w:ascii="Arial" w:hAnsi="Arial" w:cs="Arial"/>
          <w:b/>
          <w:sz w:val="24"/>
          <w:szCs w:val="24"/>
          <w:u w:val="single"/>
        </w:rPr>
        <w:t>2</w:t>
      </w:r>
      <w:r w:rsidR="004A1338">
        <w:rPr>
          <w:rFonts w:ascii="Arial" w:hAnsi="Arial" w:cs="Arial"/>
          <w:b/>
          <w:sz w:val="24"/>
          <w:szCs w:val="24"/>
          <w:u w:val="single"/>
        </w:rPr>
        <w:t>1</w:t>
      </w:r>
      <w:r w:rsidR="00F3217D" w:rsidRPr="00B621B9">
        <w:rPr>
          <w:rFonts w:ascii="Arial" w:hAnsi="Arial" w:cs="Arial"/>
          <w:b/>
          <w:sz w:val="24"/>
          <w:szCs w:val="24"/>
          <w:u w:val="single"/>
        </w:rPr>
        <w:t xml:space="preserve"> </w:t>
      </w:r>
      <w:r w:rsidR="00B82885">
        <w:rPr>
          <w:rFonts w:ascii="Arial" w:hAnsi="Arial" w:cs="Arial"/>
          <w:b/>
          <w:sz w:val="24"/>
          <w:szCs w:val="24"/>
          <w:u w:val="single"/>
        </w:rPr>
        <w:t xml:space="preserve">Portfolio and </w:t>
      </w:r>
      <w:r w:rsidR="00F3217D" w:rsidRPr="00B621B9">
        <w:rPr>
          <w:rFonts w:ascii="Arial" w:hAnsi="Arial" w:cs="Arial"/>
          <w:b/>
          <w:sz w:val="24"/>
          <w:szCs w:val="24"/>
          <w:u w:val="single"/>
        </w:rPr>
        <w:t xml:space="preserve">Program Changes </w:t>
      </w:r>
    </w:p>
    <w:p w14:paraId="7DCC47DC" w14:textId="77777777" w:rsidR="00FB030A" w:rsidRDefault="00FB030A" w:rsidP="00F3217D">
      <w:pPr>
        <w:spacing w:before="69"/>
        <w:ind w:right="169"/>
        <w:rPr>
          <w:rFonts w:ascii="Arial" w:eastAsia="Arial" w:hAnsi="Arial" w:cs="Arial"/>
          <w:spacing w:val="-1"/>
          <w:sz w:val="24"/>
          <w:szCs w:val="24"/>
        </w:rPr>
      </w:pPr>
    </w:p>
    <w:p w14:paraId="20EDCD51" w14:textId="77777777" w:rsidR="00F3217D" w:rsidRPr="00B621B9" w:rsidRDefault="00F3217D" w:rsidP="00F3217D">
      <w:pPr>
        <w:spacing w:before="69"/>
        <w:ind w:right="169"/>
        <w:rPr>
          <w:rFonts w:ascii="Arial" w:eastAsia="Arial" w:hAnsi="Arial" w:cs="Arial"/>
          <w:spacing w:val="-1"/>
          <w:sz w:val="24"/>
          <w:szCs w:val="24"/>
        </w:rPr>
      </w:pPr>
      <w:r w:rsidRPr="008C2518">
        <w:rPr>
          <w:rFonts w:ascii="Arial" w:eastAsia="Arial" w:hAnsi="Arial" w:cs="Arial"/>
          <w:spacing w:val="-1"/>
          <w:sz w:val="24"/>
          <w:szCs w:val="24"/>
        </w:rPr>
        <w:t>SoCalGas provides the following discussion regarding significant program changes (i.e., more than 40 percent change in funding) that are necessary to better align with programs offered, meet expected energy sav</w:t>
      </w:r>
      <w:r w:rsidR="00B97669" w:rsidRPr="008C2518">
        <w:rPr>
          <w:rFonts w:ascii="Arial" w:eastAsia="Arial" w:hAnsi="Arial" w:cs="Arial"/>
          <w:spacing w:val="-1"/>
          <w:sz w:val="24"/>
          <w:szCs w:val="24"/>
        </w:rPr>
        <w:t>ings, and target a forecasted TRC of 1.25</w:t>
      </w:r>
      <w:r w:rsidRPr="008C2518">
        <w:rPr>
          <w:rFonts w:ascii="Arial" w:eastAsia="Arial" w:hAnsi="Arial" w:cs="Arial"/>
          <w:spacing w:val="-1"/>
          <w:sz w:val="24"/>
          <w:szCs w:val="24"/>
        </w:rPr>
        <w:t xml:space="preserve">, shown in Table </w:t>
      </w:r>
      <w:r w:rsidR="001B16F8" w:rsidRPr="008C2518">
        <w:rPr>
          <w:rFonts w:ascii="Arial" w:eastAsia="Arial" w:hAnsi="Arial" w:cs="Arial"/>
          <w:spacing w:val="-1"/>
          <w:sz w:val="24"/>
          <w:szCs w:val="24"/>
        </w:rPr>
        <w:t>4</w:t>
      </w:r>
      <w:r w:rsidRPr="008C2518">
        <w:rPr>
          <w:rFonts w:ascii="Arial" w:eastAsia="Arial" w:hAnsi="Arial" w:cs="Arial"/>
          <w:spacing w:val="-1"/>
          <w:sz w:val="24"/>
          <w:szCs w:val="24"/>
        </w:rPr>
        <w:t>.</w:t>
      </w:r>
    </w:p>
    <w:p w14:paraId="03DC8201" w14:textId="77777777" w:rsidR="00C94AED" w:rsidRDefault="00C94AED" w:rsidP="00A459FD">
      <w:pPr>
        <w:rPr>
          <w:rFonts w:ascii="Arial" w:hAnsi="Arial" w:cs="Arial"/>
          <w:b/>
          <w:sz w:val="24"/>
          <w:szCs w:val="24"/>
        </w:rPr>
      </w:pPr>
    </w:p>
    <w:p w14:paraId="1CA16E49" w14:textId="21E96528" w:rsidR="00F3217D" w:rsidRDefault="00F3217D" w:rsidP="00F3217D">
      <w:pPr>
        <w:ind w:left="1424"/>
        <w:rPr>
          <w:rFonts w:ascii="Arial" w:hAnsi="Arial" w:cs="Arial"/>
          <w:b/>
          <w:sz w:val="24"/>
          <w:szCs w:val="24"/>
        </w:rPr>
      </w:pPr>
      <w:r w:rsidRPr="00B621B9">
        <w:rPr>
          <w:rFonts w:ascii="Arial" w:hAnsi="Arial" w:cs="Arial"/>
          <w:b/>
          <w:sz w:val="24"/>
          <w:szCs w:val="24"/>
        </w:rPr>
        <w:t xml:space="preserve">Table </w:t>
      </w:r>
      <w:r w:rsidR="001B16F8">
        <w:rPr>
          <w:rFonts w:ascii="Arial" w:hAnsi="Arial" w:cs="Arial"/>
          <w:b/>
          <w:sz w:val="24"/>
          <w:szCs w:val="24"/>
        </w:rPr>
        <w:t>4</w:t>
      </w:r>
      <w:r w:rsidRPr="00B621B9">
        <w:rPr>
          <w:rFonts w:ascii="Arial" w:hAnsi="Arial" w:cs="Arial"/>
          <w:b/>
          <w:sz w:val="24"/>
          <w:szCs w:val="24"/>
        </w:rPr>
        <w:t>:</w:t>
      </w:r>
      <w:r w:rsidRPr="00B621B9">
        <w:rPr>
          <w:rFonts w:ascii="Arial" w:hAnsi="Arial" w:cs="Arial"/>
          <w:b/>
          <w:spacing w:val="66"/>
          <w:sz w:val="24"/>
          <w:szCs w:val="24"/>
        </w:rPr>
        <w:t xml:space="preserve"> </w:t>
      </w:r>
      <w:r w:rsidRPr="00B621B9">
        <w:rPr>
          <w:rFonts w:ascii="Arial" w:hAnsi="Arial" w:cs="Arial"/>
          <w:b/>
          <w:spacing w:val="-1"/>
          <w:sz w:val="24"/>
          <w:szCs w:val="24"/>
        </w:rPr>
        <w:t>SoCalGas</w:t>
      </w:r>
      <w:r w:rsidRPr="00B621B9">
        <w:rPr>
          <w:rFonts w:ascii="Arial" w:hAnsi="Arial" w:cs="Arial"/>
          <w:b/>
          <w:sz w:val="24"/>
          <w:szCs w:val="24"/>
        </w:rPr>
        <w:t xml:space="preserve"> Program </w:t>
      </w:r>
      <w:r w:rsidRPr="00B621B9">
        <w:rPr>
          <w:rFonts w:ascii="Arial" w:hAnsi="Arial" w:cs="Arial"/>
          <w:b/>
          <w:spacing w:val="-1"/>
          <w:sz w:val="24"/>
          <w:szCs w:val="24"/>
        </w:rPr>
        <w:t>Changes</w:t>
      </w:r>
      <w:r w:rsidRPr="00B621B9">
        <w:rPr>
          <w:rFonts w:ascii="Arial" w:hAnsi="Arial" w:cs="Arial"/>
          <w:b/>
          <w:sz w:val="24"/>
          <w:szCs w:val="24"/>
        </w:rPr>
        <w:t xml:space="preserve"> for Program Year 20</w:t>
      </w:r>
      <w:r w:rsidR="00395C13">
        <w:rPr>
          <w:rFonts w:ascii="Arial" w:hAnsi="Arial" w:cs="Arial"/>
          <w:b/>
          <w:sz w:val="24"/>
          <w:szCs w:val="24"/>
        </w:rPr>
        <w:t>2</w:t>
      </w:r>
      <w:r w:rsidR="004A1338">
        <w:rPr>
          <w:rFonts w:ascii="Arial" w:hAnsi="Arial" w:cs="Arial"/>
          <w:b/>
          <w:sz w:val="24"/>
          <w:szCs w:val="24"/>
        </w:rPr>
        <w:t>1</w:t>
      </w:r>
    </w:p>
    <w:p w14:paraId="343A9D11" w14:textId="47A86F50" w:rsidR="006755B7" w:rsidRDefault="006755B7" w:rsidP="00A459FD">
      <w:pPr>
        <w:rPr>
          <w:rFonts w:ascii="Arial" w:hAnsi="Arial" w:cs="Arial"/>
          <w:b/>
          <w:sz w:val="24"/>
          <w:szCs w:val="24"/>
        </w:rPr>
      </w:pPr>
    </w:p>
    <w:tbl>
      <w:tblPr>
        <w:tblW w:w="9530" w:type="dxa"/>
        <w:tblLook w:val="04A0" w:firstRow="1" w:lastRow="0" w:firstColumn="1" w:lastColumn="0" w:noHBand="0" w:noVBand="1"/>
      </w:tblPr>
      <w:tblGrid>
        <w:gridCol w:w="1451"/>
        <w:gridCol w:w="4100"/>
        <w:gridCol w:w="3979"/>
      </w:tblGrid>
      <w:tr w:rsidR="00D90540" w:rsidRPr="006755B7" w14:paraId="678B0E3F" w14:textId="77777777" w:rsidTr="0003360F">
        <w:trPr>
          <w:trHeight w:val="1508"/>
        </w:trPr>
        <w:tc>
          <w:tcPr>
            <w:tcW w:w="138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09F819BD" w14:textId="77777777" w:rsidR="006755B7" w:rsidRPr="006755B7" w:rsidRDefault="006755B7" w:rsidP="006755B7">
            <w:pPr>
              <w:jc w:val="center"/>
              <w:rPr>
                <w:rFonts w:ascii="Arial" w:eastAsia="Times New Roman" w:hAnsi="Arial" w:cs="Arial"/>
                <w:b/>
                <w:bCs/>
                <w:color w:val="000000"/>
                <w:sz w:val="24"/>
                <w:szCs w:val="24"/>
              </w:rPr>
            </w:pPr>
            <w:r w:rsidRPr="006755B7">
              <w:rPr>
                <w:rFonts w:ascii="Arial" w:eastAsia="Times New Roman" w:hAnsi="Arial" w:cs="Arial"/>
                <w:b/>
                <w:bCs/>
                <w:color w:val="000000"/>
                <w:sz w:val="24"/>
                <w:szCs w:val="24"/>
              </w:rPr>
              <w:t>Program Number</w:t>
            </w:r>
          </w:p>
        </w:tc>
        <w:tc>
          <w:tcPr>
            <w:tcW w:w="4100" w:type="dxa"/>
            <w:tcBorders>
              <w:top w:val="single" w:sz="8" w:space="0" w:color="auto"/>
              <w:left w:val="nil"/>
              <w:bottom w:val="single" w:sz="4" w:space="0" w:color="auto"/>
              <w:right w:val="single" w:sz="8" w:space="0" w:color="auto"/>
            </w:tcBorders>
            <w:shd w:val="clear" w:color="000000" w:fill="FFFFFF"/>
            <w:vAlign w:val="center"/>
            <w:hideMark/>
          </w:tcPr>
          <w:p w14:paraId="0E0024CE" w14:textId="77777777" w:rsidR="006755B7" w:rsidRPr="006755B7" w:rsidRDefault="006755B7" w:rsidP="006755B7">
            <w:pPr>
              <w:jc w:val="center"/>
              <w:rPr>
                <w:rFonts w:ascii="Arial" w:eastAsia="Times New Roman" w:hAnsi="Arial" w:cs="Arial"/>
                <w:b/>
                <w:bCs/>
                <w:color w:val="000000"/>
                <w:sz w:val="24"/>
                <w:szCs w:val="24"/>
              </w:rPr>
            </w:pPr>
            <w:r w:rsidRPr="006755B7">
              <w:rPr>
                <w:rFonts w:ascii="Arial" w:eastAsia="Times New Roman" w:hAnsi="Arial" w:cs="Arial"/>
                <w:b/>
                <w:bCs/>
                <w:color w:val="000000"/>
                <w:sz w:val="24"/>
                <w:szCs w:val="24"/>
              </w:rPr>
              <w:t>Program Name</w:t>
            </w:r>
          </w:p>
        </w:tc>
        <w:tc>
          <w:tcPr>
            <w:tcW w:w="4050" w:type="dxa"/>
            <w:tcBorders>
              <w:top w:val="single" w:sz="8" w:space="0" w:color="auto"/>
              <w:left w:val="nil"/>
              <w:bottom w:val="single" w:sz="4" w:space="0" w:color="auto"/>
              <w:right w:val="single" w:sz="8" w:space="0" w:color="auto"/>
            </w:tcBorders>
            <w:shd w:val="clear" w:color="000000" w:fill="FFFFFF"/>
            <w:vAlign w:val="center"/>
            <w:hideMark/>
          </w:tcPr>
          <w:p w14:paraId="3690AEB4" w14:textId="77777777" w:rsidR="006755B7" w:rsidRPr="006755B7" w:rsidRDefault="006755B7" w:rsidP="006755B7">
            <w:pPr>
              <w:jc w:val="center"/>
              <w:rPr>
                <w:rFonts w:ascii="Arial" w:eastAsia="Times New Roman" w:hAnsi="Arial" w:cs="Arial"/>
                <w:b/>
                <w:bCs/>
                <w:color w:val="000000"/>
                <w:sz w:val="24"/>
                <w:szCs w:val="24"/>
              </w:rPr>
            </w:pPr>
            <w:r w:rsidRPr="006755B7">
              <w:rPr>
                <w:rFonts w:ascii="Arial" w:eastAsia="Times New Roman" w:hAnsi="Arial" w:cs="Arial"/>
                <w:b/>
                <w:bCs/>
                <w:color w:val="000000"/>
                <w:sz w:val="24"/>
                <w:szCs w:val="24"/>
              </w:rPr>
              <w:t>Program Change Description</w:t>
            </w:r>
          </w:p>
        </w:tc>
      </w:tr>
      <w:tr w:rsidR="00D90540" w:rsidRPr="006755B7" w14:paraId="2285F297" w14:textId="77777777" w:rsidTr="0003360F">
        <w:trPr>
          <w:trHeight w:val="38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E8570"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SCG3705</w:t>
            </w:r>
          </w:p>
        </w:tc>
        <w:tc>
          <w:tcPr>
            <w:tcW w:w="4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211E0"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RES-Home Upgrade Program</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47F57"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 xml:space="preserve">In late 2019 a new marketing strategy focusing on management company portfolios, instead of individual property owners, allowed for a steady project pipeline. Some of these projects will see installation completion in 2020. Property managers currently participating through the program are interested in pursuing additional upgrades in 2021 for new property locations. Plus, SoCalGas and LADWP are working on expanding their marketing efforts for this program to continue providing </w:t>
            </w:r>
            <w:r w:rsidRPr="002A2FBB">
              <w:rPr>
                <w:rFonts w:ascii="Arial" w:eastAsia="Times New Roman" w:hAnsi="Arial" w:cs="Arial"/>
                <w:color w:val="000000"/>
              </w:rPr>
              <w:lastRenderedPageBreak/>
              <w:t>joint projects. This effort is expected to bring in new program interest in 2021.</w:t>
            </w:r>
          </w:p>
        </w:tc>
      </w:tr>
      <w:tr w:rsidR="00D90540" w:rsidRPr="006755B7" w14:paraId="17187EFD" w14:textId="77777777" w:rsidTr="0003360F">
        <w:trPr>
          <w:trHeight w:val="970"/>
        </w:trPr>
        <w:tc>
          <w:tcPr>
            <w:tcW w:w="138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7B8575C"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lastRenderedPageBreak/>
              <w:t>SCG3706</w:t>
            </w:r>
          </w:p>
        </w:tc>
        <w:tc>
          <w:tcPr>
            <w:tcW w:w="4100" w:type="dxa"/>
            <w:tcBorders>
              <w:top w:val="single" w:sz="4" w:space="0" w:color="auto"/>
              <w:left w:val="nil"/>
              <w:bottom w:val="single" w:sz="4" w:space="0" w:color="auto"/>
              <w:right w:val="single" w:sz="8" w:space="0" w:color="auto"/>
            </w:tcBorders>
            <w:shd w:val="clear" w:color="000000" w:fill="FFFFFF"/>
            <w:noWrap/>
            <w:vAlign w:val="center"/>
            <w:hideMark/>
          </w:tcPr>
          <w:p w14:paraId="45FC295B"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RES-Residential HVAC</w:t>
            </w:r>
          </w:p>
        </w:tc>
        <w:tc>
          <w:tcPr>
            <w:tcW w:w="4050" w:type="dxa"/>
            <w:tcBorders>
              <w:top w:val="single" w:sz="4" w:space="0" w:color="auto"/>
              <w:left w:val="nil"/>
              <w:bottom w:val="single" w:sz="4" w:space="0" w:color="auto"/>
              <w:right w:val="single" w:sz="8" w:space="0" w:color="auto"/>
            </w:tcBorders>
            <w:shd w:val="clear" w:color="000000" w:fill="FFFFFF"/>
            <w:vAlign w:val="center"/>
            <w:hideMark/>
          </w:tcPr>
          <w:p w14:paraId="75CB6617"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New SW program to launch in 2021, SoCalGas will allocate decreased budget to fund existing local program.</w:t>
            </w:r>
          </w:p>
        </w:tc>
      </w:tr>
      <w:tr w:rsidR="00D90540" w:rsidRPr="006755B7" w14:paraId="13D5C21B" w14:textId="77777777" w:rsidTr="00093D2B">
        <w:trPr>
          <w:trHeight w:val="1528"/>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C627D"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SCG3714</w:t>
            </w:r>
          </w:p>
        </w:tc>
        <w:tc>
          <w:tcPr>
            <w:tcW w:w="4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B2030"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IND-SEM</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EB5EB" w14:textId="444795A6"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 xml:space="preserve">Industrial SEM program was initiated by all California IOUs in 2018. SoCalGas delivers this program for Industrial customers across Southern California. SoCalGas is increasing the SEM budget to allocate funding for years 3 and 4 of the </w:t>
            </w:r>
            <w:proofErr w:type="gramStart"/>
            <w:r w:rsidRPr="002A2FBB">
              <w:rPr>
                <w:rFonts w:ascii="Arial" w:eastAsia="Times New Roman" w:hAnsi="Arial" w:cs="Arial"/>
                <w:color w:val="000000"/>
              </w:rPr>
              <w:t>program</w:t>
            </w:r>
            <w:proofErr w:type="gramEnd"/>
            <w:r w:rsidR="00C83CAC" w:rsidRPr="002A2FBB">
              <w:rPr>
                <w:rFonts w:ascii="Arial" w:eastAsia="Times New Roman" w:hAnsi="Arial" w:cs="Arial"/>
                <w:color w:val="000000"/>
              </w:rPr>
              <w:t xml:space="preserve"> to </w:t>
            </w:r>
            <w:r w:rsidR="008C5CA5" w:rsidRPr="002A2FBB">
              <w:rPr>
                <w:rFonts w:ascii="Arial" w:eastAsia="Times New Roman" w:hAnsi="Arial" w:cs="Arial"/>
                <w:color w:val="000000"/>
              </w:rPr>
              <w:t xml:space="preserve">allow for additional </w:t>
            </w:r>
            <w:r w:rsidR="00C83CAC" w:rsidRPr="002A2FBB">
              <w:rPr>
                <w:rFonts w:ascii="Arial" w:eastAsia="Times New Roman" w:hAnsi="Arial" w:cs="Arial"/>
                <w:color w:val="000000"/>
              </w:rPr>
              <w:t>cohorts.</w:t>
            </w:r>
          </w:p>
        </w:tc>
      </w:tr>
      <w:tr w:rsidR="00D90540" w:rsidRPr="006755B7" w14:paraId="3A23C673" w14:textId="77777777" w:rsidTr="00093D2B">
        <w:trPr>
          <w:trHeight w:val="1420"/>
        </w:trPr>
        <w:tc>
          <w:tcPr>
            <w:tcW w:w="13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842F19"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 xml:space="preserve">SCG3750   </w:t>
            </w:r>
          </w:p>
        </w:tc>
        <w:tc>
          <w:tcPr>
            <w:tcW w:w="4100" w:type="dxa"/>
            <w:tcBorders>
              <w:top w:val="single" w:sz="4" w:space="0" w:color="auto"/>
              <w:left w:val="nil"/>
              <w:bottom w:val="single" w:sz="8" w:space="0" w:color="auto"/>
              <w:right w:val="single" w:sz="8" w:space="0" w:color="auto"/>
            </w:tcBorders>
            <w:shd w:val="clear" w:color="000000" w:fill="FFFFFF"/>
            <w:noWrap/>
            <w:vAlign w:val="center"/>
            <w:hideMark/>
          </w:tcPr>
          <w:p w14:paraId="0C0F88C8"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PUB- Orange County Cities Partnership</w:t>
            </w:r>
          </w:p>
        </w:tc>
        <w:tc>
          <w:tcPr>
            <w:tcW w:w="4050" w:type="dxa"/>
            <w:tcBorders>
              <w:top w:val="single" w:sz="4" w:space="0" w:color="auto"/>
              <w:left w:val="nil"/>
              <w:bottom w:val="single" w:sz="8" w:space="0" w:color="auto"/>
              <w:right w:val="single" w:sz="8" w:space="0" w:color="auto"/>
            </w:tcBorders>
            <w:shd w:val="clear" w:color="000000" w:fill="FFFFFF"/>
            <w:vAlign w:val="center"/>
            <w:hideMark/>
          </w:tcPr>
          <w:p w14:paraId="4AFF2B0F"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In 2021, SoCalGas will consolidate North Orange County Cities Partnership (SCG3801) into Orange County Cities Partnership.  This program will expand to cover Public Sector customers throughout Orange County.</w:t>
            </w:r>
          </w:p>
        </w:tc>
      </w:tr>
      <w:tr w:rsidR="00D90540" w:rsidRPr="006755B7" w14:paraId="79A289D9" w14:textId="77777777" w:rsidTr="00093D2B">
        <w:trPr>
          <w:trHeight w:val="133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0981081E"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 xml:space="preserve">SCG3783   </w:t>
            </w:r>
          </w:p>
        </w:tc>
        <w:tc>
          <w:tcPr>
            <w:tcW w:w="4100" w:type="dxa"/>
            <w:tcBorders>
              <w:top w:val="nil"/>
              <w:left w:val="nil"/>
              <w:bottom w:val="single" w:sz="8" w:space="0" w:color="auto"/>
              <w:right w:val="single" w:sz="8" w:space="0" w:color="auto"/>
            </w:tcBorders>
            <w:shd w:val="clear" w:color="000000" w:fill="FFFFFF"/>
            <w:noWrap/>
            <w:vAlign w:val="center"/>
            <w:hideMark/>
          </w:tcPr>
          <w:p w14:paraId="36210E50"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PUB – Western Riverside Energy Partnership</w:t>
            </w:r>
          </w:p>
        </w:tc>
        <w:tc>
          <w:tcPr>
            <w:tcW w:w="4050" w:type="dxa"/>
            <w:tcBorders>
              <w:top w:val="nil"/>
              <w:left w:val="nil"/>
              <w:bottom w:val="single" w:sz="8" w:space="0" w:color="auto"/>
              <w:right w:val="single" w:sz="8" w:space="0" w:color="auto"/>
            </w:tcBorders>
            <w:shd w:val="clear" w:color="000000" w:fill="FFFFFF"/>
            <w:vAlign w:val="center"/>
            <w:hideMark/>
          </w:tcPr>
          <w:p w14:paraId="2D2EDB5F"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In 2021, SoCalGas will consolidate Riverside County Partnership (SCG3744) into Western Riverside Energy Partnership.  This program will expand to cover Public Sector customers in Riverside County.</w:t>
            </w:r>
          </w:p>
        </w:tc>
      </w:tr>
      <w:tr w:rsidR="00D90540" w:rsidRPr="006755B7" w14:paraId="14990C98" w14:textId="77777777" w:rsidTr="00093D2B">
        <w:trPr>
          <w:trHeight w:val="151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B8F4ED4"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SCG3802</w:t>
            </w:r>
          </w:p>
        </w:tc>
        <w:tc>
          <w:tcPr>
            <w:tcW w:w="4100" w:type="dxa"/>
            <w:tcBorders>
              <w:top w:val="nil"/>
              <w:left w:val="nil"/>
              <w:bottom w:val="single" w:sz="8" w:space="0" w:color="auto"/>
              <w:right w:val="single" w:sz="8" w:space="0" w:color="auto"/>
            </w:tcBorders>
            <w:shd w:val="clear" w:color="000000" w:fill="FFFFFF"/>
            <w:noWrap/>
            <w:vAlign w:val="center"/>
            <w:hideMark/>
          </w:tcPr>
          <w:p w14:paraId="73D004BD"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PUB – San Bernardino Regional Energy Partnership</w:t>
            </w:r>
          </w:p>
        </w:tc>
        <w:tc>
          <w:tcPr>
            <w:tcW w:w="4050" w:type="dxa"/>
            <w:tcBorders>
              <w:top w:val="nil"/>
              <w:left w:val="nil"/>
              <w:bottom w:val="single" w:sz="8" w:space="0" w:color="auto"/>
              <w:right w:val="single" w:sz="8" w:space="0" w:color="auto"/>
            </w:tcBorders>
            <w:shd w:val="clear" w:color="000000" w:fill="FFFFFF"/>
            <w:vAlign w:val="center"/>
            <w:hideMark/>
          </w:tcPr>
          <w:p w14:paraId="0E52ABE4"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In 2021, SoCalGas will consolidate San Bernardino County Partnership (SCG3745) into San Bernardino Regional Energy Partnership.  This program will expand to cover Public Sector customers throughout the County of San Bernardino.</w:t>
            </w:r>
          </w:p>
        </w:tc>
      </w:tr>
      <w:tr w:rsidR="00D90540" w:rsidRPr="006755B7" w14:paraId="68111CA7" w14:textId="77777777" w:rsidTr="0003360F">
        <w:trPr>
          <w:trHeight w:val="578"/>
        </w:trPr>
        <w:tc>
          <w:tcPr>
            <w:tcW w:w="1380" w:type="dxa"/>
            <w:tcBorders>
              <w:top w:val="nil"/>
              <w:left w:val="single" w:sz="8" w:space="0" w:color="auto"/>
              <w:bottom w:val="single" w:sz="4" w:space="0" w:color="auto"/>
              <w:right w:val="single" w:sz="8" w:space="0" w:color="auto"/>
            </w:tcBorders>
            <w:shd w:val="clear" w:color="000000" w:fill="FFFFFF"/>
            <w:noWrap/>
            <w:vAlign w:val="center"/>
            <w:hideMark/>
          </w:tcPr>
          <w:p w14:paraId="4E84D0A0"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SCG3809</w:t>
            </w:r>
          </w:p>
        </w:tc>
        <w:tc>
          <w:tcPr>
            <w:tcW w:w="4100" w:type="dxa"/>
            <w:tcBorders>
              <w:top w:val="nil"/>
              <w:left w:val="nil"/>
              <w:bottom w:val="single" w:sz="4" w:space="0" w:color="auto"/>
              <w:right w:val="single" w:sz="8" w:space="0" w:color="auto"/>
            </w:tcBorders>
            <w:shd w:val="clear" w:color="000000" w:fill="FFFFFF"/>
            <w:noWrap/>
            <w:vAlign w:val="center"/>
            <w:hideMark/>
          </w:tcPr>
          <w:p w14:paraId="584466CF"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COM-AB793-CEMTL Program</w:t>
            </w:r>
          </w:p>
        </w:tc>
        <w:tc>
          <w:tcPr>
            <w:tcW w:w="4050" w:type="dxa"/>
            <w:tcBorders>
              <w:top w:val="nil"/>
              <w:left w:val="nil"/>
              <w:bottom w:val="single" w:sz="4" w:space="0" w:color="auto"/>
              <w:right w:val="single" w:sz="8" w:space="0" w:color="auto"/>
            </w:tcBorders>
            <w:shd w:val="clear" w:color="000000" w:fill="FFFFFF"/>
            <w:vAlign w:val="center"/>
            <w:hideMark/>
          </w:tcPr>
          <w:p w14:paraId="5329077D" w14:textId="0944DDC5"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 xml:space="preserve">SoCalGas </w:t>
            </w:r>
            <w:r w:rsidR="00C83CAC" w:rsidRPr="002A2FBB">
              <w:rPr>
                <w:rFonts w:ascii="Arial" w:eastAsia="Times New Roman" w:hAnsi="Arial" w:cs="Arial"/>
                <w:color w:val="000000"/>
              </w:rPr>
              <w:t xml:space="preserve">is </w:t>
            </w:r>
            <w:r w:rsidRPr="002A2FBB">
              <w:rPr>
                <w:rFonts w:ascii="Arial" w:eastAsia="Times New Roman" w:hAnsi="Arial" w:cs="Arial"/>
                <w:color w:val="000000"/>
              </w:rPr>
              <w:t>decreas</w:t>
            </w:r>
            <w:r w:rsidR="00C83CAC" w:rsidRPr="002A2FBB">
              <w:rPr>
                <w:rFonts w:ascii="Arial" w:eastAsia="Times New Roman" w:hAnsi="Arial" w:cs="Arial"/>
                <w:color w:val="000000"/>
              </w:rPr>
              <w:t xml:space="preserve">ing </w:t>
            </w:r>
            <w:r w:rsidRPr="002A2FBB">
              <w:rPr>
                <w:rFonts w:ascii="Arial" w:eastAsia="Times New Roman" w:hAnsi="Arial" w:cs="Arial"/>
                <w:color w:val="000000"/>
              </w:rPr>
              <w:t>the budget and slowly ramp</w:t>
            </w:r>
            <w:r w:rsidR="00C83CAC" w:rsidRPr="002A2FBB">
              <w:rPr>
                <w:rFonts w:ascii="Arial" w:eastAsia="Times New Roman" w:hAnsi="Arial" w:cs="Arial"/>
                <w:color w:val="000000"/>
              </w:rPr>
              <w:t>ing</w:t>
            </w:r>
            <w:r w:rsidRPr="002A2FBB">
              <w:rPr>
                <w:rFonts w:ascii="Arial" w:eastAsia="Times New Roman" w:hAnsi="Arial" w:cs="Arial"/>
                <w:color w:val="000000"/>
              </w:rPr>
              <w:t xml:space="preserve"> down this program.</w:t>
            </w:r>
          </w:p>
        </w:tc>
      </w:tr>
      <w:tr w:rsidR="00D90540" w:rsidRPr="006755B7" w14:paraId="6423E11B" w14:textId="77777777" w:rsidTr="0003360F">
        <w:trPr>
          <w:trHeight w:val="578"/>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50F20"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lastRenderedPageBreak/>
              <w:t>SCG3831</w:t>
            </w:r>
          </w:p>
        </w:tc>
        <w:tc>
          <w:tcPr>
            <w:tcW w:w="4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2445F"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RES-EE Kits</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D331"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Funding will be transferred to the new solicited Third-Party program.</w:t>
            </w:r>
          </w:p>
        </w:tc>
      </w:tr>
      <w:tr w:rsidR="00D90540" w:rsidRPr="006755B7" w14:paraId="6B13BC2A" w14:textId="77777777" w:rsidTr="0003360F">
        <w:trPr>
          <w:trHeight w:val="578"/>
        </w:trPr>
        <w:tc>
          <w:tcPr>
            <w:tcW w:w="1380" w:type="dxa"/>
            <w:tcBorders>
              <w:top w:val="single" w:sz="4" w:space="0" w:color="auto"/>
              <w:left w:val="single" w:sz="8" w:space="0" w:color="auto"/>
              <w:bottom w:val="single" w:sz="8" w:space="0" w:color="auto"/>
              <w:right w:val="single" w:sz="8" w:space="0" w:color="auto"/>
            </w:tcBorders>
            <w:shd w:val="clear" w:color="000000" w:fill="FFFFFF"/>
            <w:noWrap/>
            <w:vAlign w:val="center"/>
          </w:tcPr>
          <w:p w14:paraId="13A31C78" w14:textId="625622FC" w:rsidR="004D17DB" w:rsidRPr="002A2FBB" w:rsidRDefault="004D17DB" w:rsidP="00914AF6">
            <w:pPr>
              <w:rPr>
                <w:rFonts w:ascii="Arial" w:eastAsia="Times New Roman" w:hAnsi="Arial" w:cs="Arial"/>
                <w:color w:val="000000"/>
              </w:rPr>
            </w:pPr>
            <w:r w:rsidRPr="002A2FBB">
              <w:rPr>
                <w:rFonts w:ascii="Arial" w:eastAsia="Times New Roman" w:hAnsi="Arial" w:cs="Arial"/>
                <w:color w:val="000000"/>
              </w:rPr>
              <w:t>SCG3708</w:t>
            </w:r>
          </w:p>
        </w:tc>
        <w:tc>
          <w:tcPr>
            <w:tcW w:w="4100" w:type="dxa"/>
            <w:tcBorders>
              <w:top w:val="single" w:sz="4" w:space="0" w:color="auto"/>
              <w:left w:val="nil"/>
              <w:bottom w:val="single" w:sz="8" w:space="0" w:color="auto"/>
              <w:right w:val="single" w:sz="8" w:space="0" w:color="auto"/>
            </w:tcBorders>
            <w:shd w:val="clear" w:color="000000" w:fill="FFFFFF"/>
            <w:noWrap/>
            <w:vAlign w:val="center"/>
          </w:tcPr>
          <w:p w14:paraId="7387EE40" w14:textId="48BEFCCC" w:rsidR="004D17DB" w:rsidRPr="002A2FBB" w:rsidRDefault="004D17DB" w:rsidP="00FD0EEA">
            <w:pPr>
              <w:rPr>
                <w:rFonts w:ascii="Arial" w:eastAsia="Times New Roman" w:hAnsi="Arial" w:cs="Arial"/>
                <w:color w:val="000000"/>
              </w:rPr>
            </w:pPr>
            <w:r w:rsidRPr="002A2FBB">
              <w:rPr>
                <w:rFonts w:ascii="Arial" w:eastAsia="Times New Roman" w:hAnsi="Arial" w:cs="Arial"/>
                <w:color w:val="000000"/>
              </w:rPr>
              <w:t>COM-Energy Advisor</w:t>
            </w:r>
          </w:p>
        </w:tc>
        <w:tc>
          <w:tcPr>
            <w:tcW w:w="4050" w:type="dxa"/>
            <w:tcBorders>
              <w:top w:val="single" w:sz="4" w:space="0" w:color="auto"/>
              <w:left w:val="nil"/>
              <w:bottom w:val="single" w:sz="8" w:space="0" w:color="auto"/>
              <w:right w:val="single" w:sz="8" w:space="0" w:color="auto"/>
            </w:tcBorders>
            <w:shd w:val="clear" w:color="000000" w:fill="FFFFFF"/>
            <w:vAlign w:val="center"/>
          </w:tcPr>
          <w:p w14:paraId="40CBF21B" w14:textId="61F4E7E9" w:rsidR="004D17DB" w:rsidRPr="002A2FBB" w:rsidRDefault="00E51C1C" w:rsidP="00FD0EEA">
            <w:pPr>
              <w:rPr>
                <w:rFonts w:ascii="Arial" w:eastAsia="Times New Roman" w:hAnsi="Arial" w:cs="Arial"/>
                <w:color w:val="000000"/>
              </w:rPr>
            </w:pPr>
            <w:r w:rsidRPr="002A2FBB">
              <w:rPr>
                <w:rFonts w:ascii="Arial" w:eastAsia="Times New Roman" w:hAnsi="Arial" w:cs="Arial"/>
                <w:color w:val="000000"/>
              </w:rPr>
              <w:t>Funding increased</w:t>
            </w:r>
            <w:r w:rsidR="004D17DB" w:rsidRPr="002A2FBB">
              <w:rPr>
                <w:rFonts w:ascii="Arial" w:eastAsia="Times New Roman" w:hAnsi="Arial" w:cs="Arial"/>
                <w:color w:val="000000"/>
              </w:rPr>
              <w:t xml:space="preserve"> for virtual engagement strategies</w:t>
            </w:r>
            <w:r w:rsidRPr="002A2FBB">
              <w:rPr>
                <w:rFonts w:ascii="Arial" w:eastAsia="Times New Roman" w:hAnsi="Arial" w:cs="Arial"/>
                <w:color w:val="000000"/>
              </w:rPr>
              <w:t>.</w:t>
            </w:r>
          </w:p>
        </w:tc>
      </w:tr>
      <w:tr w:rsidR="00D90540" w:rsidRPr="006755B7" w14:paraId="09672E3D" w14:textId="77777777" w:rsidTr="0003360F">
        <w:trPr>
          <w:trHeight w:val="578"/>
        </w:trPr>
        <w:tc>
          <w:tcPr>
            <w:tcW w:w="1380" w:type="dxa"/>
            <w:tcBorders>
              <w:top w:val="single" w:sz="4" w:space="0" w:color="auto"/>
              <w:left w:val="single" w:sz="8" w:space="0" w:color="auto"/>
              <w:bottom w:val="single" w:sz="8" w:space="0" w:color="auto"/>
              <w:right w:val="single" w:sz="8" w:space="0" w:color="auto"/>
            </w:tcBorders>
            <w:shd w:val="clear" w:color="000000" w:fill="FFFFFF"/>
            <w:noWrap/>
            <w:vAlign w:val="center"/>
          </w:tcPr>
          <w:p w14:paraId="2EDFDC74" w14:textId="2BC03C7C" w:rsidR="00A436E5" w:rsidRPr="002A2FBB" w:rsidRDefault="00A436E5" w:rsidP="00914AF6">
            <w:pPr>
              <w:rPr>
                <w:rFonts w:ascii="Arial" w:eastAsia="Times New Roman" w:hAnsi="Arial" w:cs="Arial"/>
                <w:color w:val="000000"/>
              </w:rPr>
            </w:pPr>
            <w:r w:rsidRPr="002A2FBB">
              <w:rPr>
                <w:rFonts w:ascii="Arial" w:eastAsia="Times New Roman" w:hAnsi="Arial" w:cs="Arial"/>
                <w:color w:val="000000"/>
              </w:rPr>
              <w:t>SCG3713</w:t>
            </w:r>
          </w:p>
        </w:tc>
        <w:tc>
          <w:tcPr>
            <w:tcW w:w="4100" w:type="dxa"/>
            <w:tcBorders>
              <w:top w:val="single" w:sz="4" w:space="0" w:color="auto"/>
              <w:left w:val="nil"/>
              <w:bottom w:val="single" w:sz="8" w:space="0" w:color="auto"/>
              <w:right w:val="single" w:sz="8" w:space="0" w:color="auto"/>
            </w:tcBorders>
            <w:shd w:val="clear" w:color="000000" w:fill="FFFFFF"/>
            <w:noWrap/>
            <w:vAlign w:val="center"/>
          </w:tcPr>
          <w:p w14:paraId="5D1914B9" w14:textId="57C17EF3" w:rsidR="00A436E5" w:rsidRPr="002A2FBB" w:rsidRDefault="00A436E5" w:rsidP="00FD0EEA">
            <w:pPr>
              <w:rPr>
                <w:rFonts w:ascii="Arial" w:eastAsia="Times New Roman" w:hAnsi="Arial" w:cs="Arial"/>
                <w:color w:val="000000"/>
              </w:rPr>
            </w:pPr>
            <w:r w:rsidRPr="002A2FBB">
              <w:rPr>
                <w:rFonts w:ascii="Arial" w:eastAsia="Times New Roman" w:hAnsi="Arial" w:cs="Arial"/>
                <w:color w:val="000000"/>
              </w:rPr>
              <w:t>IND-Energy Advisor</w:t>
            </w:r>
          </w:p>
        </w:tc>
        <w:tc>
          <w:tcPr>
            <w:tcW w:w="4050" w:type="dxa"/>
            <w:tcBorders>
              <w:top w:val="single" w:sz="4" w:space="0" w:color="auto"/>
              <w:left w:val="nil"/>
              <w:bottom w:val="single" w:sz="8" w:space="0" w:color="auto"/>
              <w:right w:val="single" w:sz="8" w:space="0" w:color="auto"/>
            </w:tcBorders>
            <w:shd w:val="clear" w:color="000000" w:fill="FFFFFF"/>
            <w:vAlign w:val="center"/>
          </w:tcPr>
          <w:p w14:paraId="263CE698" w14:textId="12A168CD" w:rsidR="00A436E5" w:rsidRPr="002A2FBB" w:rsidRDefault="00A436E5" w:rsidP="00FD0EEA">
            <w:pPr>
              <w:rPr>
                <w:rFonts w:ascii="Arial" w:eastAsia="Times New Roman" w:hAnsi="Arial" w:cs="Arial"/>
                <w:color w:val="000000"/>
              </w:rPr>
            </w:pPr>
            <w:r w:rsidRPr="002A2FBB">
              <w:rPr>
                <w:rFonts w:ascii="Arial" w:eastAsia="Times New Roman" w:hAnsi="Arial" w:cs="Arial"/>
                <w:color w:val="000000"/>
              </w:rPr>
              <w:t>Funding increased for virtual engagement strategies.</w:t>
            </w:r>
          </w:p>
        </w:tc>
      </w:tr>
      <w:tr w:rsidR="00D90540" w:rsidRPr="006755B7" w14:paraId="0141395D" w14:textId="77777777" w:rsidTr="00093D2B">
        <w:trPr>
          <w:trHeight w:val="673"/>
        </w:trPr>
        <w:tc>
          <w:tcPr>
            <w:tcW w:w="1380" w:type="dxa"/>
            <w:tcBorders>
              <w:top w:val="nil"/>
              <w:left w:val="single" w:sz="8" w:space="0" w:color="auto"/>
              <w:bottom w:val="single" w:sz="8" w:space="0" w:color="auto"/>
              <w:right w:val="single" w:sz="8" w:space="0" w:color="auto"/>
            </w:tcBorders>
            <w:shd w:val="clear" w:color="000000" w:fill="FFFFFF"/>
            <w:noWrap/>
            <w:vAlign w:val="center"/>
            <w:hideMark/>
          </w:tcPr>
          <w:p w14:paraId="4F7FAEA3"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SCG3843</w:t>
            </w:r>
          </w:p>
        </w:tc>
        <w:tc>
          <w:tcPr>
            <w:tcW w:w="4100" w:type="dxa"/>
            <w:tcBorders>
              <w:top w:val="nil"/>
              <w:left w:val="nil"/>
              <w:bottom w:val="single" w:sz="8" w:space="0" w:color="auto"/>
              <w:right w:val="single" w:sz="8" w:space="0" w:color="auto"/>
            </w:tcBorders>
            <w:shd w:val="clear" w:color="000000" w:fill="FFFFFF"/>
            <w:noWrap/>
            <w:vAlign w:val="center"/>
            <w:hideMark/>
          </w:tcPr>
          <w:p w14:paraId="705B7748"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RES-SF Solicitation</w:t>
            </w:r>
          </w:p>
        </w:tc>
        <w:tc>
          <w:tcPr>
            <w:tcW w:w="4050" w:type="dxa"/>
            <w:tcBorders>
              <w:top w:val="nil"/>
              <w:left w:val="nil"/>
              <w:bottom w:val="single" w:sz="8" w:space="0" w:color="auto"/>
              <w:right w:val="single" w:sz="8" w:space="0" w:color="auto"/>
            </w:tcBorders>
            <w:shd w:val="clear" w:color="000000" w:fill="FFFFFF"/>
            <w:vAlign w:val="center"/>
            <w:hideMark/>
          </w:tcPr>
          <w:p w14:paraId="7FFBFDB6" w14:textId="78CB9143"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Placeholder for program solicitation budget,</w:t>
            </w:r>
            <w:r w:rsidR="009B22BD" w:rsidRPr="002A2FBB">
              <w:rPr>
                <w:rFonts w:ascii="Arial" w:eastAsia="Times New Roman" w:hAnsi="Arial" w:cs="Arial"/>
                <w:color w:val="000000"/>
              </w:rPr>
              <w:t xml:space="preserve"> </w:t>
            </w:r>
            <w:r w:rsidRPr="002A2FBB">
              <w:rPr>
                <w:rFonts w:ascii="Arial" w:eastAsia="Times New Roman" w:hAnsi="Arial" w:cs="Arial"/>
                <w:color w:val="000000"/>
              </w:rPr>
              <w:t>funding will be transferred to the new Third-Party program</w:t>
            </w:r>
            <w:r w:rsidR="00D90540" w:rsidRPr="002A2FBB">
              <w:rPr>
                <w:rFonts w:ascii="Arial" w:eastAsia="Times New Roman" w:hAnsi="Arial" w:cs="Arial"/>
                <w:color w:val="000000"/>
              </w:rPr>
              <w:t>(</w:t>
            </w:r>
            <w:r w:rsidRPr="002A2FBB">
              <w:rPr>
                <w:rFonts w:ascii="Arial" w:eastAsia="Times New Roman" w:hAnsi="Arial" w:cs="Arial"/>
                <w:color w:val="000000"/>
              </w:rPr>
              <w:t>s</w:t>
            </w:r>
            <w:r w:rsidR="00D90540" w:rsidRPr="002A2FBB">
              <w:rPr>
                <w:rFonts w:ascii="Arial" w:eastAsia="Times New Roman" w:hAnsi="Arial" w:cs="Arial"/>
                <w:color w:val="000000"/>
              </w:rPr>
              <w:t>)</w:t>
            </w:r>
            <w:r w:rsidRPr="002A2FBB">
              <w:rPr>
                <w:rFonts w:ascii="Arial" w:eastAsia="Times New Roman" w:hAnsi="Arial" w:cs="Arial"/>
                <w:color w:val="000000"/>
              </w:rPr>
              <w:t>.</w:t>
            </w:r>
          </w:p>
        </w:tc>
      </w:tr>
      <w:tr w:rsidR="00D90540" w:rsidRPr="006755B7" w14:paraId="210AC682" w14:textId="77777777" w:rsidTr="00093D2B">
        <w:trPr>
          <w:trHeight w:val="610"/>
        </w:trPr>
        <w:tc>
          <w:tcPr>
            <w:tcW w:w="1380" w:type="dxa"/>
            <w:tcBorders>
              <w:top w:val="nil"/>
              <w:left w:val="single" w:sz="8" w:space="0" w:color="auto"/>
              <w:bottom w:val="single" w:sz="8" w:space="0" w:color="auto"/>
              <w:right w:val="single" w:sz="8" w:space="0" w:color="auto"/>
            </w:tcBorders>
            <w:shd w:val="clear" w:color="000000" w:fill="FFFFFF"/>
            <w:noWrap/>
            <w:vAlign w:val="center"/>
            <w:hideMark/>
          </w:tcPr>
          <w:p w14:paraId="3E425D35" w14:textId="77777777" w:rsidR="006755B7" w:rsidRPr="002A2FBB" w:rsidRDefault="006755B7" w:rsidP="00914AF6">
            <w:pPr>
              <w:rPr>
                <w:rFonts w:ascii="Arial" w:eastAsia="Times New Roman" w:hAnsi="Arial" w:cs="Arial"/>
                <w:color w:val="000000"/>
              </w:rPr>
            </w:pPr>
            <w:r w:rsidRPr="002A2FBB">
              <w:rPr>
                <w:rFonts w:ascii="Arial" w:eastAsia="Times New Roman" w:hAnsi="Arial" w:cs="Arial"/>
                <w:color w:val="000000"/>
              </w:rPr>
              <w:t>SCG3844</w:t>
            </w:r>
          </w:p>
        </w:tc>
        <w:tc>
          <w:tcPr>
            <w:tcW w:w="4100" w:type="dxa"/>
            <w:tcBorders>
              <w:top w:val="nil"/>
              <w:left w:val="nil"/>
              <w:bottom w:val="single" w:sz="8" w:space="0" w:color="auto"/>
              <w:right w:val="single" w:sz="8" w:space="0" w:color="auto"/>
            </w:tcBorders>
            <w:shd w:val="clear" w:color="000000" w:fill="FFFFFF"/>
            <w:noWrap/>
            <w:vAlign w:val="center"/>
            <w:hideMark/>
          </w:tcPr>
          <w:p w14:paraId="12FE8B7B"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RES-MF Solicitation</w:t>
            </w:r>
          </w:p>
        </w:tc>
        <w:tc>
          <w:tcPr>
            <w:tcW w:w="4050" w:type="dxa"/>
            <w:tcBorders>
              <w:top w:val="nil"/>
              <w:left w:val="nil"/>
              <w:bottom w:val="single" w:sz="8" w:space="0" w:color="auto"/>
              <w:right w:val="single" w:sz="8" w:space="0" w:color="auto"/>
            </w:tcBorders>
            <w:shd w:val="clear" w:color="000000" w:fill="FFFFFF"/>
            <w:vAlign w:val="center"/>
            <w:hideMark/>
          </w:tcPr>
          <w:p w14:paraId="4A39A8BA" w14:textId="2F373D4F"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Placeholder for program solicitation budget,</w:t>
            </w:r>
            <w:r w:rsidR="009B22BD" w:rsidRPr="002A2FBB">
              <w:rPr>
                <w:rFonts w:ascii="Arial" w:eastAsia="Times New Roman" w:hAnsi="Arial" w:cs="Arial"/>
                <w:color w:val="000000"/>
              </w:rPr>
              <w:t xml:space="preserve"> </w:t>
            </w:r>
            <w:r w:rsidRPr="002A2FBB">
              <w:rPr>
                <w:rFonts w:ascii="Arial" w:eastAsia="Times New Roman" w:hAnsi="Arial" w:cs="Arial"/>
                <w:color w:val="000000"/>
              </w:rPr>
              <w:t>funding will be transferred to the new Third-Party program</w:t>
            </w:r>
            <w:r w:rsidR="00D90540" w:rsidRPr="002A2FBB">
              <w:rPr>
                <w:rFonts w:ascii="Arial" w:eastAsia="Times New Roman" w:hAnsi="Arial" w:cs="Arial"/>
                <w:color w:val="000000"/>
              </w:rPr>
              <w:t>(</w:t>
            </w:r>
            <w:r w:rsidRPr="002A2FBB">
              <w:rPr>
                <w:rFonts w:ascii="Arial" w:eastAsia="Times New Roman" w:hAnsi="Arial" w:cs="Arial"/>
                <w:color w:val="000000"/>
              </w:rPr>
              <w:t>s</w:t>
            </w:r>
            <w:r w:rsidR="00D90540" w:rsidRPr="002A2FBB">
              <w:rPr>
                <w:rFonts w:ascii="Arial" w:eastAsia="Times New Roman" w:hAnsi="Arial" w:cs="Arial"/>
                <w:color w:val="000000"/>
              </w:rPr>
              <w:t>)</w:t>
            </w:r>
            <w:r w:rsidRPr="002A2FBB">
              <w:rPr>
                <w:rFonts w:ascii="Arial" w:eastAsia="Times New Roman" w:hAnsi="Arial" w:cs="Arial"/>
                <w:color w:val="000000"/>
              </w:rPr>
              <w:t>.</w:t>
            </w:r>
          </w:p>
        </w:tc>
      </w:tr>
      <w:tr w:rsidR="00D90540" w:rsidRPr="006755B7" w14:paraId="6A46A983" w14:textId="77777777" w:rsidTr="00093D2B">
        <w:trPr>
          <w:trHeight w:val="700"/>
        </w:trPr>
        <w:tc>
          <w:tcPr>
            <w:tcW w:w="1380" w:type="dxa"/>
            <w:tcBorders>
              <w:top w:val="nil"/>
              <w:left w:val="single" w:sz="8" w:space="0" w:color="auto"/>
              <w:bottom w:val="single" w:sz="8" w:space="0" w:color="auto"/>
              <w:right w:val="single" w:sz="8" w:space="0" w:color="auto"/>
            </w:tcBorders>
            <w:shd w:val="clear" w:color="000000" w:fill="FFFFFF"/>
            <w:noWrap/>
            <w:vAlign w:val="center"/>
            <w:hideMark/>
          </w:tcPr>
          <w:p w14:paraId="6499A753" w14:textId="72E5AFC6" w:rsidR="00D90540" w:rsidRPr="002A2FBB" w:rsidRDefault="00D90540" w:rsidP="00914AF6">
            <w:pPr>
              <w:rPr>
                <w:rFonts w:ascii="Arial" w:eastAsia="Times New Roman" w:hAnsi="Arial" w:cs="Arial"/>
                <w:color w:val="000000"/>
              </w:rPr>
            </w:pPr>
            <w:r w:rsidRPr="002A2FBB">
              <w:rPr>
                <w:rFonts w:ascii="Arial" w:eastAsia="Times New Roman" w:hAnsi="Arial" w:cs="Arial"/>
                <w:color w:val="000000"/>
              </w:rPr>
              <w:t>SCG_SW_</w:t>
            </w:r>
          </w:p>
          <w:p w14:paraId="356E2206" w14:textId="40C14144" w:rsidR="00D90540" w:rsidRPr="002A2FBB" w:rsidRDefault="00D90540" w:rsidP="00914AF6">
            <w:pPr>
              <w:rPr>
                <w:rFonts w:ascii="Arial" w:eastAsia="Times New Roman" w:hAnsi="Arial" w:cs="Arial"/>
                <w:color w:val="000000"/>
              </w:rPr>
            </w:pPr>
            <w:proofErr w:type="spellStart"/>
            <w:r w:rsidRPr="002A2FBB">
              <w:rPr>
                <w:rFonts w:ascii="Arial" w:eastAsia="Times New Roman" w:hAnsi="Arial" w:cs="Arial"/>
                <w:color w:val="000000"/>
              </w:rPr>
              <w:t>NC_NonRes</w:t>
            </w:r>
            <w:proofErr w:type="spellEnd"/>
          </w:p>
        </w:tc>
        <w:tc>
          <w:tcPr>
            <w:tcW w:w="4100" w:type="dxa"/>
            <w:tcBorders>
              <w:top w:val="nil"/>
              <w:left w:val="nil"/>
              <w:bottom w:val="single" w:sz="8" w:space="0" w:color="auto"/>
              <w:right w:val="single" w:sz="8" w:space="0" w:color="auto"/>
            </w:tcBorders>
            <w:shd w:val="clear" w:color="000000" w:fill="FFFFFF"/>
            <w:noWrap/>
            <w:vAlign w:val="center"/>
            <w:hideMark/>
          </w:tcPr>
          <w:p w14:paraId="5D1C0DE1" w14:textId="77777777"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RES-SW-New Construction</w:t>
            </w:r>
          </w:p>
        </w:tc>
        <w:tc>
          <w:tcPr>
            <w:tcW w:w="4050" w:type="dxa"/>
            <w:tcBorders>
              <w:top w:val="nil"/>
              <w:left w:val="nil"/>
              <w:bottom w:val="single" w:sz="8" w:space="0" w:color="auto"/>
              <w:right w:val="single" w:sz="8" w:space="0" w:color="auto"/>
            </w:tcBorders>
            <w:shd w:val="clear" w:color="000000" w:fill="FFFFFF"/>
            <w:vAlign w:val="center"/>
            <w:hideMark/>
          </w:tcPr>
          <w:p w14:paraId="184D5871" w14:textId="0B71D2A1" w:rsidR="006755B7" w:rsidRPr="002A2FBB" w:rsidRDefault="006755B7" w:rsidP="00FD0EEA">
            <w:pPr>
              <w:rPr>
                <w:rFonts w:ascii="Arial" w:eastAsia="Times New Roman" w:hAnsi="Arial" w:cs="Arial"/>
                <w:color w:val="000000"/>
              </w:rPr>
            </w:pPr>
            <w:r w:rsidRPr="002A2FBB">
              <w:rPr>
                <w:rFonts w:ascii="Arial" w:eastAsia="Times New Roman" w:hAnsi="Arial" w:cs="Arial"/>
                <w:color w:val="000000"/>
              </w:rPr>
              <w:t>SoCalGas will launch a new SW program</w:t>
            </w:r>
            <w:r w:rsidR="00E51C1C" w:rsidRPr="002A2FBB">
              <w:rPr>
                <w:rFonts w:ascii="Arial" w:eastAsia="Times New Roman" w:hAnsi="Arial" w:cs="Arial"/>
                <w:color w:val="000000"/>
              </w:rPr>
              <w:t xml:space="preserve"> to align with Commission direction</w:t>
            </w:r>
            <w:r w:rsidRPr="002A2FBB">
              <w:rPr>
                <w:rFonts w:ascii="Arial" w:eastAsia="Times New Roman" w:hAnsi="Arial" w:cs="Arial"/>
                <w:color w:val="000000"/>
              </w:rPr>
              <w:t>.</w:t>
            </w:r>
          </w:p>
        </w:tc>
      </w:tr>
    </w:tbl>
    <w:p w14:paraId="63C239E7" w14:textId="77777777" w:rsidR="00247984" w:rsidRPr="00B621B9" w:rsidRDefault="00247984" w:rsidP="00F3217D">
      <w:pPr>
        <w:autoSpaceDE w:val="0"/>
        <w:autoSpaceDN w:val="0"/>
        <w:adjustRightInd w:val="0"/>
        <w:rPr>
          <w:rFonts w:ascii="Arial" w:hAnsi="Arial" w:cs="Arial"/>
          <w:b/>
          <w:bCs/>
          <w:sz w:val="24"/>
          <w:szCs w:val="24"/>
          <w:u w:val="single"/>
        </w:rPr>
      </w:pPr>
    </w:p>
    <w:p w14:paraId="41D5F953" w14:textId="77777777" w:rsidR="00F3217D" w:rsidRPr="00B621B9" w:rsidRDefault="008E2F39" w:rsidP="00F3217D">
      <w:pPr>
        <w:autoSpaceDE w:val="0"/>
        <w:autoSpaceDN w:val="0"/>
        <w:adjustRightInd w:val="0"/>
        <w:rPr>
          <w:rFonts w:ascii="Arial" w:hAnsi="Arial" w:cs="Arial"/>
          <w:b/>
          <w:bCs/>
          <w:sz w:val="24"/>
          <w:szCs w:val="24"/>
          <w:u w:val="single"/>
        </w:rPr>
      </w:pPr>
      <w:r>
        <w:rPr>
          <w:rFonts w:ascii="Arial" w:hAnsi="Arial" w:cs="Arial"/>
          <w:b/>
          <w:bCs/>
          <w:sz w:val="24"/>
          <w:szCs w:val="24"/>
          <w:u w:val="single"/>
        </w:rPr>
        <w:t>SoCalGas PY 20</w:t>
      </w:r>
      <w:r w:rsidR="00395C13">
        <w:rPr>
          <w:rFonts w:ascii="Arial" w:hAnsi="Arial" w:cs="Arial"/>
          <w:b/>
          <w:bCs/>
          <w:sz w:val="24"/>
          <w:szCs w:val="24"/>
          <w:u w:val="single"/>
        </w:rPr>
        <w:t>2</w:t>
      </w:r>
      <w:r w:rsidR="004A1338">
        <w:rPr>
          <w:rFonts w:ascii="Arial" w:hAnsi="Arial" w:cs="Arial"/>
          <w:b/>
          <w:bCs/>
          <w:sz w:val="24"/>
          <w:szCs w:val="24"/>
          <w:u w:val="single"/>
        </w:rPr>
        <w:t>1</w:t>
      </w:r>
      <w:r>
        <w:rPr>
          <w:rFonts w:ascii="Arial" w:hAnsi="Arial" w:cs="Arial"/>
          <w:b/>
          <w:bCs/>
          <w:sz w:val="24"/>
          <w:szCs w:val="24"/>
          <w:u w:val="single"/>
        </w:rPr>
        <w:t xml:space="preserve"> </w:t>
      </w:r>
      <w:r w:rsidR="00F3217D" w:rsidRPr="00B621B9">
        <w:rPr>
          <w:rFonts w:ascii="Arial" w:hAnsi="Arial" w:cs="Arial"/>
          <w:b/>
          <w:bCs/>
          <w:sz w:val="24"/>
          <w:szCs w:val="24"/>
          <w:u w:val="single"/>
        </w:rPr>
        <w:t>Program Closures</w:t>
      </w:r>
    </w:p>
    <w:p w14:paraId="48CAC13D" w14:textId="77777777" w:rsidR="00F3217D" w:rsidRPr="00B621B9" w:rsidRDefault="00F3217D" w:rsidP="00F3217D">
      <w:pPr>
        <w:autoSpaceDE w:val="0"/>
        <w:autoSpaceDN w:val="0"/>
        <w:adjustRightInd w:val="0"/>
        <w:rPr>
          <w:rFonts w:ascii="Arial" w:hAnsi="Arial" w:cs="Arial"/>
          <w:b/>
          <w:bCs/>
          <w:sz w:val="24"/>
          <w:szCs w:val="24"/>
          <w:u w:val="single"/>
        </w:rPr>
      </w:pPr>
    </w:p>
    <w:p w14:paraId="25642411" w14:textId="77777777" w:rsidR="00F3217D" w:rsidRPr="00B621B9" w:rsidRDefault="00F3217D" w:rsidP="00F3217D">
      <w:pPr>
        <w:spacing w:before="69"/>
        <w:ind w:right="169"/>
        <w:rPr>
          <w:rFonts w:ascii="Arial" w:eastAsia="Arial" w:hAnsi="Arial" w:cs="Arial"/>
          <w:sz w:val="24"/>
          <w:szCs w:val="24"/>
        </w:rPr>
      </w:pPr>
      <w:r w:rsidRPr="00B621B9">
        <w:rPr>
          <w:rFonts w:ascii="Arial" w:eastAsia="Arial" w:hAnsi="Arial" w:cs="Arial"/>
          <w:spacing w:val="-1"/>
          <w:sz w:val="24"/>
          <w:szCs w:val="24"/>
        </w:rPr>
        <w:t>As part of SoCalGas’ portfolio, SoCalGas plans to close</w:t>
      </w:r>
      <w:r w:rsidRPr="00B621B9">
        <w:rPr>
          <w:rFonts w:ascii="Arial" w:eastAsia="Arial" w:hAnsi="Arial" w:cs="Arial"/>
          <w:sz w:val="24"/>
          <w:szCs w:val="24"/>
        </w:rPr>
        <w:t xml:space="preserve"> the following programs</w:t>
      </w:r>
      <w:r w:rsidRPr="00B621B9">
        <w:rPr>
          <w:rFonts w:ascii="Arial" w:eastAsia="Arial" w:hAnsi="Arial" w:cs="Arial"/>
          <w:spacing w:val="25"/>
          <w:sz w:val="24"/>
          <w:szCs w:val="24"/>
        </w:rPr>
        <w:t xml:space="preserve"> </w:t>
      </w:r>
      <w:r w:rsidRPr="00B621B9">
        <w:rPr>
          <w:rFonts w:ascii="Arial" w:eastAsia="Arial" w:hAnsi="Arial" w:cs="Arial"/>
          <w:sz w:val="24"/>
          <w:szCs w:val="24"/>
        </w:rPr>
        <w:t>in 20</w:t>
      </w:r>
      <w:r w:rsidR="00395C13">
        <w:rPr>
          <w:rFonts w:ascii="Arial" w:eastAsia="Arial" w:hAnsi="Arial" w:cs="Arial"/>
          <w:sz w:val="24"/>
          <w:szCs w:val="24"/>
        </w:rPr>
        <w:t>2</w:t>
      </w:r>
      <w:r w:rsidR="004A1338">
        <w:rPr>
          <w:rFonts w:ascii="Arial" w:eastAsia="Arial" w:hAnsi="Arial" w:cs="Arial"/>
          <w:sz w:val="24"/>
          <w:szCs w:val="24"/>
        </w:rPr>
        <w:t>1</w:t>
      </w:r>
      <w:r w:rsidRPr="00B621B9">
        <w:rPr>
          <w:rFonts w:ascii="Arial" w:eastAsia="Arial" w:hAnsi="Arial" w:cs="Arial"/>
          <w:sz w:val="24"/>
          <w:szCs w:val="24"/>
        </w:rPr>
        <w:t xml:space="preserve">, shown in Table </w:t>
      </w:r>
      <w:r w:rsidR="001B16F8">
        <w:rPr>
          <w:rFonts w:ascii="Arial" w:eastAsia="Arial" w:hAnsi="Arial" w:cs="Arial"/>
          <w:sz w:val="24"/>
          <w:szCs w:val="24"/>
        </w:rPr>
        <w:t>5</w:t>
      </w:r>
      <w:r w:rsidRPr="00B621B9">
        <w:rPr>
          <w:rFonts w:ascii="Arial" w:eastAsia="Arial" w:hAnsi="Arial" w:cs="Arial"/>
          <w:sz w:val="24"/>
          <w:szCs w:val="24"/>
        </w:rPr>
        <w:t xml:space="preserve">.  Given the </w:t>
      </w:r>
      <w:r w:rsidRPr="00B621B9">
        <w:rPr>
          <w:rFonts w:ascii="Arial" w:eastAsia="Arial" w:hAnsi="Arial" w:cs="Arial"/>
          <w:spacing w:val="-1"/>
          <w:sz w:val="24"/>
          <w:szCs w:val="24"/>
        </w:rPr>
        <w:t>dynamic</w:t>
      </w:r>
      <w:r w:rsidRPr="00B621B9">
        <w:rPr>
          <w:rFonts w:ascii="Arial" w:eastAsia="Arial" w:hAnsi="Arial" w:cs="Arial"/>
          <w:spacing w:val="1"/>
          <w:sz w:val="24"/>
          <w:szCs w:val="24"/>
        </w:rPr>
        <w:t xml:space="preserve"> </w:t>
      </w:r>
      <w:r w:rsidRPr="00B621B9">
        <w:rPr>
          <w:rFonts w:ascii="Arial" w:eastAsia="Arial" w:hAnsi="Arial" w:cs="Arial"/>
          <w:spacing w:val="-1"/>
          <w:sz w:val="24"/>
          <w:szCs w:val="24"/>
        </w:rPr>
        <w:t>changes in E</w:t>
      </w:r>
      <w:r w:rsidR="00A21E20">
        <w:rPr>
          <w:rFonts w:ascii="Arial" w:eastAsia="Arial" w:hAnsi="Arial" w:cs="Arial"/>
          <w:spacing w:val="-1"/>
          <w:sz w:val="24"/>
          <w:szCs w:val="24"/>
        </w:rPr>
        <w:t xml:space="preserve">nergy </w:t>
      </w:r>
      <w:r w:rsidRPr="00B621B9">
        <w:rPr>
          <w:rFonts w:ascii="Arial" w:eastAsia="Arial" w:hAnsi="Arial" w:cs="Arial"/>
          <w:spacing w:val="-1"/>
          <w:sz w:val="24"/>
          <w:szCs w:val="24"/>
        </w:rPr>
        <w:t>E</w:t>
      </w:r>
      <w:r w:rsidR="00A21E20">
        <w:rPr>
          <w:rFonts w:ascii="Arial" w:eastAsia="Arial" w:hAnsi="Arial" w:cs="Arial"/>
          <w:spacing w:val="-1"/>
          <w:sz w:val="24"/>
          <w:szCs w:val="24"/>
        </w:rPr>
        <w:t>fficiency</w:t>
      </w:r>
      <w:r w:rsidRPr="00B621B9">
        <w:rPr>
          <w:rFonts w:ascii="Arial" w:eastAsia="Arial" w:hAnsi="Arial" w:cs="Arial"/>
          <w:sz w:val="24"/>
          <w:szCs w:val="24"/>
        </w:rPr>
        <w:t>,</w:t>
      </w:r>
      <w:r w:rsidRPr="00B621B9">
        <w:rPr>
          <w:rFonts w:ascii="Arial" w:eastAsia="Arial" w:hAnsi="Arial" w:cs="Arial"/>
          <w:spacing w:val="27"/>
          <w:sz w:val="24"/>
          <w:szCs w:val="24"/>
        </w:rPr>
        <w:t xml:space="preserve"> </w:t>
      </w:r>
      <w:r w:rsidRPr="00B621B9">
        <w:rPr>
          <w:rFonts w:ascii="Arial" w:eastAsia="Arial" w:hAnsi="Arial" w:cs="Arial"/>
          <w:sz w:val="24"/>
          <w:szCs w:val="24"/>
        </w:rPr>
        <w:t>these programs are</w:t>
      </w:r>
      <w:r w:rsidRPr="00B621B9">
        <w:rPr>
          <w:rFonts w:ascii="Arial" w:eastAsia="Arial" w:hAnsi="Arial" w:cs="Arial"/>
          <w:spacing w:val="1"/>
          <w:sz w:val="24"/>
          <w:szCs w:val="24"/>
        </w:rPr>
        <w:t xml:space="preserve"> </w:t>
      </w:r>
      <w:r w:rsidRPr="00B621B9">
        <w:rPr>
          <w:rFonts w:ascii="Arial" w:eastAsia="Arial" w:hAnsi="Arial" w:cs="Arial"/>
          <w:spacing w:val="-1"/>
          <w:sz w:val="24"/>
          <w:szCs w:val="24"/>
        </w:rPr>
        <w:t>no longer viable.</w:t>
      </w:r>
    </w:p>
    <w:p w14:paraId="5C33CEC5" w14:textId="77777777" w:rsidR="00BE294C" w:rsidRDefault="00BE294C" w:rsidP="00914AF6">
      <w:pPr>
        <w:rPr>
          <w:rFonts w:ascii="Arial" w:hAnsi="Arial" w:cs="Arial"/>
          <w:b/>
          <w:sz w:val="24"/>
          <w:szCs w:val="24"/>
        </w:rPr>
      </w:pPr>
      <w:bookmarkStart w:id="8" w:name="_Hlk17363138"/>
    </w:p>
    <w:p w14:paraId="5DA4CCA5" w14:textId="6D4BF4C8" w:rsidR="00F3217D" w:rsidRDefault="00F3217D" w:rsidP="00F3217D">
      <w:pPr>
        <w:ind w:left="1424"/>
        <w:rPr>
          <w:rFonts w:ascii="Arial" w:hAnsi="Arial" w:cs="Arial"/>
          <w:b/>
          <w:sz w:val="24"/>
          <w:szCs w:val="24"/>
        </w:rPr>
      </w:pPr>
      <w:r w:rsidRPr="00B621B9">
        <w:rPr>
          <w:rFonts w:ascii="Arial" w:hAnsi="Arial" w:cs="Arial"/>
          <w:b/>
          <w:sz w:val="24"/>
          <w:szCs w:val="24"/>
        </w:rPr>
        <w:t xml:space="preserve">Table </w:t>
      </w:r>
      <w:r w:rsidR="001B16F8">
        <w:rPr>
          <w:rFonts w:ascii="Arial" w:hAnsi="Arial" w:cs="Arial"/>
          <w:b/>
          <w:sz w:val="24"/>
          <w:szCs w:val="24"/>
        </w:rPr>
        <w:t>5</w:t>
      </w:r>
      <w:r w:rsidRPr="00B621B9">
        <w:rPr>
          <w:rFonts w:ascii="Arial" w:hAnsi="Arial" w:cs="Arial"/>
          <w:b/>
          <w:sz w:val="24"/>
          <w:szCs w:val="24"/>
        </w:rPr>
        <w:t>:</w:t>
      </w:r>
      <w:r w:rsidRPr="00B621B9">
        <w:rPr>
          <w:rFonts w:ascii="Arial" w:hAnsi="Arial" w:cs="Arial"/>
          <w:b/>
          <w:spacing w:val="66"/>
          <w:sz w:val="24"/>
          <w:szCs w:val="24"/>
        </w:rPr>
        <w:t xml:space="preserve"> </w:t>
      </w:r>
      <w:r w:rsidRPr="00B621B9">
        <w:rPr>
          <w:rFonts w:ascii="Arial" w:hAnsi="Arial" w:cs="Arial"/>
          <w:b/>
          <w:spacing w:val="-1"/>
          <w:sz w:val="24"/>
          <w:szCs w:val="24"/>
        </w:rPr>
        <w:t>SoCalGas</w:t>
      </w:r>
      <w:r w:rsidRPr="00B621B9">
        <w:rPr>
          <w:rFonts w:ascii="Arial" w:hAnsi="Arial" w:cs="Arial"/>
          <w:b/>
          <w:sz w:val="24"/>
          <w:szCs w:val="24"/>
        </w:rPr>
        <w:t xml:space="preserve"> Program </w:t>
      </w:r>
      <w:r w:rsidRPr="00B621B9">
        <w:rPr>
          <w:rFonts w:ascii="Arial" w:hAnsi="Arial" w:cs="Arial"/>
          <w:b/>
          <w:spacing w:val="-1"/>
          <w:sz w:val="24"/>
          <w:szCs w:val="24"/>
        </w:rPr>
        <w:t>Closures</w:t>
      </w:r>
      <w:r w:rsidRPr="00B621B9">
        <w:rPr>
          <w:rFonts w:ascii="Arial" w:hAnsi="Arial" w:cs="Arial"/>
          <w:b/>
          <w:sz w:val="24"/>
          <w:szCs w:val="24"/>
        </w:rPr>
        <w:t xml:space="preserve"> for Program Year 20</w:t>
      </w:r>
      <w:r w:rsidR="00395C13">
        <w:rPr>
          <w:rFonts w:ascii="Arial" w:hAnsi="Arial" w:cs="Arial"/>
          <w:b/>
          <w:sz w:val="24"/>
          <w:szCs w:val="24"/>
        </w:rPr>
        <w:t>2</w:t>
      </w:r>
      <w:r w:rsidR="00E45DAD">
        <w:rPr>
          <w:rFonts w:ascii="Arial" w:hAnsi="Arial" w:cs="Arial"/>
          <w:b/>
          <w:sz w:val="24"/>
          <w:szCs w:val="24"/>
        </w:rPr>
        <w:t>1</w:t>
      </w:r>
    </w:p>
    <w:p w14:paraId="05E05289" w14:textId="1C463689" w:rsidR="0095788C" w:rsidRDefault="0095788C" w:rsidP="00914AF6">
      <w:pPr>
        <w:rPr>
          <w:rFonts w:ascii="Arial" w:hAnsi="Arial" w:cs="Arial"/>
          <w:b/>
          <w:sz w:val="24"/>
          <w:szCs w:val="24"/>
        </w:rPr>
      </w:pPr>
    </w:p>
    <w:tbl>
      <w:tblPr>
        <w:tblW w:w="9620" w:type="dxa"/>
        <w:tblLook w:val="04A0" w:firstRow="1" w:lastRow="0" w:firstColumn="1" w:lastColumn="0" w:noHBand="0" w:noVBand="1"/>
      </w:tblPr>
      <w:tblGrid>
        <w:gridCol w:w="1203"/>
        <w:gridCol w:w="4277"/>
        <w:gridCol w:w="4140"/>
      </w:tblGrid>
      <w:tr w:rsidR="006674E9" w:rsidRPr="006674E9" w14:paraId="394CA861" w14:textId="77777777" w:rsidTr="00093D2B">
        <w:trPr>
          <w:trHeight w:val="608"/>
        </w:trPr>
        <w:tc>
          <w:tcPr>
            <w:tcW w:w="120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1CBB9D" w14:textId="77777777" w:rsidR="006674E9" w:rsidRPr="006674E9" w:rsidRDefault="006674E9" w:rsidP="006674E9">
            <w:pPr>
              <w:jc w:val="center"/>
              <w:rPr>
                <w:rFonts w:ascii="Arial" w:eastAsia="Times New Roman" w:hAnsi="Arial" w:cs="Arial"/>
                <w:b/>
                <w:bCs/>
                <w:color w:val="000000"/>
                <w:sz w:val="24"/>
                <w:szCs w:val="24"/>
              </w:rPr>
            </w:pPr>
            <w:r w:rsidRPr="006674E9">
              <w:rPr>
                <w:rFonts w:ascii="Arial" w:eastAsia="Times New Roman" w:hAnsi="Arial" w:cs="Arial"/>
                <w:b/>
                <w:bCs/>
                <w:color w:val="000000"/>
                <w:sz w:val="24"/>
                <w:szCs w:val="24"/>
              </w:rPr>
              <w:t>Program Number</w:t>
            </w:r>
          </w:p>
        </w:tc>
        <w:tc>
          <w:tcPr>
            <w:tcW w:w="4277" w:type="dxa"/>
            <w:tcBorders>
              <w:top w:val="single" w:sz="8" w:space="0" w:color="auto"/>
              <w:left w:val="nil"/>
              <w:bottom w:val="single" w:sz="8" w:space="0" w:color="auto"/>
              <w:right w:val="single" w:sz="8" w:space="0" w:color="auto"/>
            </w:tcBorders>
            <w:shd w:val="clear" w:color="000000" w:fill="FFFFFF"/>
            <w:vAlign w:val="center"/>
            <w:hideMark/>
          </w:tcPr>
          <w:p w14:paraId="125657AB" w14:textId="77777777" w:rsidR="006674E9" w:rsidRPr="006674E9" w:rsidRDefault="006674E9" w:rsidP="006674E9">
            <w:pPr>
              <w:jc w:val="center"/>
              <w:rPr>
                <w:rFonts w:ascii="Arial" w:eastAsia="Times New Roman" w:hAnsi="Arial" w:cs="Arial"/>
                <w:b/>
                <w:bCs/>
                <w:color w:val="000000"/>
                <w:sz w:val="24"/>
                <w:szCs w:val="24"/>
              </w:rPr>
            </w:pPr>
            <w:r w:rsidRPr="006674E9">
              <w:rPr>
                <w:rFonts w:ascii="Arial" w:eastAsia="Times New Roman" w:hAnsi="Arial" w:cs="Arial"/>
                <w:b/>
                <w:bCs/>
                <w:color w:val="000000"/>
                <w:sz w:val="24"/>
                <w:szCs w:val="24"/>
              </w:rPr>
              <w:t>Program Name</w:t>
            </w:r>
          </w:p>
        </w:tc>
        <w:tc>
          <w:tcPr>
            <w:tcW w:w="4140" w:type="dxa"/>
            <w:tcBorders>
              <w:top w:val="single" w:sz="8" w:space="0" w:color="auto"/>
              <w:left w:val="nil"/>
              <w:bottom w:val="single" w:sz="8" w:space="0" w:color="auto"/>
              <w:right w:val="single" w:sz="8" w:space="0" w:color="auto"/>
            </w:tcBorders>
            <w:shd w:val="clear" w:color="000000" w:fill="FFFFFF"/>
            <w:vAlign w:val="center"/>
            <w:hideMark/>
          </w:tcPr>
          <w:p w14:paraId="156E089A" w14:textId="77777777" w:rsidR="006674E9" w:rsidRPr="006674E9" w:rsidRDefault="006674E9" w:rsidP="006674E9">
            <w:pPr>
              <w:jc w:val="center"/>
              <w:rPr>
                <w:rFonts w:ascii="Arial" w:eastAsia="Times New Roman" w:hAnsi="Arial" w:cs="Arial"/>
                <w:b/>
                <w:bCs/>
                <w:color w:val="000000"/>
                <w:sz w:val="24"/>
                <w:szCs w:val="24"/>
              </w:rPr>
            </w:pPr>
            <w:r w:rsidRPr="006674E9">
              <w:rPr>
                <w:rFonts w:ascii="Arial" w:eastAsia="Times New Roman" w:hAnsi="Arial" w:cs="Arial"/>
                <w:b/>
                <w:bCs/>
                <w:color w:val="000000"/>
                <w:sz w:val="24"/>
                <w:szCs w:val="24"/>
              </w:rPr>
              <w:t>Reason for Closure</w:t>
            </w:r>
          </w:p>
        </w:tc>
      </w:tr>
      <w:tr w:rsidR="006674E9" w:rsidRPr="006674E9" w14:paraId="16F4E556" w14:textId="77777777" w:rsidTr="00093D2B">
        <w:trPr>
          <w:trHeight w:val="1433"/>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4CE46010"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SCG3703</w:t>
            </w:r>
          </w:p>
        </w:tc>
        <w:tc>
          <w:tcPr>
            <w:tcW w:w="4277" w:type="dxa"/>
            <w:tcBorders>
              <w:top w:val="nil"/>
              <w:left w:val="nil"/>
              <w:bottom w:val="single" w:sz="8" w:space="0" w:color="auto"/>
              <w:right w:val="single" w:sz="8" w:space="0" w:color="auto"/>
            </w:tcBorders>
            <w:shd w:val="clear" w:color="000000" w:fill="FFFFFF"/>
            <w:noWrap/>
            <w:vAlign w:val="center"/>
            <w:hideMark/>
          </w:tcPr>
          <w:p w14:paraId="704622F2"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RES-Plug Load and Appliances - POS</w:t>
            </w:r>
          </w:p>
        </w:tc>
        <w:tc>
          <w:tcPr>
            <w:tcW w:w="4140" w:type="dxa"/>
            <w:tcBorders>
              <w:top w:val="nil"/>
              <w:left w:val="nil"/>
              <w:bottom w:val="single" w:sz="8" w:space="0" w:color="auto"/>
              <w:right w:val="single" w:sz="8" w:space="0" w:color="auto"/>
            </w:tcBorders>
            <w:shd w:val="clear" w:color="000000" w:fill="FFFFFF"/>
            <w:vAlign w:val="center"/>
            <w:hideMark/>
          </w:tcPr>
          <w:p w14:paraId="4DB795A6" w14:textId="77777777" w:rsidR="006674E9" w:rsidRPr="002A2FBB" w:rsidRDefault="006674E9" w:rsidP="00FD0EEA">
            <w:pPr>
              <w:rPr>
                <w:rFonts w:ascii="Arial" w:eastAsia="Times New Roman" w:hAnsi="Arial" w:cs="Arial"/>
                <w:color w:val="000000"/>
              </w:rPr>
            </w:pPr>
            <w:proofErr w:type="gramStart"/>
            <w:r w:rsidRPr="002A2FBB">
              <w:rPr>
                <w:rFonts w:ascii="Arial" w:eastAsia="Times New Roman" w:hAnsi="Arial" w:cs="Arial"/>
                <w:color w:val="000000"/>
              </w:rPr>
              <w:t>In an effort to</w:t>
            </w:r>
            <w:proofErr w:type="gramEnd"/>
            <w:r w:rsidRPr="002A2FBB">
              <w:rPr>
                <w:rFonts w:ascii="Arial" w:eastAsia="Times New Roman" w:hAnsi="Arial" w:cs="Arial"/>
                <w:color w:val="000000"/>
              </w:rPr>
              <w:t xml:space="preserve"> align with D.18-05-041 direction identifying Plug Load and Appliance (PLA) - Point of Sale (POS) - SCG3703 as a statewide program, SoCalGas will close the program to launch the statewide program in 2021.</w:t>
            </w:r>
          </w:p>
        </w:tc>
      </w:tr>
      <w:tr w:rsidR="006674E9" w:rsidRPr="006674E9" w14:paraId="56F98516" w14:textId="77777777" w:rsidTr="00093D2B">
        <w:trPr>
          <w:trHeight w:val="228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4C0EDA86"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SCG3744</w:t>
            </w:r>
          </w:p>
        </w:tc>
        <w:tc>
          <w:tcPr>
            <w:tcW w:w="4277" w:type="dxa"/>
            <w:tcBorders>
              <w:top w:val="nil"/>
              <w:left w:val="nil"/>
              <w:bottom w:val="single" w:sz="8" w:space="0" w:color="auto"/>
              <w:right w:val="single" w:sz="8" w:space="0" w:color="auto"/>
            </w:tcBorders>
            <w:shd w:val="clear" w:color="000000" w:fill="FFFFFF"/>
            <w:noWrap/>
            <w:vAlign w:val="center"/>
            <w:hideMark/>
          </w:tcPr>
          <w:p w14:paraId="70E22F0D"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PUB - Riverside Co Partnership</w:t>
            </w:r>
          </w:p>
        </w:tc>
        <w:tc>
          <w:tcPr>
            <w:tcW w:w="4140" w:type="dxa"/>
            <w:tcBorders>
              <w:top w:val="nil"/>
              <w:left w:val="nil"/>
              <w:bottom w:val="single" w:sz="8" w:space="0" w:color="auto"/>
              <w:right w:val="single" w:sz="8" w:space="0" w:color="auto"/>
            </w:tcBorders>
            <w:shd w:val="clear" w:color="000000" w:fill="FFFFFF"/>
            <w:vAlign w:val="center"/>
            <w:hideMark/>
          </w:tcPr>
          <w:p w14:paraId="303406E6"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 xml:space="preserve">In collaboration with Riverside County, SoCalGas will sunset this program at the end of 2020 and merge Riverside County Partnership into Western Riverside Energy Partnership (SCG3783) in PY 2021.  SoCalGas remains committed to supporting all Public Sector customers in the region with expanded coverage of Western Riverside Energy Partnership Program (SCG3783).    </w:t>
            </w:r>
          </w:p>
        </w:tc>
      </w:tr>
      <w:tr w:rsidR="006674E9" w:rsidRPr="006674E9" w14:paraId="65225394" w14:textId="77777777" w:rsidTr="00093D2B">
        <w:trPr>
          <w:trHeight w:val="2003"/>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55E6EE66"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lastRenderedPageBreak/>
              <w:t>SCG3745</w:t>
            </w:r>
          </w:p>
        </w:tc>
        <w:tc>
          <w:tcPr>
            <w:tcW w:w="4277" w:type="dxa"/>
            <w:tcBorders>
              <w:top w:val="nil"/>
              <w:left w:val="nil"/>
              <w:bottom w:val="single" w:sz="8" w:space="0" w:color="auto"/>
              <w:right w:val="single" w:sz="8" w:space="0" w:color="auto"/>
            </w:tcBorders>
            <w:shd w:val="clear" w:color="000000" w:fill="FFFFFF"/>
            <w:noWrap/>
            <w:vAlign w:val="center"/>
            <w:hideMark/>
          </w:tcPr>
          <w:p w14:paraId="175494DA"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PUB - San Bernardino Co Partnership</w:t>
            </w:r>
          </w:p>
        </w:tc>
        <w:tc>
          <w:tcPr>
            <w:tcW w:w="4140" w:type="dxa"/>
            <w:tcBorders>
              <w:top w:val="nil"/>
              <w:left w:val="nil"/>
              <w:bottom w:val="single" w:sz="8" w:space="0" w:color="auto"/>
              <w:right w:val="single" w:sz="8" w:space="0" w:color="auto"/>
            </w:tcBorders>
            <w:shd w:val="clear" w:color="000000" w:fill="FFFFFF"/>
            <w:vAlign w:val="center"/>
            <w:hideMark/>
          </w:tcPr>
          <w:p w14:paraId="22DF21D9"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 xml:space="preserve">In collaboration with San Bernardino County, SoCalGas will sunset this program at the end of 2020 and merge San Bernardino County Partnership into San Bernardino Regional Partnership (SCG3802) in PY 2021.  SoCalGas remains committed to supporting all Public Sector customers in the region with expanded coverage of San Bernardino regional Partnership Program (SCG3802).    </w:t>
            </w:r>
          </w:p>
        </w:tc>
      </w:tr>
      <w:tr w:rsidR="006674E9" w:rsidRPr="006674E9" w14:paraId="3A00DC56" w14:textId="77777777" w:rsidTr="00093D2B">
        <w:trPr>
          <w:trHeight w:val="4853"/>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1787533D"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SCG3751</w:t>
            </w:r>
          </w:p>
        </w:tc>
        <w:tc>
          <w:tcPr>
            <w:tcW w:w="4277" w:type="dxa"/>
            <w:tcBorders>
              <w:top w:val="nil"/>
              <w:left w:val="nil"/>
              <w:bottom w:val="single" w:sz="8" w:space="0" w:color="auto"/>
              <w:right w:val="single" w:sz="8" w:space="0" w:color="auto"/>
            </w:tcBorders>
            <w:shd w:val="clear" w:color="000000" w:fill="FFFFFF"/>
            <w:noWrap/>
            <w:vAlign w:val="center"/>
            <w:hideMark/>
          </w:tcPr>
          <w:p w14:paraId="3D90FB90"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PUB - SEEC Partnership</w:t>
            </w:r>
          </w:p>
        </w:tc>
        <w:tc>
          <w:tcPr>
            <w:tcW w:w="4140" w:type="dxa"/>
            <w:tcBorders>
              <w:top w:val="nil"/>
              <w:left w:val="nil"/>
              <w:bottom w:val="single" w:sz="8" w:space="0" w:color="auto"/>
              <w:right w:val="single" w:sz="8" w:space="0" w:color="auto"/>
            </w:tcBorders>
            <w:shd w:val="clear" w:color="000000" w:fill="FFFFFF"/>
            <w:vAlign w:val="center"/>
            <w:hideMark/>
          </w:tcPr>
          <w:p w14:paraId="7E0FAA30"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As a result of portfolio balancing processes to achieve mandated minimum cost-effectiveness thresholds, SoCalGas and the other partnering IOUs are sunsetting the Statewide Energy Efficiency Collaborative (SEEC). Over the last few years the IOUs funded the development of tools, which will remain available to local governments through the respective NGOs.  Continued success in the SEEC Program requires transition of program leadership to the Non-Government Organizations of ICLEI for Local Governments, Institute for Local Governments and the Local Government Commission. As of April 2020, the IOUs and NGOs began collaboratively planning on a stakeholder communication plan, program ramp-down and transition of activities that will provide support to local governments as they increase local capacity of energy efficiency practices.</w:t>
            </w:r>
          </w:p>
        </w:tc>
      </w:tr>
      <w:tr w:rsidR="006674E9" w:rsidRPr="006674E9" w14:paraId="1BA59D55" w14:textId="77777777" w:rsidTr="0003360F">
        <w:trPr>
          <w:trHeight w:val="578"/>
        </w:trPr>
        <w:tc>
          <w:tcPr>
            <w:tcW w:w="1203" w:type="dxa"/>
            <w:tcBorders>
              <w:top w:val="nil"/>
              <w:left w:val="single" w:sz="8" w:space="0" w:color="auto"/>
              <w:bottom w:val="single" w:sz="4" w:space="0" w:color="auto"/>
              <w:right w:val="single" w:sz="8" w:space="0" w:color="auto"/>
            </w:tcBorders>
            <w:shd w:val="clear" w:color="000000" w:fill="FFFFFF"/>
            <w:noWrap/>
            <w:vAlign w:val="center"/>
            <w:hideMark/>
          </w:tcPr>
          <w:p w14:paraId="0C66ABEF"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SCG3793</w:t>
            </w:r>
          </w:p>
        </w:tc>
        <w:tc>
          <w:tcPr>
            <w:tcW w:w="4277" w:type="dxa"/>
            <w:tcBorders>
              <w:top w:val="nil"/>
              <w:left w:val="nil"/>
              <w:bottom w:val="single" w:sz="4" w:space="0" w:color="auto"/>
              <w:right w:val="single" w:sz="8" w:space="0" w:color="auto"/>
            </w:tcBorders>
            <w:shd w:val="clear" w:color="000000" w:fill="FFFFFF"/>
            <w:noWrap/>
            <w:vAlign w:val="center"/>
            <w:hideMark/>
          </w:tcPr>
          <w:p w14:paraId="59DEA34C"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COM-IDEEA365-Instant Rebates! Point-of-Sale Foodservice Rebate Program</w:t>
            </w:r>
          </w:p>
        </w:tc>
        <w:tc>
          <w:tcPr>
            <w:tcW w:w="4140" w:type="dxa"/>
            <w:tcBorders>
              <w:top w:val="nil"/>
              <w:left w:val="nil"/>
              <w:bottom w:val="single" w:sz="4" w:space="0" w:color="auto"/>
              <w:right w:val="single" w:sz="8" w:space="0" w:color="auto"/>
            </w:tcBorders>
            <w:shd w:val="clear" w:color="000000" w:fill="FFFFFF"/>
            <w:vAlign w:val="center"/>
            <w:hideMark/>
          </w:tcPr>
          <w:p w14:paraId="4D2B92A5"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SW program coming online.</w:t>
            </w:r>
          </w:p>
        </w:tc>
      </w:tr>
      <w:tr w:rsidR="006674E9" w:rsidRPr="006674E9" w14:paraId="0A408AC5" w14:textId="77777777" w:rsidTr="0003360F">
        <w:trPr>
          <w:trHeight w:val="2288"/>
        </w:trPr>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1941B"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SCG3801</w:t>
            </w:r>
          </w:p>
        </w:tc>
        <w:tc>
          <w:tcPr>
            <w:tcW w:w="42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B9B8F"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PUB - North Orange County Cities Partnership</w:t>
            </w:r>
          </w:p>
        </w:tc>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BAF4B"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 xml:space="preserve">In collaboration with North Orange County Partners, SoCalGas will sunset this program at the end of 2020 and merge North Orange County Cities Partnership into the Orange County Cities Partnership (SCG3750) in PY 2021.  SoCalGas remains committed to supporting all Public Sector customers in North Orange County with expanded coverage of Orange County Cities Partnership Program (SCG3750).   </w:t>
            </w:r>
          </w:p>
        </w:tc>
      </w:tr>
      <w:tr w:rsidR="00D811F3" w:rsidRPr="006674E9" w14:paraId="6F2E627C" w14:textId="77777777" w:rsidTr="0003360F">
        <w:trPr>
          <w:trHeight w:val="578"/>
        </w:trPr>
        <w:tc>
          <w:tcPr>
            <w:tcW w:w="1203" w:type="dxa"/>
            <w:tcBorders>
              <w:top w:val="single" w:sz="4" w:space="0" w:color="auto"/>
              <w:left w:val="single" w:sz="8" w:space="0" w:color="auto"/>
              <w:bottom w:val="single" w:sz="8" w:space="0" w:color="auto"/>
              <w:right w:val="single" w:sz="8" w:space="0" w:color="auto"/>
            </w:tcBorders>
            <w:shd w:val="clear" w:color="000000" w:fill="FFFFFF"/>
            <w:noWrap/>
            <w:vAlign w:val="center"/>
          </w:tcPr>
          <w:p w14:paraId="3C67BBCD" w14:textId="164C98A5" w:rsidR="00D811F3" w:rsidRPr="002A2FBB" w:rsidRDefault="00D811F3" w:rsidP="00914AF6">
            <w:pPr>
              <w:rPr>
                <w:rFonts w:ascii="Arial" w:eastAsia="Times New Roman" w:hAnsi="Arial" w:cs="Arial"/>
                <w:color w:val="000000"/>
              </w:rPr>
            </w:pPr>
            <w:r w:rsidRPr="002A2FBB">
              <w:rPr>
                <w:rFonts w:ascii="Arial" w:eastAsia="Times New Roman" w:hAnsi="Arial" w:cs="Arial"/>
                <w:color w:val="000000"/>
              </w:rPr>
              <w:lastRenderedPageBreak/>
              <w:t>SCG3702</w:t>
            </w:r>
          </w:p>
        </w:tc>
        <w:tc>
          <w:tcPr>
            <w:tcW w:w="4277" w:type="dxa"/>
            <w:tcBorders>
              <w:top w:val="single" w:sz="4" w:space="0" w:color="auto"/>
              <w:left w:val="nil"/>
              <w:bottom w:val="single" w:sz="8" w:space="0" w:color="auto"/>
              <w:right w:val="single" w:sz="8" w:space="0" w:color="auto"/>
            </w:tcBorders>
            <w:shd w:val="clear" w:color="000000" w:fill="FFFFFF"/>
            <w:noWrap/>
            <w:vAlign w:val="center"/>
          </w:tcPr>
          <w:p w14:paraId="729C710D" w14:textId="49BF6841" w:rsidR="00D811F3" w:rsidRPr="002A2FBB" w:rsidRDefault="00D811F3" w:rsidP="00FD0EEA">
            <w:pPr>
              <w:rPr>
                <w:rFonts w:ascii="Arial" w:eastAsia="Times New Roman" w:hAnsi="Arial" w:cs="Arial"/>
                <w:color w:val="000000"/>
              </w:rPr>
            </w:pPr>
            <w:r w:rsidRPr="002A2FBB">
              <w:rPr>
                <w:rFonts w:ascii="Arial" w:eastAsia="Times New Roman" w:hAnsi="Arial" w:cs="Arial"/>
                <w:color w:val="000000"/>
              </w:rPr>
              <w:t>CLEO</w:t>
            </w:r>
          </w:p>
        </w:tc>
        <w:tc>
          <w:tcPr>
            <w:tcW w:w="4140" w:type="dxa"/>
            <w:tcBorders>
              <w:top w:val="single" w:sz="4" w:space="0" w:color="auto"/>
              <w:left w:val="nil"/>
              <w:bottom w:val="single" w:sz="8" w:space="0" w:color="auto"/>
              <w:right w:val="single" w:sz="8" w:space="0" w:color="auto"/>
            </w:tcBorders>
            <w:shd w:val="clear" w:color="000000" w:fill="FFFFFF"/>
            <w:vAlign w:val="center"/>
          </w:tcPr>
          <w:p w14:paraId="76A9E7CC" w14:textId="1991DABA" w:rsidR="00D811F3" w:rsidRPr="002A2FBB" w:rsidRDefault="00D811F3"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tr w:rsidR="00D811F3" w:rsidRPr="006674E9" w14:paraId="14FB5590"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tcPr>
          <w:p w14:paraId="18595902" w14:textId="1929A22E" w:rsidR="00D811F3" w:rsidRPr="002A2FBB" w:rsidRDefault="00D811F3" w:rsidP="00914AF6">
            <w:pPr>
              <w:rPr>
                <w:rFonts w:ascii="Arial" w:eastAsia="Times New Roman" w:hAnsi="Arial" w:cs="Arial"/>
                <w:color w:val="000000"/>
              </w:rPr>
            </w:pPr>
            <w:r w:rsidRPr="002A2FBB">
              <w:rPr>
                <w:rFonts w:ascii="Arial" w:eastAsia="Times New Roman" w:hAnsi="Arial" w:cs="Arial"/>
                <w:color w:val="000000"/>
              </w:rPr>
              <w:t>SCG3763</w:t>
            </w:r>
          </w:p>
        </w:tc>
        <w:tc>
          <w:tcPr>
            <w:tcW w:w="4277" w:type="dxa"/>
            <w:tcBorders>
              <w:top w:val="nil"/>
              <w:left w:val="nil"/>
              <w:bottom w:val="single" w:sz="8" w:space="0" w:color="auto"/>
              <w:right w:val="single" w:sz="8" w:space="0" w:color="auto"/>
            </w:tcBorders>
            <w:shd w:val="clear" w:color="000000" w:fill="FFFFFF"/>
            <w:noWrap/>
            <w:vAlign w:val="center"/>
          </w:tcPr>
          <w:p w14:paraId="42BBCD2D" w14:textId="77777777" w:rsidR="00D811F3" w:rsidRPr="002A2FBB" w:rsidRDefault="00D811F3" w:rsidP="00FD0EEA">
            <w:pPr>
              <w:rPr>
                <w:rFonts w:ascii="Arial" w:eastAsia="Times New Roman" w:hAnsi="Arial" w:cs="Arial"/>
                <w:color w:val="000000"/>
              </w:rPr>
            </w:pPr>
            <w:r w:rsidRPr="002A2FBB">
              <w:rPr>
                <w:rFonts w:ascii="Arial" w:eastAsia="Times New Roman" w:hAnsi="Arial" w:cs="Arial"/>
                <w:color w:val="000000"/>
              </w:rPr>
              <w:t>RES-MF Direct Therm Savings</w:t>
            </w:r>
          </w:p>
          <w:p w14:paraId="36B84F22" w14:textId="77777777" w:rsidR="00D811F3" w:rsidRPr="002A2FBB" w:rsidRDefault="00D811F3" w:rsidP="00FD0EEA">
            <w:pPr>
              <w:rPr>
                <w:rFonts w:ascii="Arial" w:eastAsia="Times New Roman" w:hAnsi="Arial" w:cs="Arial"/>
                <w:color w:val="000000"/>
              </w:rPr>
            </w:pPr>
          </w:p>
        </w:tc>
        <w:tc>
          <w:tcPr>
            <w:tcW w:w="4140" w:type="dxa"/>
            <w:tcBorders>
              <w:top w:val="nil"/>
              <w:left w:val="nil"/>
              <w:bottom w:val="single" w:sz="8" w:space="0" w:color="auto"/>
              <w:right w:val="single" w:sz="8" w:space="0" w:color="auto"/>
            </w:tcBorders>
            <w:shd w:val="clear" w:color="000000" w:fill="FFFFFF"/>
            <w:vAlign w:val="center"/>
          </w:tcPr>
          <w:p w14:paraId="57C0A809" w14:textId="7EB5A542" w:rsidR="00D811F3" w:rsidRPr="002A2FBB" w:rsidRDefault="00D811F3"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tr w:rsidR="006674E9" w:rsidRPr="006674E9" w14:paraId="742F14C4"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521C547B"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SCG3805</w:t>
            </w:r>
          </w:p>
        </w:tc>
        <w:tc>
          <w:tcPr>
            <w:tcW w:w="4277" w:type="dxa"/>
            <w:tcBorders>
              <w:top w:val="nil"/>
              <w:left w:val="nil"/>
              <w:bottom w:val="single" w:sz="8" w:space="0" w:color="auto"/>
              <w:right w:val="single" w:sz="8" w:space="0" w:color="auto"/>
            </w:tcBorders>
            <w:shd w:val="clear" w:color="000000" w:fill="FFFFFF"/>
            <w:noWrap/>
            <w:vAlign w:val="center"/>
            <w:hideMark/>
          </w:tcPr>
          <w:p w14:paraId="23E1C3D5"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COM-Direct Install Program</w:t>
            </w:r>
          </w:p>
        </w:tc>
        <w:tc>
          <w:tcPr>
            <w:tcW w:w="4140" w:type="dxa"/>
            <w:tcBorders>
              <w:top w:val="nil"/>
              <w:left w:val="nil"/>
              <w:bottom w:val="single" w:sz="8" w:space="0" w:color="auto"/>
              <w:right w:val="single" w:sz="8" w:space="0" w:color="auto"/>
            </w:tcBorders>
            <w:shd w:val="clear" w:color="000000" w:fill="FFFFFF"/>
            <w:vAlign w:val="center"/>
            <w:hideMark/>
          </w:tcPr>
          <w:p w14:paraId="2722915B"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tr w:rsidR="006674E9" w:rsidRPr="006674E9" w14:paraId="6743CF6A"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4D3C92B2"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SCG3814</w:t>
            </w:r>
          </w:p>
        </w:tc>
        <w:tc>
          <w:tcPr>
            <w:tcW w:w="4277" w:type="dxa"/>
            <w:tcBorders>
              <w:top w:val="nil"/>
              <w:left w:val="nil"/>
              <w:bottom w:val="single" w:sz="8" w:space="0" w:color="auto"/>
              <w:right w:val="single" w:sz="8" w:space="0" w:color="auto"/>
            </w:tcBorders>
            <w:shd w:val="clear" w:color="000000" w:fill="FFFFFF"/>
            <w:noWrap/>
            <w:vAlign w:val="center"/>
            <w:hideMark/>
          </w:tcPr>
          <w:p w14:paraId="27D49B4B"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COM-Midstream Water Heating</w:t>
            </w:r>
          </w:p>
        </w:tc>
        <w:tc>
          <w:tcPr>
            <w:tcW w:w="4140" w:type="dxa"/>
            <w:tcBorders>
              <w:top w:val="nil"/>
              <w:left w:val="nil"/>
              <w:bottom w:val="single" w:sz="8" w:space="0" w:color="auto"/>
              <w:right w:val="single" w:sz="8" w:space="0" w:color="auto"/>
            </w:tcBorders>
            <w:shd w:val="clear" w:color="000000" w:fill="FFFFFF"/>
            <w:vAlign w:val="center"/>
            <w:hideMark/>
          </w:tcPr>
          <w:p w14:paraId="225663EA"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SW program coming online.</w:t>
            </w:r>
          </w:p>
        </w:tc>
      </w:tr>
      <w:tr w:rsidR="006674E9" w:rsidRPr="006674E9" w14:paraId="087713A3"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59491BEA"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SCG3817</w:t>
            </w:r>
          </w:p>
        </w:tc>
        <w:tc>
          <w:tcPr>
            <w:tcW w:w="4277" w:type="dxa"/>
            <w:tcBorders>
              <w:top w:val="nil"/>
              <w:left w:val="nil"/>
              <w:bottom w:val="single" w:sz="8" w:space="0" w:color="auto"/>
              <w:right w:val="single" w:sz="8" w:space="0" w:color="auto"/>
            </w:tcBorders>
            <w:shd w:val="clear" w:color="000000" w:fill="FFFFFF"/>
            <w:noWrap/>
            <w:vAlign w:val="center"/>
            <w:hideMark/>
          </w:tcPr>
          <w:p w14:paraId="64C0C070"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PUB-Direct Install Program</w:t>
            </w:r>
          </w:p>
        </w:tc>
        <w:tc>
          <w:tcPr>
            <w:tcW w:w="4140" w:type="dxa"/>
            <w:tcBorders>
              <w:top w:val="nil"/>
              <w:left w:val="nil"/>
              <w:bottom w:val="single" w:sz="8" w:space="0" w:color="auto"/>
              <w:right w:val="single" w:sz="8" w:space="0" w:color="auto"/>
            </w:tcBorders>
            <w:shd w:val="clear" w:color="000000" w:fill="FFFFFF"/>
            <w:vAlign w:val="center"/>
            <w:hideMark/>
          </w:tcPr>
          <w:p w14:paraId="51A3801F"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tr w:rsidR="006674E9" w:rsidRPr="006674E9" w14:paraId="62848C07"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5B38F6AE"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SCG3820</w:t>
            </w:r>
          </w:p>
        </w:tc>
        <w:tc>
          <w:tcPr>
            <w:tcW w:w="4277" w:type="dxa"/>
            <w:tcBorders>
              <w:top w:val="nil"/>
              <w:left w:val="nil"/>
              <w:bottom w:val="single" w:sz="8" w:space="0" w:color="auto"/>
              <w:right w:val="single" w:sz="8" w:space="0" w:color="auto"/>
            </w:tcBorders>
            <w:shd w:val="clear" w:color="000000" w:fill="FFFFFF"/>
            <w:noWrap/>
            <w:vAlign w:val="center"/>
            <w:hideMark/>
          </w:tcPr>
          <w:p w14:paraId="335C6055"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RES-Direct Install Program</w:t>
            </w:r>
          </w:p>
        </w:tc>
        <w:tc>
          <w:tcPr>
            <w:tcW w:w="4140" w:type="dxa"/>
            <w:tcBorders>
              <w:top w:val="nil"/>
              <w:left w:val="nil"/>
              <w:bottom w:val="single" w:sz="8" w:space="0" w:color="auto"/>
              <w:right w:val="single" w:sz="8" w:space="0" w:color="auto"/>
            </w:tcBorders>
            <w:shd w:val="clear" w:color="000000" w:fill="FFFFFF"/>
            <w:vAlign w:val="center"/>
            <w:hideMark/>
          </w:tcPr>
          <w:p w14:paraId="79E85EAA"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tr w:rsidR="006674E9" w:rsidRPr="006674E9" w14:paraId="14E36896" w14:textId="77777777" w:rsidTr="00093D2B">
        <w:trPr>
          <w:trHeight w:val="578"/>
        </w:trPr>
        <w:tc>
          <w:tcPr>
            <w:tcW w:w="1203" w:type="dxa"/>
            <w:tcBorders>
              <w:top w:val="nil"/>
              <w:left w:val="single" w:sz="8" w:space="0" w:color="auto"/>
              <w:bottom w:val="single" w:sz="8" w:space="0" w:color="auto"/>
              <w:right w:val="single" w:sz="8" w:space="0" w:color="auto"/>
            </w:tcBorders>
            <w:shd w:val="clear" w:color="000000" w:fill="FFFFFF"/>
            <w:noWrap/>
            <w:vAlign w:val="center"/>
            <w:hideMark/>
          </w:tcPr>
          <w:p w14:paraId="11FCD485" w14:textId="77777777" w:rsidR="006674E9" w:rsidRPr="002A2FBB" w:rsidRDefault="006674E9" w:rsidP="00914AF6">
            <w:pPr>
              <w:rPr>
                <w:rFonts w:ascii="Arial" w:eastAsia="Times New Roman" w:hAnsi="Arial" w:cs="Arial"/>
                <w:color w:val="000000"/>
              </w:rPr>
            </w:pPr>
            <w:r w:rsidRPr="002A2FBB">
              <w:rPr>
                <w:rFonts w:ascii="Arial" w:eastAsia="Times New Roman" w:hAnsi="Arial" w:cs="Arial"/>
                <w:color w:val="000000"/>
              </w:rPr>
              <w:t>SCG3821</w:t>
            </w:r>
          </w:p>
        </w:tc>
        <w:tc>
          <w:tcPr>
            <w:tcW w:w="4277" w:type="dxa"/>
            <w:tcBorders>
              <w:top w:val="nil"/>
              <w:left w:val="nil"/>
              <w:bottom w:val="single" w:sz="8" w:space="0" w:color="auto"/>
              <w:right w:val="single" w:sz="8" w:space="0" w:color="auto"/>
            </w:tcBorders>
            <w:shd w:val="clear" w:color="000000" w:fill="FFFFFF"/>
            <w:noWrap/>
            <w:vAlign w:val="center"/>
            <w:hideMark/>
          </w:tcPr>
          <w:p w14:paraId="2B719BFA"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IND-Direct Install Program</w:t>
            </w:r>
          </w:p>
        </w:tc>
        <w:tc>
          <w:tcPr>
            <w:tcW w:w="4140" w:type="dxa"/>
            <w:tcBorders>
              <w:top w:val="nil"/>
              <w:left w:val="nil"/>
              <w:bottom w:val="single" w:sz="8" w:space="0" w:color="auto"/>
              <w:right w:val="single" w:sz="8" w:space="0" w:color="auto"/>
            </w:tcBorders>
            <w:shd w:val="clear" w:color="000000" w:fill="FFFFFF"/>
            <w:vAlign w:val="center"/>
            <w:hideMark/>
          </w:tcPr>
          <w:p w14:paraId="40799F5C" w14:textId="77777777" w:rsidR="006674E9" w:rsidRPr="002A2FBB" w:rsidRDefault="006674E9" w:rsidP="00FD0EEA">
            <w:pPr>
              <w:rPr>
                <w:rFonts w:ascii="Arial" w:eastAsia="Times New Roman" w:hAnsi="Arial" w:cs="Arial"/>
                <w:color w:val="000000"/>
              </w:rPr>
            </w:pPr>
            <w:r w:rsidRPr="002A2FBB">
              <w:rPr>
                <w:rFonts w:ascii="Arial" w:eastAsia="Times New Roman" w:hAnsi="Arial" w:cs="Arial"/>
                <w:color w:val="000000"/>
              </w:rPr>
              <w:t>This program will be closed due to the new local program coming online.</w:t>
            </w:r>
          </w:p>
        </w:tc>
      </w:tr>
      <w:bookmarkEnd w:id="8"/>
    </w:tbl>
    <w:p w14:paraId="57A17C24" w14:textId="77777777" w:rsidR="00D355CC" w:rsidRDefault="00D355CC" w:rsidP="008E2F39">
      <w:pPr>
        <w:autoSpaceDE w:val="0"/>
        <w:autoSpaceDN w:val="0"/>
        <w:adjustRightInd w:val="0"/>
        <w:rPr>
          <w:rFonts w:ascii="Arial" w:hAnsi="Arial" w:cs="Arial"/>
          <w:b/>
          <w:bCs/>
          <w:sz w:val="24"/>
          <w:szCs w:val="24"/>
          <w:u w:val="single"/>
        </w:rPr>
      </w:pPr>
    </w:p>
    <w:p w14:paraId="4544C791" w14:textId="43C780B5" w:rsidR="008E2F39" w:rsidRDefault="008E2F39" w:rsidP="008E2F39">
      <w:pPr>
        <w:autoSpaceDE w:val="0"/>
        <w:autoSpaceDN w:val="0"/>
        <w:adjustRightInd w:val="0"/>
        <w:rPr>
          <w:rFonts w:ascii="Arial" w:hAnsi="Arial" w:cs="Arial"/>
          <w:b/>
          <w:bCs/>
          <w:sz w:val="24"/>
          <w:szCs w:val="24"/>
          <w:u w:val="single"/>
        </w:rPr>
      </w:pPr>
      <w:r>
        <w:rPr>
          <w:rFonts w:ascii="Arial" w:hAnsi="Arial" w:cs="Arial"/>
          <w:b/>
          <w:bCs/>
          <w:sz w:val="24"/>
          <w:szCs w:val="24"/>
          <w:u w:val="single"/>
        </w:rPr>
        <w:t>SoCalGas PY 20</w:t>
      </w:r>
      <w:r w:rsidR="00DF239A">
        <w:rPr>
          <w:rFonts w:ascii="Arial" w:hAnsi="Arial" w:cs="Arial"/>
          <w:b/>
          <w:bCs/>
          <w:sz w:val="24"/>
          <w:szCs w:val="24"/>
          <w:u w:val="single"/>
        </w:rPr>
        <w:t>2</w:t>
      </w:r>
      <w:r w:rsidR="004A1338">
        <w:rPr>
          <w:rFonts w:ascii="Arial" w:hAnsi="Arial" w:cs="Arial"/>
          <w:b/>
          <w:bCs/>
          <w:sz w:val="24"/>
          <w:szCs w:val="24"/>
          <w:u w:val="single"/>
        </w:rPr>
        <w:t>1</w:t>
      </w:r>
      <w:r>
        <w:rPr>
          <w:rFonts w:ascii="Arial" w:hAnsi="Arial" w:cs="Arial"/>
          <w:b/>
          <w:bCs/>
          <w:sz w:val="24"/>
          <w:szCs w:val="24"/>
          <w:u w:val="single"/>
        </w:rPr>
        <w:t xml:space="preserve"> New Program</w:t>
      </w:r>
      <w:r w:rsidR="00011F45">
        <w:rPr>
          <w:rFonts w:ascii="Arial" w:hAnsi="Arial" w:cs="Arial"/>
          <w:b/>
          <w:bCs/>
          <w:sz w:val="24"/>
          <w:szCs w:val="24"/>
          <w:u w:val="single"/>
        </w:rPr>
        <w:t>s</w:t>
      </w:r>
    </w:p>
    <w:p w14:paraId="7AA8DC37" w14:textId="77777777" w:rsidR="003A6C73" w:rsidRDefault="003A6C73" w:rsidP="008E2F39">
      <w:pPr>
        <w:autoSpaceDE w:val="0"/>
        <w:autoSpaceDN w:val="0"/>
        <w:adjustRightInd w:val="0"/>
        <w:rPr>
          <w:rFonts w:ascii="Arial" w:hAnsi="Arial" w:cs="Arial"/>
          <w:b/>
          <w:bCs/>
          <w:sz w:val="24"/>
          <w:szCs w:val="24"/>
          <w:u w:val="single"/>
        </w:rPr>
      </w:pPr>
    </w:p>
    <w:p w14:paraId="3B152251" w14:textId="77777777" w:rsidR="003A6C73" w:rsidRPr="00C462C6" w:rsidRDefault="003A6C73" w:rsidP="005209A8">
      <w:pPr>
        <w:autoSpaceDE w:val="0"/>
        <w:autoSpaceDN w:val="0"/>
        <w:adjustRightInd w:val="0"/>
        <w:rPr>
          <w:rFonts w:ascii="Arial" w:hAnsi="Arial" w:cs="Arial"/>
          <w:bCs/>
          <w:sz w:val="24"/>
          <w:szCs w:val="24"/>
        </w:rPr>
      </w:pPr>
      <w:r w:rsidRPr="000C579B">
        <w:rPr>
          <w:rFonts w:ascii="Arial" w:hAnsi="Arial" w:cs="Arial"/>
          <w:bCs/>
          <w:sz w:val="24"/>
          <w:szCs w:val="24"/>
        </w:rPr>
        <w:t>The following programs are solicitation placeholders in anticipation of</w:t>
      </w:r>
      <w:r w:rsidRPr="003F357C">
        <w:rPr>
          <w:rFonts w:ascii="Arial" w:hAnsi="Arial" w:cs="Arial"/>
          <w:bCs/>
          <w:sz w:val="24"/>
          <w:szCs w:val="24"/>
        </w:rPr>
        <w:t xml:space="preserve"> the third-party programs that will be forthcoming through</w:t>
      </w:r>
      <w:r w:rsidRPr="00C462C6">
        <w:rPr>
          <w:rFonts w:ascii="Arial" w:hAnsi="Arial" w:cs="Arial"/>
          <w:bCs/>
          <w:sz w:val="24"/>
          <w:szCs w:val="24"/>
        </w:rPr>
        <w:t xml:space="preserve"> SoCalGas’ solicitation efforts as well as the statewide program solicitations.</w:t>
      </w:r>
    </w:p>
    <w:p w14:paraId="34D24C7A" w14:textId="77777777" w:rsidR="002A5DE9" w:rsidRDefault="002A5DE9" w:rsidP="003A6C73">
      <w:pPr>
        <w:autoSpaceDE w:val="0"/>
        <w:autoSpaceDN w:val="0"/>
        <w:adjustRightInd w:val="0"/>
        <w:rPr>
          <w:rFonts w:ascii="Arial" w:hAnsi="Arial" w:cs="Arial"/>
          <w:bCs/>
          <w:sz w:val="24"/>
          <w:szCs w:val="24"/>
        </w:rPr>
      </w:pPr>
    </w:p>
    <w:p w14:paraId="113B35A5" w14:textId="77777777" w:rsidR="00A436E5" w:rsidRPr="00D355CC"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AG-Agricultural</w:t>
      </w:r>
      <w:r w:rsidRPr="00D355CC">
        <w:rPr>
          <w:rFonts w:ascii="Arial" w:hAnsi="Arial" w:cs="Arial"/>
          <w:bCs/>
          <w:sz w:val="24"/>
          <w:szCs w:val="24"/>
        </w:rPr>
        <w:t xml:space="preserve"> Solicitation</w:t>
      </w:r>
    </w:p>
    <w:p w14:paraId="2785BB4E"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COM-Large Commercial</w:t>
      </w:r>
      <w:r w:rsidRPr="00D355CC">
        <w:rPr>
          <w:rFonts w:ascii="Arial" w:hAnsi="Arial" w:cs="Arial"/>
          <w:bCs/>
          <w:sz w:val="24"/>
          <w:szCs w:val="24"/>
        </w:rPr>
        <w:t xml:space="preserve"> Solicitation</w:t>
      </w:r>
    </w:p>
    <w:p w14:paraId="506F7A4C"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RES-Manufactured Homes Solicitation</w:t>
      </w:r>
    </w:p>
    <w:p w14:paraId="5FB3A314" w14:textId="77777777" w:rsidR="00A436E5" w:rsidRDefault="00A436E5" w:rsidP="00A436E5">
      <w:pPr>
        <w:autoSpaceDE w:val="0"/>
        <w:autoSpaceDN w:val="0"/>
        <w:adjustRightInd w:val="0"/>
        <w:ind w:left="720"/>
        <w:rPr>
          <w:rFonts w:ascii="Arial" w:hAnsi="Arial" w:cs="Arial"/>
          <w:bCs/>
          <w:sz w:val="24"/>
          <w:szCs w:val="24"/>
        </w:rPr>
      </w:pPr>
    </w:p>
    <w:p w14:paraId="09841E92" w14:textId="77777777" w:rsidR="00A436E5" w:rsidRDefault="00A436E5" w:rsidP="00A436E5">
      <w:pPr>
        <w:numPr>
          <w:ilvl w:val="0"/>
          <w:numId w:val="39"/>
        </w:numPr>
        <w:autoSpaceDE w:val="0"/>
        <w:autoSpaceDN w:val="0"/>
        <w:adjustRightInd w:val="0"/>
        <w:rPr>
          <w:rFonts w:ascii="Arial" w:hAnsi="Arial" w:cs="Arial"/>
          <w:bCs/>
          <w:sz w:val="24"/>
          <w:szCs w:val="24"/>
        </w:rPr>
      </w:pPr>
      <w:proofErr w:type="spellStart"/>
      <w:r>
        <w:rPr>
          <w:rFonts w:ascii="Arial" w:hAnsi="Arial" w:cs="Arial"/>
          <w:bCs/>
          <w:sz w:val="24"/>
          <w:szCs w:val="24"/>
        </w:rPr>
        <w:t>SCG_SW_WET_Work</w:t>
      </w:r>
      <w:proofErr w:type="spellEnd"/>
      <w:r>
        <w:rPr>
          <w:rFonts w:ascii="Arial" w:hAnsi="Arial" w:cs="Arial"/>
          <w:bCs/>
          <w:sz w:val="24"/>
          <w:szCs w:val="24"/>
        </w:rPr>
        <w:t xml:space="preserve"> – </w:t>
      </w:r>
      <w:r w:rsidRPr="00C438B8">
        <w:rPr>
          <w:rFonts w:ascii="Arial" w:hAnsi="Arial" w:cs="Arial"/>
          <w:bCs/>
          <w:sz w:val="24"/>
          <w:szCs w:val="24"/>
        </w:rPr>
        <w:t>WE&amp;T Career and Workforce Readiness</w:t>
      </w:r>
    </w:p>
    <w:p w14:paraId="2C957486"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 xml:space="preserve">SCG_SW_IP_GOV – </w:t>
      </w:r>
      <w:r w:rsidRPr="00C438B8">
        <w:rPr>
          <w:rFonts w:ascii="Arial" w:hAnsi="Arial" w:cs="Arial"/>
          <w:bCs/>
          <w:sz w:val="24"/>
          <w:szCs w:val="24"/>
        </w:rPr>
        <w:t xml:space="preserve">Institutional Partnerships: DGS &amp; </w:t>
      </w:r>
      <w:proofErr w:type="spellStart"/>
      <w:r w:rsidRPr="00C438B8">
        <w:rPr>
          <w:rFonts w:ascii="Arial" w:hAnsi="Arial" w:cs="Arial"/>
          <w:bCs/>
          <w:sz w:val="24"/>
          <w:szCs w:val="24"/>
        </w:rPr>
        <w:t>DoC</w:t>
      </w:r>
      <w:proofErr w:type="spellEnd"/>
    </w:p>
    <w:p w14:paraId="7CA3F5F8"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 xml:space="preserve">SCG_SW_WET_K12 – </w:t>
      </w:r>
      <w:r w:rsidRPr="00C438B8">
        <w:rPr>
          <w:rFonts w:ascii="Arial" w:hAnsi="Arial" w:cs="Arial"/>
          <w:bCs/>
          <w:sz w:val="24"/>
          <w:szCs w:val="24"/>
        </w:rPr>
        <w:t>WE&amp;T K-12 Connections</w:t>
      </w:r>
    </w:p>
    <w:p w14:paraId="39201B43"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SCG_SW_ETP_GAS – Emerging Technologies, Gas</w:t>
      </w:r>
    </w:p>
    <w:p w14:paraId="1FC2B009"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 xml:space="preserve">SCG_SW_FS – </w:t>
      </w:r>
      <w:r w:rsidRPr="00C438B8">
        <w:rPr>
          <w:rFonts w:ascii="Arial" w:hAnsi="Arial" w:cs="Arial"/>
          <w:bCs/>
          <w:sz w:val="24"/>
          <w:szCs w:val="24"/>
        </w:rPr>
        <w:t xml:space="preserve">Food Service </w:t>
      </w:r>
      <w:r>
        <w:rPr>
          <w:rFonts w:ascii="Arial" w:hAnsi="Arial" w:cs="Arial"/>
          <w:bCs/>
          <w:sz w:val="24"/>
          <w:szCs w:val="24"/>
        </w:rPr>
        <w:t>POS</w:t>
      </w:r>
    </w:p>
    <w:p w14:paraId="0AE802D1"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 xml:space="preserve">SCG_SW_MCWH – </w:t>
      </w:r>
      <w:r w:rsidRPr="00C438B8">
        <w:rPr>
          <w:rFonts w:ascii="Arial" w:hAnsi="Arial" w:cs="Arial"/>
          <w:bCs/>
          <w:sz w:val="24"/>
          <w:szCs w:val="24"/>
        </w:rPr>
        <w:t>Midstream Comm</w:t>
      </w:r>
      <w:r>
        <w:rPr>
          <w:rFonts w:ascii="Arial" w:hAnsi="Arial" w:cs="Arial"/>
          <w:bCs/>
          <w:sz w:val="24"/>
          <w:szCs w:val="24"/>
        </w:rPr>
        <w:t>ercial</w:t>
      </w:r>
      <w:r w:rsidRPr="00C438B8">
        <w:rPr>
          <w:rFonts w:ascii="Arial" w:hAnsi="Arial" w:cs="Arial"/>
          <w:bCs/>
          <w:sz w:val="24"/>
          <w:szCs w:val="24"/>
        </w:rPr>
        <w:t xml:space="preserve"> Water Heating</w:t>
      </w:r>
    </w:p>
    <w:p w14:paraId="01C0D296" w14:textId="77777777" w:rsidR="00A436E5" w:rsidRDefault="00A436E5" w:rsidP="00A436E5">
      <w:pPr>
        <w:numPr>
          <w:ilvl w:val="0"/>
          <w:numId w:val="39"/>
        </w:numPr>
        <w:autoSpaceDE w:val="0"/>
        <w:autoSpaceDN w:val="0"/>
        <w:adjustRightInd w:val="0"/>
        <w:rPr>
          <w:rFonts w:ascii="Arial" w:hAnsi="Arial" w:cs="Arial"/>
          <w:bCs/>
          <w:sz w:val="24"/>
          <w:szCs w:val="24"/>
        </w:rPr>
      </w:pPr>
      <w:r>
        <w:rPr>
          <w:rFonts w:ascii="Arial" w:hAnsi="Arial" w:cs="Arial"/>
          <w:bCs/>
          <w:sz w:val="24"/>
          <w:szCs w:val="24"/>
        </w:rPr>
        <w:t xml:space="preserve">SCG_SW_PLA – </w:t>
      </w:r>
      <w:r w:rsidRPr="00C438B8">
        <w:rPr>
          <w:rFonts w:ascii="Arial" w:hAnsi="Arial" w:cs="Arial"/>
          <w:bCs/>
          <w:sz w:val="24"/>
          <w:szCs w:val="24"/>
        </w:rPr>
        <w:t>Plug Load and Appliance</w:t>
      </w:r>
    </w:p>
    <w:p w14:paraId="5D5B82FB" w14:textId="77777777" w:rsidR="00A436E5" w:rsidRPr="00D355CC" w:rsidRDefault="00A436E5" w:rsidP="00A436E5">
      <w:pPr>
        <w:numPr>
          <w:ilvl w:val="0"/>
          <w:numId w:val="39"/>
        </w:numPr>
        <w:autoSpaceDE w:val="0"/>
        <w:autoSpaceDN w:val="0"/>
        <w:adjustRightInd w:val="0"/>
        <w:rPr>
          <w:rFonts w:ascii="Arial" w:hAnsi="Arial" w:cs="Arial"/>
          <w:bCs/>
          <w:sz w:val="24"/>
          <w:szCs w:val="24"/>
        </w:rPr>
      </w:pPr>
      <w:proofErr w:type="spellStart"/>
      <w:r>
        <w:rPr>
          <w:rFonts w:ascii="Arial" w:hAnsi="Arial" w:cs="Arial"/>
          <w:bCs/>
          <w:sz w:val="24"/>
          <w:szCs w:val="24"/>
        </w:rPr>
        <w:t>SCG_SW_HVAC_Up</w:t>
      </w:r>
      <w:proofErr w:type="spellEnd"/>
      <w:r>
        <w:rPr>
          <w:rFonts w:ascii="Arial" w:hAnsi="Arial" w:cs="Arial"/>
          <w:bCs/>
          <w:sz w:val="24"/>
          <w:szCs w:val="24"/>
        </w:rPr>
        <w:t xml:space="preserve"> – </w:t>
      </w:r>
      <w:r w:rsidRPr="00C438B8">
        <w:rPr>
          <w:rFonts w:ascii="Arial" w:hAnsi="Arial" w:cs="Arial"/>
          <w:bCs/>
          <w:sz w:val="24"/>
          <w:szCs w:val="24"/>
        </w:rPr>
        <w:t>Upstream HVAC (Co</w:t>
      </w:r>
      <w:r>
        <w:rPr>
          <w:rFonts w:ascii="Arial" w:hAnsi="Arial" w:cs="Arial"/>
          <w:bCs/>
          <w:sz w:val="24"/>
          <w:szCs w:val="24"/>
        </w:rPr>
        <w:t>mmercial &amp; Residential</w:t>
      </w:r>
      <w:r w:rsidRPr="00C438B8">
        <w:rPr>
          <w:rFonts w:ascii="Arial" w:hAnsi="Arial" w:cs="Arial"/>
          <w:bCs/>
          <w:sz w:val="24"/>
          <w:szCs w:val="24"/>
        </w:rPr>
        <w:t>)</w:t>
      </w:r>
      <w:r>
        <w:rPr>
          <w:rFonts w:ascii="Arial" w:hAnsi="Arial" w:cs="Arial"/>
          <w:bCs/>
          <w:sz w:val="24"/>
          <w:szCs w:val="24"/>
        </w:rPr>
        <w:t xml:space="preserve"> </w:t>
      </w:r>
    </w:p>
    <w:p w14:paraId="5088DB85" w14:textId="77777777" w:rsidR="007C6710" w:rsidRDefault="007C6710" w:rsidP="00AF70BF">
      <w:pPr>
        <w:rPr>
          <w:rFonts w:ascii="Arial" w:hAnsi="Arial" w:cs="Arial"/>
          <w:b/>
          <w:sz w:val="24"/>
          <w:szCs w:val="24"/>
          <w:u w:val="single"/>
        </w:rPr>
      </w:pPr>
    </w:p>
    <w:p w14:paraId="6ABAAA26" w14:textId="5790292F" w:rsidR="00AF70BF" w:rsidRDefault="00AF70BF" w:rsidP="00AF70BF">
      <w:pPr>
        <w:rPr>
          <w:rFonts w:ascii="Arial" w:hAnsi="Arial" w:cs="Arial"/>
          <w:b/>
          <w:sz w:val="24"/>
          <w:szCs w:val="24"/>
          <w:u w:val="single"/>
        </w:rPr>
      </w:pPr>
      <w:r w:rsidRPr="00F76ADC">
        <w:rPr>
          <w:rFonts w:ascii="Arial" w:hAnsi="Arial" w:cs="Arial"/>
          <w:b/>
          <w:sz w:val="24"/>
          <w:szCs w:val="24"/>
          <w:u w:val="single"/>
        </w:rPr>
        <w:t>SoCalGas’ 20</w:t>
      </w:r>
      <w:r>
        <w:rPr>
          <w:rFonts w:ascii="Arial" w:hAnsi="Arial" w:cs="Arial"/>
          <w:b/>
          <w:sz w:val="24"/>
          <w:szCs w:val="24"/>
          <w:u w:val="single"/>
        </w:rPr>
        <w:t>2</w:t>
      </w:r>
      <w:r w:rsidR="004A1338">
        <w:rPr>
          <w:rFonts w:ascii="Arial" w:hAnsi="Arial" w:cs="Arial"/>
          <w:b/>
          <w:sz w:val="24"/>
          <w:szCs w:val="24"/>
          <w:u w:val="single"/>
        </w:rPr>
        <w:t>1</w:t>
      </w:r>
      <w:r w:rsidRPr="00F76ADC">
        <w:rPr>
          <w:rFonts w:ascii="Arial" w:hAnsi="Arial" w:cs="Arial"/>
          <w:b/>
          <w:sz w:val="24"/>
          <w:szCs w:val="24"/>
          <w:u w:val="single"/>
        </w:rPr>
        <w:t xml:space="preserve"> Portfolio Budget Caps and Target</w:t>
      </w:r>
    </w:p>
    <w:p w14:paraId="161E530B" w14:textId="77777777" w:rsidR="00AF70BF" w:rsidRPr="00F76ADC" w:rsidRDefault="00AF70BF" w:rsidP="00AF70BF">
      <w:pPr>
        <w:rPr>
          <w:rFonts w:ascii="Arial" w:hAnsi="Arial" w:cs="Arial"/>
          <w:sz w:val="24"/>
          <w:szCs w:val="24"/>
        </w:rPr>
      </w:pPr>
    </w:p>
    <w:p w14:paraId="24647B4E" w14:textId="77777777" w:rsidR="00AF70BF" w:rsidRPr="00B621B9" w:rsidRDefault="00AF70BF" w:rsidP="00AF70BF">
      <w:pPr>
        <w:ind w:right="391"/>
        <w:rPr>
          <w:rFonts w:ascii="Arial" w:eastAsia="Arial" w:hAnsi="Arial" w:cs="Arial"/>
          <w:sz w:val="24"/>
          <w:szCs w:val="24"/>
        </w:rPr>
      </w:pPr>
      <w:r w:rsidRPr="00B621B9">
        <w:rPr>
          <w:rFonts w:ascii="Arial" w:hAnsi="Arial" w:cs="Arial"/>
          <w:sz w:val="24"/>
          <w:szCs w:val="24"/>
        </w:rPr>
        <w:t>Pursuant to OP 13 of D.09-09-047,</w:t>
      </w:r>
      <w:r w:rsidRPr="00B621B9">
        <w:rPr>
          <w:rFonts w:ascii="Arial" w:hAnsi="Arial" w:cs="Arial"/>
          <w:spacing w:val="-1"/>
          <w:sz w:val="24"/>
          <w:szCs w:val="24"/>
        </w:rPr>
        <w:t xml:space="preserve"> the Commission determined that</w:t>
      </w:r>
      <w:r w:rsidRPr="00B621B9">
        <w:rPr>
          <w:rFonts w:ascii="Arial" w:hAnsi="Arial" w:cs="Arial"/>
          <w:sz w:val="24"/>
          <w:szCs w:val="24"/>
        </w:rPr>
        <w:t xml:space="preserve"> administrative</w:t>
      </w:r>
      <w:r w:rsidRPr="00B621B9">
        <w:rPr>
          <w:rFonts w:ascii="Arial" w:hAnsi="Arial" w:cs="Arial"/>
          <w:spacing w:val="26"/>
          <w:sz w:val="24"/>
          <w:szCs w:val="24"/>
        </w:rPr>
        <w:t xml:space="preserve"> </w:t>
      </w:r>
      <w:r w:rsidRPr="00B621B9">
        <w:rPr>
          <w:rFonts w:ascii="Arial" w:hAnsi="Arial" w:cs="Arial"/>
          <w:sz w:val="24"/>
          <w:szCs w:val="24"/>
        </w:rPr>
        <w:t xml:space="preserve">costs are limited to 10% of </w:t>
      </w:r>
      <w:r w:rsidRPr="00B621B9">
        <w:rPr>
          <w:rFonts w:ascii="Arial" w:hAnsi="Arial" w:cs="Arial"/>
          <w:spacing w:val="-1"/>
          <w:sz w:val="24"/>
          <w:szCs w:val="24"/>
        </w:rPr>
        <w:t>the total authorized energy efficiency</w:t>
      </w:r>
      <w:r w:rsidRPr="00B621B9">
        <w:rPr>
          <w:rFonts w:ascii="Arial" w:hAnsi="Arial" w:cs="Arial"/>
          <w:sz w:val="24"/>
          <w:szCs w:val="24"/>
        </w:rPr>
        <w:t xml:space="preserve"> budget, and ME&amp;O</w:t>
      </w:r>
      <w:r w:rsidRPr="00B621B9">
        <w:rPr>
          <w:rFonts w:ascii="Arial" w:hAnsi="Arial" w:cs="Arial"/>
          <w:spacing w:val="21"/>
          <w:sz w:val="24"/>
          <w:szCs w:val="24"/>
        </w:rPr>
        <w:t xml:space="preserve"> </w:t>
      </w:r>
      <w:r w:rsidRPr="00B621B9">
        <w:rPr>
          <w:rFonts w:ascii="Arial" w:hAnsi="Arial" w:cs="Arial"/>
          <w:sz w:val="24"/>
          <w:szCs w:val="24"/>
        </w:rPr>
        <w:t xml:space="preserve">costs have a budget target of </w:t>
      </w:r>
      <w:r w:rsidRPr="00B621B9">
        <w:rPr>
          <w:rFonts w:ascii="Arial" w:hAnsi="Arial" w:cs="Arial"/>
          <w:spacing w:val="-1"/>
          <w:sz w:val="24"/>
          <w:szCs w:val="24"/>
        </w:rPr>
        <w:t>6% of the adopted portfolio budget.</w:t>
      </w:r>
      <w:r w:rsidRPr="00B621B9">
        <w:rPr>
          <w:rFonts w:ascii="Arial" w:hAnsi="Arial" w:cs="Arial"/>
          <w:sz w:val="24"/>
          <w:szCs w:val="24"/>
        </w:rPr>
        <w:t xml:space="preserve">  SoCalGas has</w:t>
      </w:r>
      <w:r w:rsidRPr="00B621B9">
        <w:rPr>
          <w:rFonts w:ascii="Arial" w:hAnsi="Arial" w:cs="Arial"/>
          <w:spacing w:val="29"/>
          <w:sz w:val="24"/>
          <w:szCs w:val="24"/>
        </w:rPr>
        <w:t xml:space="preserve"> </w:t>
      </w:r>
      <w:r w:rsidRPr="00B621B9">
        <w:rPr>
          <w:rFonts w:ascii="Arial" w:hAnsi="Arial" w:cs="Arial"/>
          <w:sz w:val="24"/>
          <w:szCs w:val="24"/>
        </w:rPr>
        <w:t xml:space="preserve">calculated its portfolio caps </w:t>
      </w:r>
      <w:r w:rsidRPr="00B621B9">
        <w:rPr>
          <w:rFonts w:ascii="Arial" w:hAnsi="Arial" w:cs="Arial"/>
          <w:spacing w:val="-1"/>
          <w:sz w:val="24"/>
          <w:szCs w:val="24"/>
        </w:rPr>
        <w:t>and targets for its 20</w:t>
      </w:r>
      <w:r w:rsidR="00DD4D87">
        <w:rPr>
          <w:rFonts w:ascii="Arial" w:hAnsi="Arial" w:cs="Arial"/>
          <w:spacing w:val="-1"/>
          <w:sz w:val="24"/>
          <w:szCs w:val="24"/>
        </w:rPr>
        <w:t>2</w:t>
      </w:r>
      <w:r w:rsidR="004A1338">
        <w:rPr>
          <w:rFonts w:ascii="Arial" w:hAnsi="Arial" w:cs="Arial"/>
          <w:spacing w:val="-1"/>
          <w:sz w:val="24"/>
          <w:szCs w:val="24"/>
        </w:rPr>
        <w:t>1</w:t>
      </w:r>
      <w:r w:rsidRPr="00B621B9">
        <w:rPr>
          <w:rFonts w:ascii="Arial" w:hAnsi="Arial" w:cs="Arial"/>
          <w:spacing w:val="-1"/>
          <w:sz w:val="24"/>
          <w:szCs w:val="24"/>
        </w:rPr>
        <w:t xml:space="preserve"> portfolio and included them in Table</w:t>
      </w:r>
      <w:r w:rsidRPr="00B621B9">
        <w:rPr>
          <w:rFonts w:ascii="Arial" w:hAnsi="Arial" w:cs="Arial"/>
          <w:spacing w:val="22"/>
          <w:sz w:val="24"/>
          <w:szCs w:val="24"/>
        </w:rPr>
        <w:t xml:space="preserve"> </w:t>
      </w:r>
      <w:r w:rsidR="001B16F8">
        <w:rPr>
          <w:rFonts w:ascii="Arial" w:hAnsi="Arial" w:cs="Arial"/>
          <w:sz w:val="24"/>
          <w:szCs w:val="24"/>
        </w:rPr>
        <w:t>6</w:t>
      </w:r>
      <w:r w:rsidRPr="00B621B9">
        <w:rPr>
          <w:rFonts w:ascii="Arial" w:hAnsi="Arial" w:cs="Arial"/>
          <w:spacing w:val="-1"/>
          <w:sz w:val="24"/>
          <w:szCs w:val="24"/>
        </w:rPr>
        <w:t xml:space="preserve"> </w:t>
      </w:r>
      <w:r>
        <w:rPr>
          <w:rFonts w:ascii="Arial" w:hAnsi="Arial" w:cs="Arial"/>
          <w:spacing w:val="-1"/>
          <w:sz w:val="24"/>
          <w:szCs w:val="24"/>
        </w:rPr>
        <w:t>below</w:t>
      </w:r>
      <w:r w:rsidRPr="00B621B9">
        <w:rPr>
          <w:rFonts w:ascii="Arial" w:hAnsi="Arial" w:cs="Arial"/>
          <w:spacing w:val="-1"/>
          <w:sz w:val="24"/>
          <w:szCs w:val="24"/>
        </w:rPr>
        <w:t>.</w:t>
      </w:r>
    </w:p>
    <w:p w14:paraId="3DDB1C8E" w14:textId="77777777" w:rsidR="00AF70BF" w:rsidRDefault="00AF70BF" w:rsidP="00AF70BF">
      <w:pPr>
        <w:rPr>
          <w:rFonts w:ascii="Arial" w:eastAsia="Arial" w:hAnsi="Arial" w:cs="Arial"/>
          <w:sz w:val="24"/>
          <w:szCs w:val="24"/>
        </w:rPr>
      </w:pPr>
    </w:p>
    <w:p w14:paraId="19E3366D" w14:textId="77777777" w:rsidR="00AF70BF" w:rsidRDefault="00AF70BF" w:rsidP="00AF70BF">
      <w:pPr>
        <w:jc w:val="center"/>
        <w:rPr>
          <w:rFonts w:ascii="Arial" w:hAnsi="Arial" w:cs="Arial"/>
          <w:b/>
          <w:spacing w:val="-1"/>
          <w:sz w:val="24"/>
          <w:szCs w:val="24"/>
        </w:rPr>
      </w:pPr>
      <w:bookmarkStart w:id="9" w:name="_Hlk17442356"/>
      <w:r w:rsidRPr="00B621B9">
        <w:rPr>
          <w:rFonts w:ascii="Arial" w:hAnsi="Arial" w:cs="Arial"/>
          <w:b/>
          <w:sz w:val="24"/>
          <w:szCs w:val="24"/>
        </w:rPr>
        <w:t>Table</w:t>
      </w:r>
      <w:r w:rsidRPr="00B621B9">
        <w:rPr>
          <w:rFonts w:ascii="Arial" w:hAnsi="Arial" w:cs="Arial"/>
          <w:b/>
          <w:spacing w:val="-1"/>
          <w:sz w:val="24"/>
          <w:szCs w:val="24"/>
        </w:rPr>
        <w:t xml:space="preserve"> </w:t>
      </w:r>
      <w:r w:rsidR="001B16F8">
        <w:rPr>
          <w:rFonts w:ascii="Arial" w:hAnsi="Arial" w:cs="Arial"/>
          <w:b/>
          <w:sz w:val="24"/>
          <w:szCs w:val="24"/>
        </w:rPr>
        <w:t>6</w:t>
      </w:r>
      <w:r w:rsidRPr="00B621B9">
        <w:rPr>
          <w:rFonts w:ascii="Arial" w:hAnsi="Arial" w:cs="Arial"/>
          <w:b/>
          <w:sz w:val="24"/>
          <w:szCs w:val="24"/>
        </w:rPr>
        <w:t xml:space="preserve">:  </w:t>
      </w:r>
      <w:r w:rsidRPr="00B621B9">
        <w:rPr>
          <w:rFonts w:ascii="Arial" w:hAnsi="Arial" w:cs="Arial"/>
          <w:b/>
          <w:spacing w:val="-1"/>
          <w:sz w:val="24"/>
          <w:szCs w:val="24"/>
        </w:rPr>
        <w:t>20</w:t>
      </w:r>
      <w:r>
        <w:rPr>
          <w:rFonts w:ascii="Arial" w:hAnsi="Arial" w:cs="Arial"/>
          <w:b/>
          <w:spacing w:val="-1"/>
          <w:sz w:val="24"/>
          <w:szCs w:val="24"/>
        </w:rPr>
        <w:t>20</w:t>
      </w:r>
      <w:r w:rsidRPr="00B621B9">
        <w:rPr>
          <w:rFonts w:ascii="Arial" w:hAnsi="Arial" w:cs="Arial"/>
          <w:b/>
          <w:sz w:val="24"/>
          <w:szCs w:val="24"/>
        </w:rPr>
        <w:t xml:space="preserve"> EE Portfolio</w:t>
      </w:r>
      <w:r w:rsidRPr="00B621B9">
        <w:rPr>
          <w:rFonts w:ascii="Arial" w:hAnsi="Arial" w:cs="Arial"/>
          <w:b/>
          <w:spacing w:val="-1"/>
          <w:sz w:val="24"/>
          <w:szCs w:val="24"/>
        </w:rPr>
        <w:t xml:space="preserve"> Budget Caps/Targets</w:t>
      </w:r>
    </w:p>
    <w:p w14:paraId="3CABA7F9" w14:textId="77777777" w:rsidR="002C52C7" w:rsidRPr="00F76ADC" w:rsidRDefault="002C52C7" w:rsidP="00AF70BF">
      <w:pPr>
        <w:jc w:val="center"/>
        <w:rPr>
          <w:rFonts w:ascii="Arial" w:eastAsia="Arial" w:hAnsi="Arial" w:cs="Arial"/>
          <w:sz w:val="24"/>
          <w:szCs w:val="24"/>
        </w:rPr>
      </w:pPr>
    </w:p>
    <w:p w14:paraId="2057D406" w14:textId="6D0368B2" w:rsidR="000E036D" w:rsidRPr="002F4D0C" w:rsidRDefault="00FF29A6" w:rsidP="00AF70BF">
      <w:pPr>
        <w:jc w:val="center"/>
        <w:rPr>
          <w:rFonts w:ascii="Arial" w:hAnsi="Arial" w:cs="Arial"/>
          <w:spacing w:val="-1"/>
          <w:sz w:val="24"/>
          <w:szCs w:val="24"/>
        </w:rPr>
      </w:pPr>
      <w:r w:rsidRPr="002F4D0C">
        <w:rPr>
          <w:rFonts w:ascii="Arial" w:hAnsi="Arial" w:cs="Arial"/>
          <w:spacing w:val="-1"/>
          <w:sz w:val="24"/>
          <w:szCs w:val="24"/>
        </w:rPr>
        <w:t>[Table Pending]</w:t>
      </w:r>
    </w:p>
    <w:p w14:paraId="646DB87A" w14:textId="77777777" w:rsidR="00AF70BF" w:rsidRPr="00B621B9" w:rsidRDefault="00AF70BF" w:rsidP="00AF70BF">
      <w:pPr>
        <w:jc w:val="center"/>
        <w:rPr>
          <w:rFonts w:ascii="Arial" w:hAnsi="Arial" w:cs="Arial"/>
          <w:sz w:val="24"/>
          <w:szCs w:val="24"/>
        </w:rPr>
      </w:pPr>
    </w:p>
    <w:bookmarkEnd w:id="9"/>
    <w:p w14:paraId="3C1A72A3" w14:textId="77777777" w:rsidR="00AF70BF" w:rsidRPr="00B621B9" w:rsidRDefault="00AF70BF" w:rsidP="00AF70BF">
      <w:pPr>
        <w:rPr>
          <w:rFonts w:ascii="Arial" w:eastAsia="Arial" w:hAnsi="Arial" w:cs="Arial"/>
          <w:sz w:val="24"/>
          <w:szCs w:val="24"/>
        </w:rPr>
      </w:pPr>
    </w:p>
    <w:p w14:paraId="5DACB878" w14:textId="77777777" w:rsidR="00AF70BF" w:rsidRPr="008177C8" w:rsidRDefault="00AF70BF" w:rsidP="00AF70BF">
      <w:pPr>
        <w:rPr>
          <w:rFonts w:ascii="Arial" w:hAnsi="Arial" w:cs="Arial"/>
          <w:spacing w:val="-1"/>
          <w:sz w:val="24"/>
          <w:szCs w:val="24"/>
        </w:rPr>
      </w:pPr>
      <w:r w:rsidRPr="008177C8">
        <w:rPr>
          <w:rFonts w:ascii="Arial" w:hAnsi="Arial" w:cs="Arial"/>
          <w:spacing w:val="-1"/>
          <w:sz w:val="24"/>
          <w:szCs w:val="24"/>
        </w:rPr>
        <w:t>SoCalGas notes the following assumptions:</w:t>
      </w:r>
    </w:p>
    <w:p w14:paraId="462DCAF4" w14:textId="77777777" w:rsidR="00AF70BF" w:rsidRPr="008177C8" w:rsidRDefault="00AF70BF" w:rsidP="00AF70BF">
      <w:pPr>
        <w:rPr>
          <w:rFonts w:ascii="Arial" w:eastAsia="Arial" w:hAnsi="Arial" w:cs="Arial"/>
          <w:sz w:val="24"/>
          <w:szCs w:val="24"/>
        </w:rPr>
      </w:pPr>
    </w:p>
    <w:p w14:paraId="65CFDA0A" w14:textId="77777777" w:rsidR="00AF70BF" w:rsidRPr="008177C8" w:rsidRDefault="00AF70BF" w:rsidP="00AF70BF">
      <w:pPr>
        <w:numPr>
          <w:ilvl w:val="0"/>
          <w:numId w:val="40"/>
        </w:numPr>
        <w:rPr>
          <w:rFonts w:ascii="Arial" w:hAnsi="Arial" w:cs="Arial"/>
          <w:sz w:val="24"/>
          <w:szCs w:val="24"/>
        </w:rPr>
      </w:pPr>
      <w:r w:rsidRPr="008177C8">
        <w:rPr>
          <w:rFonts w:ascii="Arial" w:hAnsi="Arial" w:cs="Arial"/>
          <w:sz w:val="24"/>
          <w:szCs w:val="24"/>
        </w:rPr>
        <w:t>Funding for the SoCalGas On-Bill Financing Program loan pool recovered in gas transportation rates is included but does not impact the calculations because the adopted level for 2020 is zero.</w:t>
      </w:r>
    </w:p>
    <w:p w14:paraId="71ECA4F2" w14:textId="77777777" w:rsidR="00AF70BF" w:rsidRPr="008177C8" w:rsidRDefault="00AF70BF" w:rsidP="00AF70BF">
      <w:pPr>
        <w:numPr>
          <w:ilvl w:val="0"/>
          <w:numId w:val="40"/>
        </w:numPr>
        <w:rPr>
          <w:rFonts w:ascii="Arial" w:hAnsi="Arial" w:cs="Arial"/>
          <w:sz w:val="24"/>
          <w:szCs w:val="24"/>
        </w:rPr>
      </w:pPr>
      <w:r w:rsidRPr="008177C8">
        <w:rPr>
          <w:rFonts w:ascii="Arial" w:hAnsi="Arial" w:cs="Arial"/>
          <w:sz w:val="24"/>
          <w:szCs w:val="24"/>
        </w:rPr>
        <w:t>Pursuant to D.13-12-038, the Statewide ME&amp;O program costs are excluded from the marketing budget target.</w:t>
      </w:r>
    </w:p>
    <w:p w14:paraId="1E80C6A9" w14:textId="77777777" w:rsidR="00AF70BF" w:rsidRPr="008177C8" w:rsidRDefault="00AF70BF" w:rsidP="00AF70BF">
      <w:pPr>
        <w:numPr>
          <w:ilvl w:val="0"/>
          <w:numId w:val="40"/>
        </w:numPr>
        <w:rPr>
          <w:rFonts w:ascii="Arial" w:hAnsi="Arial" w:cs="Arial"/>
          <w:sz w:val="24"/>
          <w:szCs w:val="24"/>
        </w:rPr>
      </w:pPr>
      <w:r w:rsidRPr="008177C8">
        <w:rPr>
          <w:rFonts w:ascii="Arial" w:hAnsi="Arial" w:cs="Arial"/>
          <w:sz w:val="24"/>
          <w:szCs w:val="24"/>
        </w:rPr>
        <w:t>SoCalGas has calculated the IOU administrative cost cap in accordance with D.09-09-047 OP 13 which excludes associated third party and local government partnership administrative costs, as well as non-resource programs which meet the requirements as further described in D.09-09-047.</w:t>
      </w:r>
      <w:r w:rsidRPr="008177C8">
        <w:rPr>
          <w:vertAlign w:val="superscript"/>
        </w:rPr>
        <w:footnoteReference w:id="12"/>
      </w:r>
      <w:r w:rsidRPr="008177C8">
        <w:rPr>
          <w:rFonts w:ascii="Arial" w:hAnsi="Arial" w:cs="Arial"/>
          <w:sz w:val="24"/>
          <w:szCs w:val="24"/>
        </w:rPr>
        <w:t xml:space="preserve"> </w:t>
      </w:r>
      <w:r w:rsidR="009308EB" w:rsidRPr="008177C8">
        <w:rPr>
          <w:rFonts w:ascii="Arial" w:hAnsi="Arial" w:cs="Arial"/>
          <w:sz w:val="24"/>
          <w:szCs w:val="24"/>
        </w:rPr>
        <w:t xml:space="preserve"> </w:t>
      </w:r>
      <w:r w:rsidRPr="008177C8">
        <w:rPr>
          <w:rFonts w:ascii="Arial" w:hAnsi="Arial" w:cs="Arial"/>
          <w:sz w:val="24"/>
          <w:szCs w:val="24"/>
        </w:rPr>
        <w:t>These programs include EM&amp;V, Marketing and Outreach, Emerging Technologies, Codes &amp; Standards, Workforce Education &amp; Training, and programs supporting market transformation.</w:t>
      </w:r>
    </w:p>
    <w:p w14:paraId="4D5206DA" w14:textId="77777777" w:rsidR="00AF70BF" w:rsidRPr="008177C8" w:rsidRDefault="00AF70BF" w:rsidP="00AF70BF">
      <w:pPr>
        <w:numPr>
          <w:ilvl w:val="0"/>
          <w:numId w:val="40"/>
        </w:numPr>
        <w:rPr>
          <w:rFonts w:ascii="Arial" w:hAnsi="Arial" w:cs="Arial"/>
          <w:sz w:val="24"/>
          <w:szCs w:val="24"/>
        </w:rPr>
      </w:pPr>
      <w:r w:rsidRPr="008177C8">
        <w:rPr>
          <w:rFonts w:ascii="Arial" w:hAnsi="Arial" w:cs="Arial"/>
          <w:sz w:val="24"/>
          <w:szCs w:val="24"/>
        </w:rPr>
        <w:t>SoCalGas excluded those program costs identified by Energy Division to be exempt from the cap and target calculation.</w:t>
      </w:r>
    </w:p>
    <w:p w14:paraId="5EDDC1A5" w14:textId="77777777" w:rsidR="00AF70BF" w:rsidRPr="008177C8" w:rsidRDefault="00AF70BF" w:rsidP="00AF70BF">
      <w:pPr>
        <w:numPr>
          <w:ilvl w:val="0"/>
          <w:numId w:val="40"/>
        </w:numPr>
        <w:rPr>
          <w:rFonts w:ascii="Arial" w:hAnsi="Arial" w:cs="Arial"/>
          <w:sz w:val="24"/>
          <w:szCs w:val="24"/>
        </w:rPr>
      </w:pPr>
      <w:r w:rsidRPr="008177C8">
        <w:rPr>
          <w:rFonts w:ascii="Arial" w:hAnsi="Arial" w:cs="Arial"/>
          <w:sz w:val="24"/>
          <w:szCs w:val="24"/>
        </w:rPr>
        <w:t>D.14-10-046, as corrected by D.15-01-002, confirms the EM&amp;V budget at 4% of the total budget.</w:t>
      </w:r>
    </w:p>
    <w:p w14:paraId="7C5AB8B8" w14:textId="77777777" w:rsidR="00AF70BF" w:rsidRPr="008177C8" w:rsidRDefault="00AF70BF" w:rsidP="00AF70BF">
      <w:pPr>
        <w:rPr>
          <w:rFonts w:ascii="Arial" w:eastAsia="Arial" w:hAnsi="Arial" w:cs="Arial"/>
          <w:sz w:val="24"/>
          <w:szCs w:val="24"/>
        </w:rPr>
      </w:pPr>
    </w:p>
    <w:p w14:paraId="3F6D6C9F" w14:textId="77777777" w:rsidR="00AF70BF" w:rsidRDefault="00AF70BF" w:rsidP="00AF70BF">
      <w:pPr>
        <w:ind w:right="328"/>
        <w:rPr>
          <w:rFonts w:ascii="Arial" w:hAnsi="Arial" w:cs="Arial"/>
          <w:b/>
          <w:sz w:val="24"/>
          <w:szCs w:val="24"/>
          <w:u w:val="single"/>
        </w:rPr>
      </w:pPr>
      <w:r w:rsidRPr="008177C8">
        <w:rPr>
          <w:rFonts w:ascii="Arial" w:eastAsia="Arial" w:hAnsi="Arial" w:cs="Arial"/>
          <w:spacing w:val="-1"/>
          <w:sz w:val="24"/>
          <w:szCs w:val="24"/>
        </w:rPr>
        <w:t>SoCalGas will report the status of its budget caps and targets</w:t>
      </w:r>
      <w:r w:rsidRPr="008177C8">
        <w:rPr>
          <w:rFonts w:ascii="Arial" w:eastAsia="Arial" w:hAnsi="Arial" w:cs="Arial"/>
          <w:sz w:val="24"/>
          <w:szCs w:val="24"/>
        </w:rPr>
        <w:t xml:space="preserve"> </w:t>
      </w:r>
      <w:r w:rsidRPr="008177C8">
        <w:rPr>
          <w:rFonts w:ascii="Arial" w:eastAsia="Arial" w:hAnsi="Arial" w:cs="Arial"/>
          <w:spacing w:val="-1"/>
          <w:sz w:val="24"/>
          <w:szCs w:val="24"/>
        </w:rPr>
        <w:t>based on actual</w:t>
      </w:r>
      <w:r w:rsidRPr="008177C8">
        <w:rPr>
          <w:rFonts w:ascii="Arial" w:eastAsia="Arial" w:hAnsi="Arial" w:cs="Arial"/>
          <w:spacing w:val="30"/>
          <w:sz w:val="24"/>
          <w:szCs w:val="24"/>
        </w:rPr>
        <w:t xml:space="preserve"> </w:t>
      </w:r>
      <w:r w:rsidRPr="008177C8">
        <w:rPr>
          <w:rFonts w:ascii="Arial" w:eastAsia="Arial" w:hAnsi="Arial" w:cs="Arial"/>
          <w:sz w:val="24"/>
          <w:szCs w:val="24"/>
        </w:rPr>
        <w:t xml:space="preserve">expenditures in its </w:t>
      </w:r>
      <w:r w:rsidRPr="008177C8">
        <w:rPr>
          <w:rFonts w:ascii="Arial" w:eastAsia="Arial" w:hAnsi="Arial" w:cs="Arial"/>
          <w:spacing w:val="-1"/>
          <w:sz w:val="24"/>
          <w:szCs w:val="24"/>
        </w:rPr>
        <w:t xml:space="preserve">quarterly reports submitted through the Commission’s </w:t>
      </w:r>
      <w:r w:rsidR="00F8707E" w:rsidRPr="008177C8">
        <w:rPr>
          <w:rFonts w:ascii="Arial" w:eastAsia="Arial" w:hAnsi="Arial" w:cs="Arial"/>
          <w:spacing w:val="-1"/>
          <w:sz w:val="24"/>
          <w:szCs w:val="24"/>
        </w:rPr>
        <w:t>EE</w:t>
      </w:r>
      <w:r w:rsidR="00952821" w:rsidRPr="008177C8">
        <w:rPr>
          <w:rFonts w:ascii="Arial" w:eastAsia="Arial" w:hAnsi="Arial" w:cs="Arial"/>
          <w:spacing w:val="-1"/>
          <w:sz w:val="24"/>
          <w:szCs w:val="24"/>
        </w:rPr>
        <w:t>STATS</w:t>
      </w:r>
      <w:r w:rsidRPr="008177C8">
        <w:rPr>
          <w:rFonts w:ascii="Arial" w:eastAsia="Arial" w:hAnsi="Arial" w:cs="Arial"/>
          <w:spacing w:val="29"/>
          <w:sz w:val="24"/>
          <w:szCs w:val="24"/>
        </w:rPr>
        <w:t xml:space="preserve"> </w:t>
      </w:r>
      <w:r w:rsidRPr="008177C8">
        <w:rPr>
          <w:rFonts w:ascii="Arial" w:eastAsia="Arial" w:hAnsi="Arial" w:cs="Arial"/>
          <w:sz w:val="24"/>
          <w:szCs w:val="24"/>
        </w:rPr>
        <w:t>website.</w:t>
      </w:r>
    </w:p>
    <w:p w14:paraId="63ECDA50" w14:textId="77777777" w:rsidR="00AF70BF" w:rsidRDefault="00AF70BF" w:rsidP="00B966D2">
      <w:pPr>
        <w:rPr>
          <w:rFonts w:ascii="Arial" w:hAnsi="Arial" w:cs="Arial"/>
          <w:b/>
          <w:sz w:val="24"/>
          <w:szCs w:val="24"/>
          <w:u w:val="single"/>
        </w:rPr>
      </w:pPr>
    </w:p>
    <w:p w14:paraId="10802501" w14:textId="77777777" w:rsidR="00B966D2" w:rsidRPr="005209A8" w:rsidRDefault="00B966D2" w:rsidP="00B966D2">
      <w:pPr>
        <w:rPr>
          <w:rFonts w:ascii="Arial" w:hAnsi="Arial" w:cs="Arial"/>
          <w:b/>
          <w:sz w:val="24"/>
          <w:szCs w:val="24"/>
          <w:u w:val="single"/>
        </w:rPr>
      </w:pPr>
      <w:r w:rsidRPr="005209A8">
        <w:rPr>
          <w:rFonts w:ascii="Arial" w:hAnsi="Arial" w:cs="Arial"/>
          <w:b/>
          <w:sz w:val="24"/>
          <w:szCs w:val="24"/>
          <w:u w:val="single"/>
        </w:rPr>
        <w:t>Statewide Programs</w:t>
      </w:r>
    </w:p>
    <w:p w14:paraId="1F184718" w14:textId="77777777" w:rsidR="00B966D2" w:rsidRDefault="00B966D2" w:rsidP="00B966D2">
      <w:pPr>
        <w:rPr>
          <w:rFonts w:ascii="Arial" w:hAnsi="Arial" w:cs="Arial"/>
          <w:sz w:val="24"/>
          <w:szCs w:val="24"/>
        </w:rPr>
      </w:pPr>
    </w:p>
    <w:p w14:paraId="2ED05C27" w14:textId="0F003FB0" w:rsidR="00B966D2" w:rsidRPr="001C09B7" w:rsidRDefault="00620BD1" w:rsidP="009B0F19">
      <w:pPr>
        <w:rPr>
          <w:rFonts w:ascii="Arial" w:hAnsi="Arial" w:cs="Arial"/>
          <w:b/>
          <w:spacing w:val="-1"/>
          <w:sz w:val="24"/>
          <w:szCs w:val="24"/>
          <w:u w:val="thick" w:color="000000"/>
        </w:rPr>
      </w:pPr>
      <w:r w:rsidRPr="001C09B7">
        <w:rPr>
          <w:rFonts w:ascii="Arial" w:hAnsi="Arial" w:cs="Arial"/>
          <w:sz w:val="24"/>
          <w:szCs w:val="24"/>
        </w:rPr>
        <w:t xml:space="preserve">Consistent with </w:t>
      </w:r>
      <w:r w:rsidR="00453827" w:rsidRPr="001C09B7">
        <w:rPr>
          <w:rFonts w:ascii="Arial" w:hAnsi="Arial" w:cs="Arial"/>
          <w:sz w:val="24"/>
          <w:szCs w:val="24"/>
        </w:rPr>
        <w:t xml:space="preserve">Energy Division </w:t>
      </w:r>
      <w:r w:rsidRPr="001C09B7">
        <w:rPr>
          <w:rFonts w:ascii="Arial" w:hAnsi="Arial" w:cs="Arial"/>
          <w:sz w:val="24"/>
          <w:szCs w:val="24"/>
        </w:rPr>
        <w:t>direction, SoCalGas provides the budget allocation for all statewide programs in A</w:t>
      </w:r>
      <w:r w:rsidR="008D0FAA" w:rsidRPr="001C09B7">
        <w:rPr>
          <w:rFonts w:ascii="Arial" w:hAnsi="Arial" w:cs="Arial"/>
          <w:sz w:val="24"/>
          <w:szCs w:val="24"/>
        </w:rPr>
        <w:t>ppendix C</w:t>
      </w:r>
      <w:r w:rsidRPr="001C09B7">
        <w:rPr>
          <w:rFonts w:ascii="Arial" w:hAnsi="Arial" w:cs="Arial"/>
          <w:sz w:val="24"/>
          <w:szCs w:val="24"/>
        </w:rPr>
        <w:t xml:space="preserve">.  </w:t>
      </w:r>
      <w:proofErr w:type="gramStart"/>
      <w:r w:rsidR="00C83CAC" w:rsidRPr="001C09B7">
        <w:rPr>
          <w:rFonts w:ascii="Arial" w:hAnsi="Arial" w:cs="Arial"/>
          <w:sz w:val="24"/>
          <w:szCs w:val="24"/>
        </w:rPr>
        <w:t>All of</w:t>
      </w:r>
      <w:proofErr w:type="gramEnd"/>
      <w:r w:rsidR="00C83CAC" w:rsidRPr="001C09B7">
        <w:rPr>
          <w:rFonts w:ascii="Arial" w:hAnsi="Arial" w:cs="Arial"/>
          <w:sz w:val="24"/>
          <w:szCs w:val="24"/>
        </w:rPr>
        <w:t xml:space="preserve"> </w:t>
      </w:r>
      <w:r w:rsidR="00453827" w:rsidRPr="001C09B7">
        <w:rPr>
          <w:rFonts w:ascii="Arial" w:hAnsi="Arial" w:cs="Arial"/>
          <w:sz w:val="24"/>
          <w:szCs w:val="24"/>
        </w:rPr>
        <w:t>the t</w:t>
      </w:r>
      <w:r w:rsidRPr="001C09B7">
        <w:rPr>
          <w:rFonts w:ascii="Arial" w:hAnsi="Arial" w:cs="Arial"/>
          <w:sz w:val="24"/>
          <w:szCs w:val="24"/>
        </w:rPr>
        <w:t xml:space="preserve">hird-party </w:t>
      </w:r>
      <w:r w:rsidR="00453827" w:rsidRPr="001C09B7">
        <w:rPr>
          <w:rFonts w:ascii="Arial" w:hAnsi="Arial" w:cs="Arial"/>
          <w:sz w:val="24"/>
          <w:szCs w:val="24"/>
        </w:rPr>
        <w:t xml:space="preserve">solicitations </w:t>
      </w:r>
      <w:r w:rsidR="00B966D2" w:rsidRPr="001C09B7">
        <w:rPr>
          <w:rFonts w:ascii="Arial" w:hAnsi="Arial" w:cs="Arial"/>
          <w:sz w:val="24"/>
          <w:szCs w:val="24"/>
        </w:rPr>
        <w:t xml:space="preserve">for statewide programs where SoCalGas </w:t>
      </w:r>
      <w:r w:rsidRPr="001C09B7">
        <w:rPr>
          <w:rFonts w:ascii="Arial" w:hAnsi="Arial" w:cs="Arial"/>
          <w:sz w:val="24"/>
          <w:szCs w:val="24"/>
        </w:rPr>
        <w:t>is the statewide lead</w:t>
      </w:r>
      <w:r w:rsidR="00B966D2" w:rsidRPr="001C09B7">
        <w:rPr>
          <w:rFonts w:ascii="Arial" w:hAnsi="Arial" w:cs="Arial"/>
          <w:sz w:val="24"/>
          <w:szCs w:val="24"/>
        </w:rPr>
        <w:t xml:space="preserve"> </w:t>
      </w:r>
      <w:r w:rsidR="00265770" w:rsidRPr="001C09B7">
        <w:rPr>
          <w:rFonts w:ascii="Arial" w:hAnsi="Arial" w:cs="Arial"/>
          <w:sz w:val="24"/>
          <w:szCs w:val="24"/>
        </w:rPr>
        <w:t xml:space="preserve">are in various stages of the solicitation process. </w:t>
      </w:r>
      <w:r w:rsidRPr="001C09B7">
        <w:rPr>
          <w:rFonts w:ascii="Arial" w:hAnsi="Arial" w:cs="Arial"/>
          <w:sz w:val="24"/>
          <w:szCs w:val="24"/>
        </w:rPr>
        <w:t xml:space="preserve"> </w:t>
      </w:r>
      <w:r w:rsidR="00453827" w:rsidRPr="001C09B7">
        <w:rPr>
          <w:rFonts w:ascii="Arial" w:hAnsi="Arial" w:cs="Arial"/>
          <w:sz w:val="24"/>
          <w:szCs w:val="24"/>
        </w:rPr>
        <w:t xml:space="preserve"> </w:t>
      </w:r>
      <w:r w:rsidRPr="001C09B7">
        <w:rPr>
          <w:rFonts w:ascii="Arial" w:hAnsi="Arial" w:cs="Arial"/>
          <w:sz w:val="24"/>
          <w:szCs w:val="24"/>
        </w:rPr>
        <w:t>These programs are</w:t>
      </w:r>
      <w:r w:rsidR="00B966D2" w:rsidRPr="001C09B7">
        <w:rPr>
          <w:rFonts w:ascii="Arial" w:hAnsi="Arial" w:cs="Arial"/>
          <w:sz w:val="24"/>
          <w:szCs w:val="24"/>
        </w:rPr>
        <w:t xml:space="preserve"> expected to begin implementation </w:t>
      </w:r>
      <w:r w:rsidR="00265770" w:rsidRPr="001C09B7">
        <w:rPr>
          <w:rFonts w:ascii="Arial" w:hAnsi="Arial" w:cs="Arial"/>
          <w:sz w:val="24"/>
          <w:szCs w:val="24"/>
        </w:rPr>
        <w:t xml:space="preserve">in </w:t>
      </w:r>
      <w:r w:rsidR="00B966D2" w:rsidRPr="001C09B7">
        <w:rPr>
          <w:rFonts w:ascii="Arial" w:hAnsi="Arial" w:cs="Arial"/>
          <w:sz w:val="24"/>
          <w:szCs w:val="24"/>
        </w:rPr>
        <w:t>2021</w:t>
      </w:r>
      <w:r w:rsidRPr="001C09B7">
        <w:rPr>
          <w:rFonts w:ascii="Arial" w:hAnsi="Arial" w:cs="Arial"/>
          <w:sz w:val="24"/>
          <w:szCs w:val="24"/>
        </w:rPr>
        <w:t>, as such SoCalGas has included a budget in PY 202</w:t>
      </w:r>
      <w:r w:rsidR="00265770" w:rsidRPr="001C09B7">
        <w:rPr>
          <w:rFonts w:ascii="Arial" w:hAnsi="Arial" w:cs="Arial"/>
          <w:sz w:val="24"/>
          <w:szCs w:val="24"/>
        </w:rPr>
        <w:t>1</w:t>
      </w:r>
      <w:r w:rsidRPr="001C09B7">
        <w:rPr>
          <w:rFonts w:ascii="Arial" w:hAnsi="Arial" w:cs="Arial"/>
          <w:sz w:val="24"/>
          <w:szCs w:val="24"/>
        </w:rPr>
        <w:t xml:space="preserve"> for these specific programs</w:t>
      </w:r>
      <w:r w:rsidR="00B966D2" w:rsidRPr="001C09B7">
        <w:rPr>
          <w:rFonts w:ascii="Arial" w:hAnsi="Arial" w:cs="Arial"/>
          <w:sz w:val="24"/>
          <w:szCs w:val="24"/>
        </w:rPr>
        <w:t xml:space="preserve">.  </w:t>
      </w:r>
    </w:p>
    <w:p w14:paraId="0A6BFFAA" w14:textId="77777777" w:rsidR="00E03FE4" w:rsidRPr="00441BB6" w:rsidRDefault="00E03FE4" w:rsidP="009B0F19">
      <w:pPr>
        <w:rPr>
          <w:rFonts w:ascii="Arial" w:hAnsi="Arial" w:cs="Arial"/>
          <w:iCs/>
          <w:sz w:val="24"/>
          <w:szCs w:val="24"/>
        </w:rPr>
      </w:pPr>
      <w:r w:rsidRPr="001C09B7">
        <w:rPr>
          <w:rFonts w:ascii="Arial" w:hAnsi="Arial" w:cs="Arial"/>
          <w:iCs/>
          <w:sz w:val="24"/>
          <w:szCs w:val="24"/>
        </w:rPr>
        <w:t xml:space="preserve">When forecasting savings for third-party programs, </w:t>
      </w:r>
      <w:r w:rsidRPr="001C09B7">
        <w:rPr>
          <w:rFonts w:ascii="Arial" w:hAnsi="Arial" w:cs="Arial"/>
          <w:bCs/>
          <w:iCs/>
          <w:sz w:val="24"/>
          <w:szCs w:val="24"/>
        </w:rPr>
        <w:t>SoCalGas</w:t>
      </w:r>
      <w:r w:rsidRPr="001C09B7">
        <w:rPr>
          <w:rFonts w:ascii="Arial" w:hAnsi="Arial" w:cs="Arial"/>
          <w:iCs/>
          <w:sz w:val="24"/>
          <w:szCs w:val="24"/>
        </w:rPr>
        <w:t xml:space="preserve"> used the forecasting method used for custom projects, where possible, in compliance with D.19-08-</w:t>
      </w:r>
      <w:r w:rsidR="0010682C" w:rsidRPr="001C09B7">
        <w:rPr>
          <w:rFonts w:ascii="Arial" w:hAnsi="Arial" w:cs="Arial"/>
          <w:iCs/>
          <w:sz w:val="24"/>
          <w:szCs w:val="24"/>
        </w:rPr>
        <w:t>034</w:t>
      </w:r>
      <w:r w:rsidRPr="001C09B7">
        <w:rPr>
          <w:rFonts w:ascii="Arial" w:hAnsi="Arial" w:cs="Arial"/>
          <w:iCs/>
          <w:sz w:val="24"/>
          <w:szCs w:val="24"/>
        </w:rPr>
        <w:t>,</w:t>
      </w:r>
      <w:r w:rsidRPr="001C09B7">
        <w:rPr>
          <w:rStyle w:val="FootnoteReference"/>
          <w:rFonts w:ascii="Arial" w:hAnsi="Arial" w:cs="Arial"/>
          <w:iCs/>
          <w:sz w:val="24"/>
          <w:szCs w:val="24"/>
        </w:rPr>
        <w:footnoteReference w:id="13"/>
      </w:r>
      <w:r w:rsidRPr="001C09B7">
        <w:rPr>
          <w:rFonts w:ascii="Arial" w:hAnsi="Arial" w:cs="Arial"/>
          <w:iCs/>
          <w:sz w:val="24"/>
          <w:szCs w:val="24"/>
        </w:rPr>
        <w:t xml:space="preserve"> otherwise, forecasted savings are based upon available inputs and information from its third-party solicitations and historical program and sector knowledge to inform assumptions and forecasted savings.  </w:t>
      </w:r>
      <w:r w:rsidRPr="001C09B7">
        <w:rPr>
          <w:rFonts w:ascii="Arial" w:hAnsi="Arial" w:cs="Arial"/>
          <w:bCs/>
          <w:iCs/>
          <w:sz w:val="24"/>
          <w:szCs w:val="24"/>
        </w:rPr>
        <w:t>SoCalGas’</w:t>
      </w:r>
      <w:r w:rsidRPr="001C09B7">
        <w:rPr>
          <w:rFonts w:ascii="Arial" w:hAnsi="Arial" w:cs="Arial"/>
          <w:iCs/>
          <w:sz w:val="24"/>
          <w:szCs w:val="24"/>
        </w:rPr>
        <w:t xml:space="preserve"> savings from statewide third-party programs used the funding share method approved in the Joint IOUs Supplemental Advice Letter of the Shared Funding Mechanism Proposal submitted on November 15, 2018 (San Diego Gas and Electric Company (SDG&amp;E) Advice 3268-E-A/2701-G-A; Southern California Gas Company (SoCalGas) Advice 5346-G-A; Southern California Edison Company (SCE) Advice 3861-E-A; and Pacific Gas and Electric Company (PG&amp;E) Advice 5373-E-A/4009-G-A).</w:t>
      </w:r>
    </w:p>
    <w:p w14:paraId="6C3BE446" w14:textId="77777777" w:rsidR="00E03FE4" w:rsidRDefault="00E03FE4" w:rsidP="00F662CD">
      <w:pPr>
        <w:rPr>
          <w:rFonts w:ascii="Arial" w:hAnsi="Arial" w:cs="Arial"/>
          <w:b/>
          <w:spacing w:val="-1"/>
          <w:sz w:val="24"/>
          <w:szCs w:val="24"/>
          <w:u w:val="thick" w:color="000000"/>
        </w:rPr>
      </w:pPr>
    </w:p>
    <w:p w14:paraId="50B14CE0" w14:textId="77777777" w:rsidR="00AF70BF" w:rsidRPr="00E3651C" w:rsidRDefault="00AF70BF" w:rsidP="00F662CD">
      <w:pPr>
        <w:rPr>
          <w:rFonts w:ascii="Arial" w:hAnsi="Arial" w:cs="Arial"/>
          <w:b/>
          <w:spacing w:val="-1"/>
          <w:sz w:val="24"/>
          <w:szCs w:val="24"/>
          <w:u w:val="single" w:color="000000"/>
        </w:rPr>
      </w:pPr>
      <w:r w:rsidRPr="00E3651C">
        <w:rPr>
          <w:rFonts w:ascii="Arial" w:hAnsi="Arial" w:cs="Arial"/>
          <w:b/>
          <w:spacing w:val="-1"/>
          <w:sz w:val="24"/>
          <w:szCs w:val="24"/>
          <w:u w:val="single" w:color="000000"/>
        </w:rPr>
        <w:t>Supplemental Budget Information</w:t>
      </w:r>
    </w:p>
    <w:p w14:paraId="3CDEFDC6" w14:textId="77777777" w:rsidR="00AF70BF" w:rsidRDefault="00AF70BF" w:rsidP="00F662CD">
      <w:pPr>
        <w:rPr>
          <w:rFonts w:ascii="Arial" w:hAnsi="Arial" w:cs="Arial"/>
          <w:b/>
          <w:spacing w:val="-1"/>
          <w:sz w:val="24"/>
          <w:szCs w:val="24"/>
          <w:u w:val="thick" w:color="000000"/>
        </w:rPr>
      </w:pPr>
    </w:p>
    <w:p w14:paraId="51BA6AF2" w14:textId="77777777" w:rsidR="00AF70BF" w:rsidRPr="00F56F16" w:rsidRDefault="00AF70BF" w:rsidP="009B0F19">
      <w:pPr>
        <w:rPr>
          <w:rFonts w:ascii="Arial" w:hAnsi="Arial" w:cs="Arial"/>
          <w:iCs/>
          <w:sz w:val="24"/>
          <w:szCs w:val="24"/>
        </w:rPr>
      </w:pPr>
      <w:r w:rsidRPr="00F56F16">
        <w:rPr>
          <w:rFonts w:ascii="Arial" w:hAnsi="Arial" w:cs="Arial"/>
          <w:iCs/>
          <w:sz w:val="24"/>
          <w:szCs w:val="24"/>
        </w:rPr>
        <w:t xml:space="preserve">Pursuant to OP </w:t>
      </w:r>
      <w:r w:rsidR="001F7D0C" w:rsidRPr="00F56F16">
        <w:rPr>
          <w:rFonts w:ascii="Arial" w:hAnsi="Arial" w:cs="Arial"/>
          <w:iCs/>
          <w:sz w:val="24"/>
          <w:szCs w:val="24"/>
        </w:rPr>
        <w:t>44</w:t>
      </w:r>
      <w:r w:rsidRPr="00F56F16">
        <w:rPr>
          <w:rFonts w:ascii="Arial" w:hAnsi="Arial" w:cs="Arial"/>
          <w:iCs/>
          <w:sz w:val="24"/>
          <w:szCs w:val="24"/>
        </w:rPr>
        <w:t xml:space="preserve"> of D.18-05-041, SoCalGas must provide </w:t>
      </w:r>
      <w:r w:rsidR="001F7D0C" w:rsidRPr="00F56F16">
        <w:rPr>
          <w:rFonts w:ascii="Arial" w:hAnsi="Arial" w:cs="Arial"/>
          <w:iCs/>
          <w:sz w:val="24"/>
          <w:szCs w:val="24"/>
        </w:rPr>
        <w:t xml:space="preserve">its </w:t>
      </w:r>
      <w:r w:rsidR="00DD4D87">
        <w:rPr>
          <w:rFonts w:ascii="Arial" w:hAnsi="Arial" w:cs="Arial"/>
          <w:iCs/>
          <w:sz w:val="24"/>
          <w:szCs w:val="24"/>
        </w:rPr>
        <w:t xml:space="preserve">PY </w:t>
      </w:r>
      <w:r w:rsidR="001F7D0C" w:rsidRPr="00F56F16">
        <w:rPr>
          <w:rFonts w:ascii="Arial" w:hAnsi="Arial" w:cs="Arial"/>
          <w:iCs/>
          <w:sz w:val="24"/>
          <w:szCs w:val="24"/>
        </w:rPr>
        <w:t>Supplemental Energy Efficiency Business Plan Budget Information for 202</w:t>
      </w:r>
      <w:r w:rsidR="007E7F03">
        <w:rPr>
          <w:rFonts w:ascii="Arial" w:hAnsi="Arial" w:cs="Arial"/>
          <w:iCs/>
          <w:sz w:val="24"/>
          <w:szCs w:val="24"/>
        </w:rPr>
        <w:t>1</w:t>
      </w:r>
      <w:r w:rsidR="001F7D0C" w:rsidRPr="00F56F16">
        <w:rPr>
          <w:rFonts w:ascii="Arial" w:hAnsi="Arial" w:cs="Arial"/>
          <w:iCs/>
          <w:sz w:val="24"/>
          <w:szCs w:val="24"/>
        </w:rPr>
        <w:t>.</w:t>
      </w:r>
      <w:r w:rsidR="009308EB">
        <w:rPr>
          <w:rFonts w:ascii="Arial" w:hAnsi="Arial" w:cs="Arial"/>
          <w:iCs/>
          <w:sz w:val="24"/>
          <w:szCs w:val="24"/>
        </w:rPr>
        <w:t xml:space="preserve">  </w:t>
      </w:r>
      <w:r w:rsidR="001F7D0C" w:rsidRPr="00F56F16">
        <w:rPr>
          <w:rFonts w:ascii="Arial" w:hAnsi="Arial" w:cs="Arial"/>
          <w:iCs/>
          <w:sz w:val="24"/>
          <w:szCs w:val="24"/>
        </w:rPr>
        <w:t xml:space="preserve">On June 12, 2017, SoCalGas provided its initial supplemental budget information in response to the Scoping Memo and Ruling of Assigned Commissioner and Administrative Law Judge, dated April 14, 2017. The Scoping Ruling directed PAs IOUs and the non-IOU PAs, to submit supplemental budget information using the common budget template developed in consultation with The Utility Reform Network (TURN) and </w:t>
      </w:r>
      <w:r w:rsidR="007E7F03">
        <w:rPr>
          <w:rFonts w:ascii="Arial" w:hAnsi="Arial" w:cs="Arial"/>
          <w:iCs/>
          <w:sz w:val="24"/>
          <w:szCs w:val="24"/>
        </w:rPr>
        <w:t>Public Advocates Office (PAO)</w:t>
      </w:r>
      <w:r w:rsidR="001F7D0C" w:rsidRPr="00F56F16">
        <w:rPr>
          <w:rFonts w:ascii="Arial" w:hAnsi="Arial" w:cs="Arial"/>
          <w:iCs/>
          <w:sz w:val="24"/>
          <w:szCs w:val="24"/>
        </w:rPr>
        <w:t>, as well as the PAs.  </w:t>
      </w:r>
      <w:r w:rsidRPr="00DF77FF">
        <w:rPr>
          <w:rFonts w:ascii="Arial" w:hAnsi="Arial" w:cs="Arial"/>
          <w:iCs/>
          <w:sz w:val="24"/>
          <w:szCs w:val="24"/>
        </w:rPr>
        <w:t>SoCalGas</w:t>
      </w:r>
      <w:bookmarkStart w:id="10" w:name="_GoBack"/>
      <w:bookmarkEnd w:id="10"/>
      <w:r w:rsidRPr="00DF77FF">
        <w:rPr>
          <w:rFonts w:ascii="Arial" w:hAnsi="Arial" w:cs="Arial"/>
          <w:iCs/>
          <w:sz w:val="24"/>
          <w:szCs w:val="24"/>
        </w:rPr>
        <w:t>’ supplemental budget information for PY 202</w:t>
      </w:r>
      <w:r w:rsidR="007E7F03" w:rsidRPr="00DF77FF">
        <w:rPr>
          <w:rFonts w:ascii="Arial" w:hAnsi="Arial" w:cs="Arial"/>
          <w:iCs/>
          <w:sz w:val="24"/>
          <w:szCs w:val="24"/>
        </w:rPr>
        <w:t>1</w:t>
      </w:r>
      <w:r w:rsidRPr="00DF77FF">
        <w:rPr>
          <w:rFonts w:ascii="Arial" w:hAnsi="Arial" w:cs="Arial"/>
          <w:iCs/>
          <w:sz w:val="24"/>
          <w:szCs w:val="24"/>
        </w:rPr>
        <w:t xml:space="preserve"> is provided in A</w:t>
      </w:r>
      <w:r w:rsidR="009A488F" w:rsidRPr="00DF77FF">
        <w:rPr>
          <w:rFonts w:ascii="Arial" w:hAnsi="Arial" w:cs="Arial"/>
          <w:iCs/>
          <w:sz w:val="24"/>
          <w:szCs w:val="24"/>
        </w:rPr>
        <w:t>ttachment B</w:t>
      </w:r>
      <w:r w:rsidRPr="00DF77FF">
        <w:rPr>
          <w:rFonts w:ascii="Arial" w:hAnsi="Arial" w:cs="Arial"/>
          <w:iCs/>
          <w:sz w:val="24"/>
          <w:szCs w:val="24"/>
        </w:rPr>
        <w:t>.</w:t>
      </w:r>
      <w:r w:rsidRPr="00F56F16">
        <w:rPr>
          <w:rFonts w:ascii="Arial" w:hAnsi="Arial" w:cs="Arial"/>
          <w:iCs/>
          <w:sz w:val="24"/>
          <w:szCs w:val="24"/>
        </w:rPr>
        <w:t xml:space="preserve"> </w:t>
      </w:r>
    </w:p>
    <w:p w14:paraId="77A5B3D5" w14:textId="77777777" w:rsidR="00AF70BF" w:rsidRDefault="00AF70BF" w:rsidP="00F662CD">
      <w:pPr>
        <w:rPr>
          <w:rFonts w:ascii="Arial" w:hAnsi="Arial" w:cs="Arial"/>
          <w:b/>
          <w:spacing w:val="-1"/>
          <w:sz w:val="24"/>
          <w:szCs w:val="24"/>
          <w:u w:val="thick" w:color="000000"/>
        </w:rPr>
      </w:pPr>
    </w:p>
    <w:p w14:paraId="2AF0DE21" w14:textId="77777777" w:rsidR="00B82885" w:rsidRPr="00E3651C" w:rsidRDefault="00B82885" w:rsidP="00F662CD">
      <w:pPr>
        <w:rPr>
          <w:rFonts w:ascii="Arial" w:hAnsi="Arial" w:cs="Arial"/>
          <w:b/>
          <w:spacing w:val="-1"/>
          <w:sz w:val="24"/>
          <w:szCs w:val="24"/>
          <w:u w:val="single" w:color="000000"/>
        </w:rPr>
      </w:pPr>
      <w:r w:rsidRPr="00E3651C">
        <w:rPr>
          <w:rFonts w:ascii="Arial" w:hAnsi="Arial" w:cs="Arial"/>
          <w:b/>
          <w:spacing w:val="-1"/>
          <w:sz w:val="24"/>
          <w:szCs w:val="24"/>
          <w:u w:val="single" w:color="000000"/>
        </w:rPr>
        <w:t>Metrics</w:t>
      </w:r>
    </w:p>
    <w:p w14:paraId="75865341" w14:textId="77777777" w:rsidR="008A1C1C" w:rsidRDefault="008A1C1C" w:rsidP="00F662CD">
      <w:pPr>
        <w:rPr>
          <w:rFonts w:ascii="Arial" w:hAnsi="Arial" w:cs="Arial"/>
          <w:b/>
          <w:spacing w:val="-1"/>
          <w:sz w:val="24"/>
          <w:szCs w:val="24"/>
          <w:u w:val="thick" w:color="000000"/>
        </w:rPr>
      </w:pPr>
    </w:p>
    <w:p w14:paraId="76A5642E" w14:textId="733F7727" w:rsidR="0052538D" w:rsidRPr="002A2FBB" w:rsidRDefault="008A1C1C" w:rsidP="005209A8">
      <w:pPr>
        <w:autoSpaceDE w:val="0"/>
        <w:autoSpaceDN w:val="0"/>
        <w:adjustRightInd w:val="0"/>
        <w:rPr>
          <w:rFonts w:ascii="Arial" w:hAnsi="Arial" w:cs="Arial"/>
          <w:bCs/>
          <w:sz w:val="24"/>
          <w:szCs w:val="24"/>
        </w:rPr>
      </w:pPr>
      <w:r w:rsidRPr="00070A07">
        <w:rPr>
          <w:rFonts w:ascii="Arial" w:hAnsi="Arial" w:cs="Arial"/>
          <w:bCs/>
          <w:sz w:val="24"/>
          <w:szCs w:val="24"/>
        </w:rPr>
        <w:t>Pursuant to D.18-05-041, SoCalGas</w:t>
      </w:r>
      <w:r w:rsidR="002A5DE9" w:rsidRPr="00070A07">
        <w:rPr>
          <w:rFonts w:ascii="Arial" w:hAnsi="Arial" w:cs="Arial"/>
          <w:bCs/>
          <w:sz w:val="24"/>
          <w:szCs w:val="24"/>
        </w:rPr>
        <w:t>’</w:t>
      </w:r>
      <w:r w:rsidRPr="00070A07">
        <w:rPr>
          <w:rFonts w:ascii="Arial" w:hAnsi="Arial" w:cs="Arial"/>
          <w:bCs/>
          <w:sz w:val="24"/>
          <w:szCs w:val="24"/>
        </w:rPr>
        <w:t xml:space="preserve"> 201</w:t>
      </w:r>
      <w:r w:rsidR="005A50AC">
        <w:rPr>
          <w:rFonts w:ascii="Arial" w:hAnsi="Arial" w:cs="Arial"/>
          <w:bCs/>
          <w:sz w:val="24"/>
          <w:szCs w:val="24"/>
        </w:rPr>
        <w:t>9</w:t>
      </w:r>
      <w:r w:rsidRPr="00070A07">
        <w:rPr>
          <w:rFonts w:ascii="Arial" w:hAnsi="Arial" w:cs="Arial"/>
          <w:bCs/>
          <w:sz w:val="24"/>
          <w:szCs w:val="24"/>
        </w:rPr>
        <w:t xml:space="preserve"> sector-level metrics </w:t>
      </w:r>
      <w:r w:rsidR="002A5DE9" w:rsidRPr="00070A07">
        <w:rPr>
          <w:rFonts w:ascii="Arial" w:hAnsi="Arial" w:cs="Arial"/>
          <w:bCs/>
          <w:sz w:val="24"/>
          <w:szCs w:val="24"/>
        </w:rPr>
        <w:t xml:space="preserve">are available through </w:t>
      </w:r>
      <w:r w:rsidR="005A50AC">
        <w:rPr>
          <w:rFonts w:ascii="Arial" w:hAnsi="Arial" w:cs="Arial"/>
          <w:bCs/>
          <w:sz w:val="24"/>
          <w:szCs w:val="24"/>
        </w:rPr>
        <w:t>SoCalGas’</w:t>
      </w:r>
      <w:r w:rsidR="002A5DE9" w:rsidRPr="00070A07">
        <w:rPr>
          <w:rFonts w:ascii="Arial" w:hAnsi="Arial" w:cs="Arial"/>
          <w:bCs/>
          <w:sz w:val="24"/>
          <w:szCs w:val="24"/>
        </w:rPr>
        <w:t xml:space="preserve"> </w:t>
      </w:r>
      <w:r w:rsidR="002A5DE9" w:rsidRPr="002A2FBB">
        <w:rPr>
          <w:rFonts w:ascii="Arial" w:hAnsi="Arial" w:cs="Arial"/>
          <w:bCs/>
          <w:sz w:val="24"/>
          <w:szCs w:val="24"/>
        </w:rPr>
        <w:t>website in the following link</w:t>
      </w:r>
      <w:r w:rsidR="0052538D" w:rsidRPr="002A2FBB">
        <w:rPr>
          <w:rFonts w:ascii="Arial" w:hAnsi="Arial" w:cs="Arial"/>
          <w:bCs/>
          <w:sz w:val="24"/>
          <w:szCs w:val="24"/>
        </w:rPr>
        <w:t xml:space="preserve">:  </w:t>
      </w:r>
    </w:p>
    <w:p w14:paraId="3D34D874" w14:textId="5A9B6BF5" w:rsidR="008A1C1C" w:rsidRDefault="005A50AC" w:rsidP="005209A8">
      <w:pPr>
        <w:autoSpaceDE w:val="0"/>
        <w:autoSpaceDN w:val="0"/>
        <w:adjustRightInd w:val="0"/>
        <w:rPr>
          <w:rFonts w:ascii="Arial" w:hAnsi="Arial" w:cs="Arial"/>
          <w:bCs/>
          <w:sz w:val="24"/>
          <w:szCs w:val="24"/>
        </w:rPr>
      </w:pPr>
      <w:hyperlink r:id="rId15" w:history="1">
        <w:r w:rsidRPr="002A2FBB">
          <w:rPr>
            <w:rStyle w:val="Hyperlink"/>
            <w:rFonts w:ascii="Arial" w:hAnsi="Arial" w:cs="Arial"/>
            <w:sz w:val="24"/>
            <w:szCs w:val="24"/>
          </w:rPr>
          <w:t>https://www.socalgas.com/sites/default/files/SCG%202019%20Energy%20Efficiency%20Annual%20Report%20-%205-15-20%20Final.pdf</w:t>
        </w:r>
      </w:hyperlink>
      <w:r w:rsidR="00070A07" w:rsidRPr="002A2FBB">
        <w:rPr>
          <w:rFonts w:ascii="Arial" w:hAnsi="Arial" w:cs="Arial"/>
          <w:bCs/>
          <w:sz w:val="24"/>
          <w:szCs w:val="24"/>
        </w:rPr>
        <w:t>.</w:t>
      </w:r>
      <w:r w:rsidR="00070A07" w:rsidRPr="00070A07">
        <w:rPr>
          <w:rFonts w:ascii="Arial" w:hAnsi="Arial" w:cs="Arial"/>
          <w:bCs/>
          <w:sz w:val="24"/>
          <w:szCs w:val="24"/>
        </w:rPr>
        <w:t xml:space="preserve"> </w:t>
      </w:r>
      <w:r w:rsidR="008E5159" w:rsidRPr="00070A07">
        <w:rPr>
          <w:rStyle w:val="FootnoteReference"/>
          <w:rFonts w:ascii="Arial" w:hAnsi="Arial" w:cs="Arial"/>
          <w:bCs/>
          <w:sz w:val="24"/>
          <w:szCs w:val="24"/>
        </w:rPr>
        <w:footnoteReference w:id="14"/>
      </w:r>
    </w:p>
    <w:p w14:paraId="41FA3570" w14:textId="77777777" w:rsidR="001D52E7" w:rsidRDefault="001D52E7" w:rsidP="00914AF6">
      <w:pPr>
        <w:rPr>
          <w:rFonts w:ascii="Arial" w:hAnsi="Arial" w:cs="Arial"/>
          <w:b/>
          <w:spacing w:val="-1"/>
          <w:sz w:val="24"/>
          <w:szCs w:val="24"/>
          <w:u w:val="thick" w:color="000000"/>
        </w:rPr>
      </w:pPr>
    </w:p>
    <w:p w14:paraId="36E0CEB3" w14:textId="77777777" w:rsidR="0043116D" w:rsidRPr="00E3651C" w:rsidRDefault="0043116D" w:rsidP="005209A8">
      <w:pPr>
        <w:rPr>
          <w:rFonts w:ascii="Arial" w:eastAsia="Arial" w:hAnsi="Arial" w:cs="Arial"/>
          <w:sz w:val="24"/>
          <w:szCs w:val="24"/>
          <w:u w:val="single"/>
        </w:rPr>
      </w:pPr>
      <w:r w:rsidRPr="00E3651C">
        <w:rPr>
          <w:rFonts w:ascii="Arial" w:hAnsi="Arial" w:cs="Arial"/>
          <w:b/>
          <w:spacing w:val="-1"/>
          <w:sz w:val="24"/>
          <w:szCs w:val="24"/>
          <w:u w:val="single" w:color="000000"/>
        </w:rPr>
        <w:t>Revenue Requirements</w:t>
      </w:r>
    </w:p>
    <w:p w14:paraId="696667AA" w14:textId="77777777" w:rsidR="0043116D" w:rsidRPr="00B621B9" w:rsidRDefault="0043116D" w:rsidP="005209A8">
      <w:pPr>
        <w:spacing w:before="11"/>
        <w:rPr>
          <w:rFonts w:ascii="Arial" w:eastAsia="Arial" w:hAnsi="Arial" w:cs="Arial"/>
          <w:b/>
          <w:bCs/>
          <w:sz w:val="24"/>
          <w:szCs w:val="24"/>
        </w:rPr>
      </w:pPr>
    </w:p>
    <w:p w14:paraId="18A3DF45" w14:textId="2E93CF5C" w:rsidR="0043116D" w:rsidRDefault="008D3C37" w:rsidP="005209A8">
      <w:pPr>
        <w:spacing w:before="69"/>
        <w:ind w:right="267"/>
        <w:rPr>
          <w:rFonts w:ascii="Arial" w:eastAsia="Arial" w:hAnsi="Arial" w:cs="Arial"/>
          <w:sz w:val="24"/>
          <w:szCs w:val="24"/>
        </w:rPr>
      </w:pPr>
      <w:r>
        <w:rPr>
          <w:rFonts w:ascii="Arial" w:eastAsia="Arial" w:hAnsi="Arial" w:cs="Arial"/>
          <w:spacing w:val="-1"/>
          <w:sz w:val="24"/>
          <w:szCs w:val="24"/>
        </w:rPr>
        <w:t>T</w:t>
      </w:r>
      <w:r w:rsidR="0043116D" w:rsidRPr="00B621B9">
        <w:rPr>
          <w:rFonts w:ascii="Arial" w:eastAsia="Arial" w:hAnsi="Arial" w:cs="Arial"/>
          <w:spacing w:val="-1"/>
          <w:sz w:val="24"/>
          <w:szCs w:val="24"/>
        </w:rPr>
        <w:t>able</w:t>
      </w:r>
      <w:r>
        <w:rPr>
          <w:rFonts w:ascii="Arial" w:eastAsia="Arial" w:hAnsi="Arial" w:cs="Arial"/>
          <w:spacing w:val="-1"/>
          <w:sz w:val="24"/>
          <w:szCs w:val="24"/>
        </w:rPr>
        <w:t xml:space="preserve"> </w:t>
      </w:r>
      <w:r w:rsidR="0003360F">
        <w:rPr>
          <w:rFonts w:ascii="Arial" w:eastAsia="Arial" w:hAnsi="Arial" w:cs="Arial"/>
          <w:spacing w:val="-1"/>
          <w:sz w:val="24"/>
          <w:szCs w:val="24"/>
        </w:rPr>
        <w:t>7</w:t>
      </w:r>
      <w:r w:rsidR="0043116D" w:rsidRPr="00B621B9">
        <w:rPr>
          <w:rFonts w:ascii="Arial" w:eastAsia="Arial" w:hAnsi="Arial" w:cs="Arial"/>
          <w:spacing w:val="-1"/>
          <w:sz w:val="24"/>
          <w:szCs w:val="24"/>
        </w:rPr>
        <w:t xml:space="preserve"> below summarizes the</w:t>
      </w:r>
      <w:r w:rsidR="0043116D" w:rsidRPr="00B621B9">
        <w:rPr>
          <w:rFonts w:ascii="Arial" w:eastAsia="Arial" w:hAnsi="Arial" w:cs="Arial"/>
          <w:spacing w:val="1"/>
          <w:sz w:val="24"/>
          <w:szCs w:val="24"/>
        </w:rPr>
        <w:t xml:space="preserve"> </w:t>
      </w:r>
      <w:r w:rsidR="0043116D" w:rsidRPr="00B621B9">
        <w:rPr>
          <w:rFonts w:ascii="Arial" w:eastAsia="Arial" w:hAnsi="Arial" w:cs="Arial"/>
          <w:sz w:val="24"/>
          <w:szCs w:val="24"/>
        </w:rPr>
        <w:t xml:space="preserve">revenue requirement impact by </w:t>
      </w:r>
      <w:r w:rsidR="0043116D" w:rsidRPr="00B621B9">
        <w:rPr>
          <w:rFonts w:ascii="Arial" w:eastAsia="Arial" w:hAnsi="Arial" w:cs="Arial"/>
          <w:spacing w:val="-1"/>
          <w:sz w:val="24"/>
          <w:szCs w:val="24"/>
        </w:rPr>
        <w:t>class</w:t>
      </w:r>
      <w:r w:rsidR="0043116D" w:rsidRPr="00B621B9">
        <w:rPr>
          <w:rFonts w:ascii="Arial" w:eastAsia="Arial" w:hAnsi="Arial" w:cs="Arial"/>
          <w:sz w:val="24"/>
          <w:szCs w:val="24"/>
        </w:rPr>
        <w:t xml:space="preserve"> of </w:t>
      </w:r>
      <w:r w:rsidR="0043116D" w:rsidRPr="00B621B9">
        <w:rPr>
          <w:rFonts w:ascii="Arial" w:eastAsia="Arial" w:hAnsi="Arial" w:cs="Arial"/>
          <w:spacing w:val="-1"/>
          <w:sz w:val="24"/>
          <w:szCs w:val="24"/>
        </w:rPr>
        <w:t>service.</w:t>
      </w:r>
      <w:r w:rsidR="0043116D" w:rsidRPr="00B621B9">
        <w:rPr>
          <w:rFonts w:ascii="Arial" w:eastAsia="Arial" w:hAnsi="Arial" w:cs="Arial"/>
          <w:sz w:val="24"/>
          <w:szCs w:val="24"/>
        </w:rPr>
        <w:t xml:space="preserve">  In</w:t>
      </w:r>
      <w:r w:rsidR="0043116D" w:rsidRPr="00B621B9">
        <w:rPr>
          <w:rFonts w:ascii="Arial" w:eastAsia="Arial" w:hAnsi="Arial" w:cs="Arial"/>
          <w:spacing w:val="29"/>
          <w:sz w:val="24"/>
          <w:szCs w:val="24"/>
        </w:rPr>
        <w:t xml:space="preserve"> </w:t>
      </w:r>
      <w:r w:rsidR="0043116D" w:rsidRPr="00B621B9">
        <w:rPr>
          <w:rFonts w:ascii="Arial" w:eastAsia="Arial" w:hAnsi="Arial" w:cs="Arial"/>
          <w:spacing w:val="-1"/>
          <w:sz w:val="24"/>
          <w:szCs w:val="24"/>
        </w:rPr>
        <w:t xml:space="preserve">addition, SoCalGas provides herein as </w:t>
      </w:r>
      <w:r w:rsidR="0043116D" w:rsidRPr="00831FE1">
        <w:rPr>
          <w:rFonts w:ascii="Arial" w:eastAsia="Arial" w:hAnsi="Arial" w:cs="Arial"/>
          <w:spacing w:val="-1"/>
          <w:sz w:val="24"/>
          <w:szCs w:val="24"/>
        </w:rPr>
        <w:t>A</w:t>
      </w:r>
      <w:r w:rsidR="008D0FAA" w:rsidRPr="00831FE1">
        <w:rPr>
          <w:rFonts w:ascii="Arial" w:eastAsia="Arial" w:hAnsi="Arial" w:cs="Arial"/>
          <w:spacing w:val="-1"/>
          <w:sz w:val="24"/>
          <w:szCs w:val="24"/>
        </w:rPr>
        <w:t xml:space="preserve">ppendix </w:t>
      </w:r>
      <w:r w:rsidRPr="00831FE1">
        <w:rPr>
          <w:rFonts w:ascii="Arial" w:eastAsia="Arial" w:hAnsi="Arial" w:cs="Arial"/>
          <w:spacing w:val="-1"/>
          <w:sz w:val="24"/>
          <w:szCs w:val="24"/>
        </w:rPr>
        <w:t>A</w:t>
      </w:r>
      <w:r w:rsidR="0043116D" w:rsidRPr="00831FE1">
        <w:rPr>
          <w:rFonts w:ascii="Arial" w:eastAsia="Arial" w:hAnsi="Arial" w:cs="Arial"/>
          <w:spacing w:val="-1"/>
          <w:sz w:val="24"/>
          <w:szCs w:val="24"/>
        </w:rPr>
        <w:t xml:space="preserve"> the</w:t>
      </w:r>
      <w:r w:rsidR="0043116D" w:rsidRPr="00B621B9">
        <w:rPr>
          <w:rFonts w:ascii="Arial" w:eastAsia="Arial" w:hAnsi="Arial" w:cs="Arial"/>
          <w:sz w:val="24"/>
          <w:szCs w:val="24"/>
        </w:rPr>
        <w:t xml:space="preserve"> </w:t>
      </w:r>
      <w:r w:rsidR="0043116D" w:rsidRPr="00B621B9">
        <w:rPr>
          <w:rFonts w:ascii="Arial" w:eastAsia="Arial" w:hAnsi="Arial" w:cs="Arial"/>
          <w:spacing w:val="-1"/>
          <w:sz w:val="24"/>
          <w:szCs w:val="24"/>
        </w:rPr>
        <w:t>Gas Bill Payer Impacts table</w:t>
      </w:r>
      <w:r w:rsidR="0043116D" w:rsidRPr="00B621B9">
        <w:rPr>
          <w:rFonts w:ascii="Arial" w:eastAsia="Arial" w:hAnsi="Arial" w:cs="Arial"/>
          <w:spacing w:val="36"/>
          <w:sz w:val="24"/>
          <w:szCs w:val="24"/>
        </w:rPr>
        <w:t xml:space="preserve"> </w:t>
      </w:r>
      <w:r w:rsidR="0043116D" w:rsidRPr="00B621B9">
        <w:rPr>
          <w:rFonts w:ascii="Arial" w:eastAsia="Arial" w:hAnsi="Arial" w:cs="Arial"/>
          <w:sz w:val="24"/>
          <w:szCs w:val="24"/>
        </w:rPr>
        <w:t xml:space="preserve">comparing present and proposed </w:t>
      </w:r>
      <w:r w:rsidR="0043116D" w:rsidRPr="00B621B9">
        <w:rPr>
          <w:rFonts w:ascii="Arial" w:eastAsia="Arial" w:hAnsi="Arial" w:cs="Arial"/>
          <w:spacing w:val="-1"/>
          <w:sz w:val="24"/>
          <w:szCs w:val="24"/>
        </w:rPr>
        <w:t>rates associated with the inclusion</w:t>
      </w:r>
      <w:r w:rsidR="0043116D" w:rsidRPr="00B621B9">
        <w:rPr>
          <w:rFonts w:ascii="Arial" w:eastAsia="Arial" w:hAnsi="Arial" w:cs="Arial"/>
          <w:sz w:val="24"/>
          <w:szCs w:val="24"/>
        </w:rPr>
        <w:t xml:space="preserve"> of SoCalGas’</w:t>
      </w:r>
      <w:r w:rsidR="0043116D" w:rsidRPr="00B621B9">
        <w:rPr>
          <w:rFonts w:ascii="Arial" w:eastAsia="Arial" w:hAnsi="Arial" w:cs="Arial"/>
          <w:spacing w:val="30"/>
          <w:sz w:val="24"/>
          <w:szCs w:val="24"/>
        </w:rPr>
        <w:t xml:space="preserve"> </w:t>
      </w:r>
      <w:r w:rsidR="0043116D" w:rsidRPr="00B621B9">
        <w:rPr>
          <w:rFonts w:ascii="Arial" w:eastAsia="Arial" w:hAnsi="Arial" w:cs="Arial"/>
          <w:spacing w:val="-1"/>
          <w:sz w:val="24"/>
          <w:szCs w:val="24"/>
        </w:rPr>
        <w:t>proposed 20</w:t>
      </w:r>
      <w:r w:rsidR="00DF239A">
        <w:rPr>
          <w:rFonts w:ascii="Arial" w:eastAsia="Arial" w:hAnsi="Arial" w:cs="Arial"/>
          <w:spacing w:val="-1"/>
          <w:sz w:val="24"/>
          <w:szCs w:val="24"/>
        </w:rPr>
        <w:t>2</w:t>
      </w:r>
      <w:r w:rsidR="00683880">
        <w:rPr>
          <w:rFonts w:ascii="Arial" w:eastAsia="Arial" w:hAnsi="Arial" w:cs="Arial"/>
          <w:spacing w:val="-1"/>
          <w:sz w:val="24"/>
          <w:szCs w:val="24"/>
        </w:rPr>
        <w:t>1</w:t>
      </w:r>
      <w:r w:rsidR="0043116D" w:rsidRPr="00B621B9">
        <w:rPr>
          <w:rFonts w:ascii="Arial" w:eastAsia="Arial" w:hAnsi="Arial" w:cs="Arial"/>
          <w:spacing w:val="-1"/>
          <w:sz w:val="24"/>
          <w:szCs w:val="24"/>
        </w:rPr>
        <w:t xml:space="preserve"> budget</w:t>
      </w:r>
      <w:r w:rsidR="0043116D" w:rsidRPr="00B621B9">
        <w:rPr>
          <w:rFonts w:ascii="Arial" w:eastAsia="Arial" w:hAnsi="Arial" w:cs="Arial"/>
          <w:spacing w:val="1"/>
          <w:sz w:val="24"/>
          <w:szCs w:val="24"/>
        </w:rPr>
        <w:t xml:space="preserve"> </w:t>
      </w:r>
      <w:r w:rsidR="0043116D" w:rsidRPr="00B621B9">
        <w:rPr>
          <w:rFonts w:ascii="Arial" w:eastAsia="Arial" w:hAnsi="Arial" w:cs="Arial"/>
          <w:spacing w:val="-1"/>
          <w:sz w:val="24"/>
          <w:szCs w:val="24"/>
        </w:rPr>
        <w:t>in its gas</w:t>
      </w:r>
      <w:r w:rsidR="0043116D" w:rsidRPr="00B621B9">
        <w:rPr>
          <w:rFonts w:ascii="Arial" w:eastAsia="Arial" w:hAnsi="Arial" w:cs="Arial"/>
          <w:spacing w:val="1"/>
          <w:sz w:val="24"/>
          <w:szCs w:val="24"/>
        </w:rPr>
        <w:t xml:space="preserve"> </w:t>
      </w:r>
      <w:r w:rsidR="0043116D" w:rsidRPr="00B621B9">
        <w:rPr>
          <w:rFonts w:ascii="Arial" w:eastAsia="Arial" w:hAnsi="Arial" w:cs="Arial"/>
          <w:sz w:val="24"/>
          <w:szCs w:val="24"/>
        </w:rPr>
        <w:t>transportation rates.</w:t>
      </w:r>
    </w:p>
    <w:p w14:paraId="61B90CDE" w14:textId="77777777" w:rsidR="002C52C7" w:rsidRDefault="002C52C7" w:rsidP="005209A8">
      <w:pPr>
        <w:spacing w:before="69"/>
        <w:ind w:right="267"/>
        <w:rPr>
          <w:rFonts w:ascii="Arial" w:eastAsia="Arial" w:hAnsi="Arial" w:cs="Arial"/>
          <w:sz w:val="24"/>
          <w:szCs w:val="24"/>
        </w:rPr>
      </w:pPr>
    </w:p>
    <w:p w14:paraId="2F813888" w14:textId="0DC863A6" w:rsidR="0043116D" w:rsidRDefault="0043116D" w:rsidP="00B82885">
      <w:pPr>
        <w:jc w:val="center"/>
        <w:rPr>
          <w:rFonts w:ascii="Arial" w:hAnsi="Arial" w:cs="Arial"/>
          <w:b/>
          <w:sz w:val="24"/>
          <w:szCs w:val="24"/>
        </w:rPr>
      </w:pPr>
      <w:r w:rsidRPr="00B621B9">
        <w:rPr>
          <w:rFonts w:ascii="Arial" w:hAnsi="Arial" w:cs="Arial"/>
          <w:b/>
          <w:sz w:val="24"/>
          <w:szCs w:val="24"/>
        </w:rPr>
        <w:t xml:space="preserve">Table </w:t>
      </w:r>
      <w:r w:rsidR="0003360F">
        <w:rPr>
          <w:rFonts w:ascii="Arial" w:hAnsi="Arial" w:cs="Arial"/>
          <w:b/>
          <w:sz w:val="24"/>
          <w:szCs w:val="24"/>
        </w:rPr>
        <w:t>7</w:t>
      </w:r>
      <w:r w:rsidRPr="00B621B9">
        <w:rPr>
          <w:rFonts w:ascii="Arial" w:hAnsi="Arial" w:cs="Arial"/>
          <w:b/>
          <w:sz w:val="24"/>
          <w:szCs w:val="24"/>
        </w:rPr>
        <w:t>:</w:t>
      </w:r>
      <w:r w:rsidRPr="00B621B9">
        <w:rPr>
          <w:rFonts w:ascii="Arial" w:hAnsi="Arial" w:cs="Arial"/>
          <w:b/>
          <w:spacing w:val="66"/>
          <w:sz w:val="24"/>
          <w:szCs w:val="24"/>
        </w:rPr>
        <w:t xml:space="preserve"> </w:t>
      </w:r>
      <w:r w:rsidRPr="00B621B9">
        <w:rPr>
          <w:rFonts w:ascii="Arial" w:hAnsi="Arial" w:cs="Arial"/>
          <w:b/>
          <w:spacing w:val="-1"/>
          <w:sz w:val="24"/>
          <w:szCs w:val="24"/>
        </w:rPr>
        <w:t>Revenue</w:t>
      </w:r>
      <w:r w:rsidRPr="00B621B9">
        <w:rPr>
          <w:rFonts w:ascii="Arial" w:hAnsi="Arial" w:cs="Arial"/>
          <w:b/>
          <w:sz w:val="24"/>
          <w:szCs w:val="24"/>
        </w:rPr>
        <w:t xml:space="preserve"> Requirement by</w:t>
      </w:r>
      <w:r w:rsidRPr="00B621B9">
        <w:rPr>
          <w:rFonts w:ascii="Arial" w:hAnsi="Arial" w:cs="Arial"/>
          <w:b/>
          <w:spacing w:val="-3"/>
          <w:sz w:val="24"/>
          <w:szCs w:val="24"/>
        </w:rPr>
        <w:t xml:space="preserve"> </w:t>
      </w:r>
      <w:r w:rsidRPr="00B621B9">
        <w:rPr>
          <w:rFonts w:ascii="Arial" w:hAnsi="Arial" w:cs="Arial"/>
          <w:b/>
          <w:sz w:val="24"/>
          <w:szCs w:val="24"/>
        </w:rPr>
        <w:t>Customer Class</w:t>
      </w:r>
    </w:p>
    <w:p w14:paraId="0B62896F" w14:textId="77777777" w:rsidR="00B82885" w:rsidRPr="00B621B9" w:rsidRDefault="00B82885" w:rsidP="005209A8">
      <w:pPr>
        <w:jc w:val="center"/>
        <w:rPr>
          <w:rFonts w:ascii="Arial" w:eastAsia="Arial" w:hAnsi="Arial" w:cs="Arial"/>
          <w:sz w:val="24"/>
          <w:szCs w:val="24"/>
        </w:rPr>
      </w:pPr>
    </w:p>
    <w:tbl>
      <w:tblPr>
        <w:tblW w:w="9576" w:type="dxa"/>
        <w:tblInd w:w="106" w:type="dxa"/>
        <w:tblLayout w:type="fixed"/>
        <w:tblCellMar>
          <w:left w:w="0" w:type="dxa"/>
          <w:right w:w="0" w:type="dxa"/>
        </w:tblCellMar>
        <w:tblLook w:val="01E0" w:firstRow="1" w:lastRow="1" w:firstColumn="1" w:lastColumn="1" w:noHBand="0" w:noVBand="0"/>
      </w:tblPr>
      <w:tblGrid>
        <w:gridCol w:w="3192"/>
        <w:gridCol w:w="3192"/>
        <w:gridCol w:w="3192"/>
      </w:tblGrid>
      <w:tr w:rsidR="0043116D" w:rsidRPr="00683880" w14:paraId="201EA8CC" w14:textId="77777777" w:rsidTr="00B621B9">
        <w:trPr>
          <w:trHeight w:hRule="exact" w:val="287"/>
        </w:trPr>
        <w:tc>
          <w:tcPr>
            <w:tcW w:w="3192" w:type="dxa"/>
            <w:tcBorders>
              <w:top w:val="single" w:sz="5" w:space="0" w:color="000000"/>
              <w:left w:val="single" w:sz="5" w:space="0" w:color="000000"/>
              <w:bottom w:val="single" w:sz="5" w:space="0" w:color="000000"/>
              <w:right w:val="single" w:sz="5" w:space="0" w:color="000000"/>
            </w:tcBorders>
          </w:tcPr>
          <w:p w14:paraId="5E3F1A80" w14:textId="77777777" w:rsidR="0043116D" w:rsidRPr="00745929" w:rsidRDefault="0043116D" w:rsidP="00B621B9">
            <w:pPr>
              <w:pStyle w:val="TableParagraph"/>
              <w:spacing w:line="275" w:lineRule="exact"/>
              <w:ind w:right="-135"/>
              <w:rPr>
                <w:rFonts w:ascii="Arial" w:eastAsia="Arial" w:hAnsi="Arial" w:cs="Arial"/>
                <w:sz w:val="24"/>
                <w:szCs w:val="24"/>
              </w:rPr>
            </w:pPr>
            <w:r w:rsidRPr="00745929">
              <w:rPr>
                <w:rFonts w:ascii="Arial" w:hAnsi="Arial" w:cs="Arial"/>
                <w:b/>
                <w:spacing w:val="-1"/>
                <w:sz w:val="24"/>
                <w:szCs w:val="24"/>
              </w:rPr>
              <w:t>Customer Class</w:t>
            </w:r>
          </w:p>
        </w:tc>
        <w:tc>
          <w:tcPr>
            <w:tcW w:w="3192" w:type="dxa"/>
            <w:tcBorders>
              <w:top w:val="single" w:sz="5" w:space="0" w:color="000000"/>
              <w:left w:val="single" w:sz="5" w:space="0" w:color="000000"/>
              <w:bottom w:val="single" w:sz="5" w:space="0" w:color="000000"/>
              <w:right w:val="single" w:sz="5" w:space="0" w:color="000000"/>
            </w:tcBorders>
          </w:tcPr>
          <w:p w14:paraId="35E87CAA" w14:textId="77777777" w:rsidR="0043116D" w:rsidRPr="00745929" w:rsidRDefault="0043116D" w:rsidP="00B621B9">
            <w:pPr>
              <w:pStyle w:val="TableParagraph"/>
              <w:spacing w:line="275" w:lineRule="exact"/>
              <w:ind w:left="45"/>
              <w:rPr>
                <w:rFonts w:ascii="Arial" w:eastAsia="Arial" w:hAnsi="Arial" w:cs="Arial"/>
                <w:sz w:val="24"/>
                <w:szCs w:val="24"/>
              </w:rPr>
            </w:pPr>
            <w:r w:rsidRPr="00745929">
              <w:rPr>
                <w:rFonts w:ascii="Arial" w:hAnsi="Arial" w:cs="Arial"/>
                <w:b/>
                <w:spacing w:val="-1"/>
                <w:sz w:val="24"/>
                <w:szCs w:val="24"/>
              </w:rPr>
              <w:t>Applicable Rate</w:t>
            </w:r>
          </w:p>
        </w:tc>
        <w:tc>
          <w:tcPr>
            <w:tcW w:w="3192" w:type="dxa"/>
            <w:tcBorders>
              <w:top w:val="single" w:sz="5" w:space="0" w:color="000000"/>
              <w:left w:val="single" w:sz="5" w:space="0" w:color="000000"/>
              <w:bottom w:val="single" w:sz="5" w:space="0" w:color="000000"/>
              <w:right w:val="single" w:sz="5" w:space="0" w:color="000000"/>
            </w:tcBorders>
          </w:tcPr>
          <w:p w14:paraId="33034945" w14:textId="77777777" w:rsidR="0043116D" w:rsidRPr="00745929" w:rsidRDefault="0043116D" w:rsidP="00B621B9">
            <w:pPr>
              <w:pStyle w:val="TableParagraph"/>
              <w:spacing w:line="275" w:lineRule="exact"/>
              <w:rPr>
                <w:rFonts w:ascii="Arial" w:eastAsia="Arial" w:hAnsi="Arial" w:cs="Arial"/>
                <w:sz w:val="24"/>
                <w:szCs w:val="24"/>
              </w:rPr>
            </w:pPr>
            <w:r w:rsidRPr="00745929">
              <w:rPr>
                <w:rFonts w:ascii="Arial" w:hAnsi="Arial" w:cs="Arial"/>
                <w:b/>
                <w:spacing w:val="-1"/>
                <w:sz w:val="24"/>
                <w:szCs w:val="24"/>
              </w:rPr>
              <w:t>Increase/(Decrease)</w:t>
            </w:r>
          </w:p>
        </w:tc>
      </w:tr>
      <w:tr w:rsidR="0043116D" w:rsidRPr="00683880" w14:paraId="1DA3EF88" w14:textId="77777777" w:rsidTr="00B621B9">
        <w:trPr>
          <w:trHeight w:hRule="exact" w:val="286"/>
        </w:trPr>
        <w:tc>
          <w:tcPr>
            <w:tcW w:w="3192" w:type="dxa"/>
            <w:tcBorders>
              <w:top w:val="single" w:sz="5" w:space="0" w:color="000000"/>
              <w:left w:val="single" w:sz="5" w:space="0" w:color="000000"/>
              <w:bottom w:val="single" w:sz="5" w:space="0" w:color="000000"/>
              <w:right w:val="single" w:sz="5" w:space="0" w:color="000000"/>
            </w:tcBorders>
          </w:tcPr>
          <w:p w14:paraId="533E4D96" w14:textId="77777777" w:rsidR="0043116D" w:rsidRPr="00745929" w:rsidRDefault="0043116D" w:rsidP="0043116D">
            <w:pPr>
              <w:ind w:left="-90"/>
              <w:rPr>
                <w:rFonts w:ascii="Arial" w:hAnsi="Arial" w:cs="Arial"/>
                <w:sz w:val="24"/>
                <w:szCs w:val="24"/>
              </w:rPr>
            </w:pPr>
          </w:p>
        </w:tc>
        <w:tc>
          <w:tcPr>
            <w:tcW w:w="3192" w:type="dxa"/>
            <w:tcBorders>
              <w:top w:val="single" w:sz="5" w:space="0" w:color="000000"/>
              <w:left w:val="single" w:sz="5" w:space="0" w:color="000000"/>
              <w:bottom w:val="single" w:sz="5" w:space="0" w:color="000000"/>
              <w:right w:val="single" w:sz="5" w:space="0" w:color="000000"/>
            </w:tcBorders>
          </w:tcPr>
          <w:p w14:paraId="1833452B" w14:textId="77777777" w:rsidR="0043116D" w:rsidRPr="00745929" w:rsidRDefault="0043116D" w:rsidP="00B621B9">
            <w:pPr>
              <w:pStyle w:val="TableParagraph"/>
              <w:spacing w:line="274" w:lineRule="exact"/>
              <w:rPr>
                <w:rFonts w:ascii="Arial" w:eastAsia="Arial" w:hAnsi="Arial" w:cs="Arial"/>
                <w:sz w:val="24"/>
                <w:szCs w:val="24"/>
              </w:rPr>
            </w:pPr>
            <w:r w:rsidRPr="00745929">
              <w:rPr>
                <w:rFonts w:ascii="Arial" w:hAnsi="Arial" w:cs="Arial"/>
                <w:b/>
                <w:spacing w:val="-1"/>
                <w:sz w:val="24"/>
                <w:szCs w:val="24"/>
              </w:rPr>
              <w:t>Schedules</w:t>
            </w:r>
          </w:p>
        </w:tc>
        <w:tc>
          <w:tcPr>
            <w:tcW w:w="3192" w:type="dxa"/>
            <w:tcBorders>
              <w:top w:val="single" w:sz="5" w:space="0" w:color="000000"/>
              <w:left w:val="single" w:sz="5" w:space="0" w:color="000000"/>
              <w:bottom w:val="single" w:sz="5" w:space="0" w:color="000000"/>
              <w:right w:val="single" w:sz="5" w:space="0" w:color="000000"/>
            </w:tcBorders>
          </w:tcPr>
          <w:p w14:paraId="01F135A7" w14:textId="77777777" w:rsidR="0043116D" w:rsidRPr="00745929" w:rsidRDefault="0043116D" w:rsidP="00B621B9">
            <w:pPr>
              <w:pStyle w:val="TableParagraph"/>
              <w:spacing w:line="274" w:lineRule="exact"/>
              <w:ind w:left="90"/>
              <w:rPr>
                <w:rFonts w:ascii="Arial" w:eastAsia="Arial" w:hAnsi="Arial" w:cs="Arial"/>
                <w:sz w:val="24"/>
                <w:szCs w:val="24"/>
              </w:rPr>
            </w:pPr>
            <w:r w:rsidRPr="00745929">
              <w:rPr>
                <w:rFonts w:ascii="Arial" w:hAnsi="Arial" w:cs="Arial"/>
                <w:b/>
                <w:spacing w:val="-1"/>
                <w:sz w:val="24"/>
                <w:szCs w:val="24"/>
              </w:rPr>
              <w:t>($000s)</w:t>
            </w:r>
          </w:p>
        </w:tc>
      </w:tr>
      <w:tr w:rsidR="0043116D" w:rsidRPr="00683880" w14:paraId="776ED124" w14:textId="77777777" w:rsidTr="00B621B9">
        <w:trPr>
          <w:trHeight w:hRule="exact" w:val="838"/>
        </w:trPr>
        <w:tc>
          <w:tcPr>
            <w:tcW w:w="3192" w:type="dxa"/>
            <w:tcBorders>
              <w:top w:val="single" w:sz="5" w:space="0" w:color="000000"/>
              <w:left w:val="single" w:sz="5" w:space="0" w:color="000000"/>
              <w:bottom w:val="single" w:sz="5" w:space="0" w:color="000000"/>
              <w:right w:val="single" w:sz="5" w:space="0" w:color="000000"/>
            </w:tcBorders>
          </w:tcPr>
          <w:p w14:paraId="35290029" w14:textId="77777777" w:rsidR="0043116D" w:rsidRPr="00745929" w:rsidRDefault="0043116D" w:rsidP="00B621B9">
            <w:pPr>
              <w:pStyle w:val="TableParagraph"/>
              <w:spacing w:line="275" w:lineRule="exact"/>
              <w:rPr>
                <w:rFonts w:ascii="Arial" w:eastAsia="Arial" w:hAnsi="Arial" w:cs="Arial"/>
                <w:sz w:val="24"/>
                <w:szCs w:val="24"/>
              </w:rPr>
            </w:pPr>
            <w:r w:rsidRPr="00745929">
              <w:rPr>
                <w:rFonts w:ascii="Arial" w:hAnsi="Arial" w:cs="Arial"/>
                <w:sz w:val="24"/>
                <w:szCs w:val="24"/>
              </w:rPr>
              <w:t>Core</w:t>
            </w:r>
          </w:p>
        </w:tc>
        <w:tc>
          <w:tcPr>
            <w:tcW w:w="3192" w:type="dxa"/>
            <w:tcBorders>
              <w:top w:val="single" w:sz="5" w:space="0" w:color="000000"/>
              <w:left w:val="single" w:sz="5" w:space="0" w:color="000000"/>
              <w:bottom w:val="single" w:sz="5" w:space="0" w:color="000000"/>
              <w:right w:val="single" w:sz="5" w:space="0" w:color="000000"/>
            </w:tcBorders>
          </w:tcPr>
          <w:p w14:paraId="00F807E1" w14:textId="77777777" w:rsidR="0043116D" w:rsidRPr="00745929" w:rsidRDefault="007F61CB" w:rsidP="00B621B9">
            <w:pPr>
              <w:pStyle w:val="TableParagraph"/>
              <w:ind w:left="45" w:right="127"/>
              <w:rPr>
                <w:rFonts w:ascii="Arial" w:eastAsia="Arial" w:hAnsi="Arial" w:cs="Arial"/>
                <w:sz w:val="24"/>
                <w:szCs w:val="24"/>
              </w:rPr>
            </w:pPr>
            <w:r w:rsidRPr="00745929">
              <w:rPr>
                <w:rFonts w:ascii="Arial" w:hAnsi="Arial" w:cs="Arial"/>
                <w:sz w:val="24"/>
                <w:szCs w:val="24"/>
              </w:rPr>
              <w:t>GR, GS, GM, GO-AC, G-NGVR, GL, G-10, G-AC, G-EN, G-NGV</w:t>
            </w:r>
          </w:p>
        </w:tc>
        <w:tc>
          <w:tcPr>
            <w:tcW w:w="3192" w:type="dxa"/>
            <w:tcBorders>
              <w:top w:val="single" w:sz="5" w:space="0" w:color="000000"/>
              <w:left w:val="single" w:sz="5" w:space="0" w:color="000000"/>
              <w:bottom w:val="single" w:sz="5" w:space="0" w:color="000000"/>
              <w:right w:val="single" w:sz="5" w:space="0" w:color="000000"/>
            </w:tcBorders>
          </w:tcPr>
          <w:p w14:paraId="4652F431" w14:textId="6DBCDBBC" w:rsidR="0043116D" w:rsidRPr="00745929" w:rsidRDefault="0043116D" w:rsidP="00B621B9">
            <w:pPr>
              <w:pStyle w:val="TableParagraph"/>
              <w:spacing w:line="275" w:lineRule="exact"/>
              <w:ind w:left="90"/>
              <w:rPr>
                <w:rFonts w:ascii="Arial" w:eastAsia="Arial" w:hAnsi="Arial" w:cs="Arial"/>
                <w:sz w:val="24"/>
                <w:szCs w:val="24"/>
              </w:rPr>
            </w:pPr>
          </w:p>
        </w:tc>
      </w:tr>
      <w:tr w:rsidR="0043116D" w:rsidRPr="00683880" w14:paraId="7978743B" w14:textId="77777777" w:rsidTr="00B621B9">
        <w:trPr>
          <w:trHeight w:hRule="exact" w:val="286"/>
        </w:trPr>
        <w:tc>
          <w:tcPr>
            <w:tcW w:w="3192" w:type="dxa"/>
            <w:tcBorders>
              <w:top w:val="single" w:sz="5" w:space="0" w:color="000000"/>
              <w:left w:val="single" w:sz="5" w:space="0" w:color="000000"/>
              <w:bottom w:val="single" w:sz="5" w:space="0" w:color="000000"/>
              <w:right w:val="single" w:sz="5" w:space="0" w:color="000000"/>
            </w:tcBorders>
          </w:tcPr>
          <w:p w14:paraId="715A5979" w14:textId="77777777" w:rsidR="0043116D" w:rsidRPr="00745929" w:rsidRDefault="0043116D" w:rsidP="00B621B9">
            <w:pPr>
              <w:pStyle w:val="TableParagraph"/>
              <w:spacing w:line="274" w:lineRule="exact"/>
              <w:ind w:left="-15"/>
              <w:rPr>
                <w:rFonts w:ascii="Arial" w:eastAsia="Arial" w:hAnsi="Arial" w:cs="Arial"/>
                <w:sz w:val="24"/>
                <w:szCs w:val="24"/>
              </w:rPr>
            </w:pPr>
            <w:r w:rsidRPr="00745929">
              <w:rPr>
                <w:rFonts w:ascii="Arial" w:hAnsi="Arial" w:cs="Arial"/>
                <w:sz w:val="24"/>
                <w:szCs w:val="24"/>
              </w:rPr>
              <w:t>Non-Core</w:t>
            </w:r>
          </w:p>
        </w:tc>
        <w:tc>
          <w:tcPr>
            <w:tcW w:w="3192" w:type="dxa"/>
            <w:tcBorders>
              <w:top w:val="single" w:sz="5" w:space="0" w:color="000000"/>
              <w:left w:val="single" w:sz="5" w:space="0" w:color="000000"/>
              <w:bottom w:val="single" w:sz="5" w:space="0" w:color="000000"/>
              <w:right w:val="single" w:sz="5" w:space="0" w:color="000000"/>
            </w:tcBorders>
          </w:tcPr>
          <w:p w14:paraId="3227597D" w14:textId="77777777" w:rsidR="0043116D" w:rsidRPr="00745929" w:rsidRDefault="007F61CB" w:rsidP="00B621B9">
            <w:pPr>
              <w:pStyle w:val="TableParagraph"/>
              <w:spacing w:line="274" w:lineRule="exact"/>
              <w:ind w:left="45"/>
              <w:rPr>
                <w:rFonts w:ascii="Arial" w:eastAsia="Arial" w:hAnsi="Arial" w:cs="Arial"/>
                <w:sz w:val="24"/>
                <w:szCs w:val="24"/>
              </w:rPr>
            </w:pPr>
            <w:r w:rsidRPr="00745929">
              <w:rPr>
                <w:rFonts w:ascii="Arial" w:hAnsi="Arial" w:cs="Arial"/>
                <w:sz w:val="24"/>
                <w:szCs w:val="24"/>
              </w:rPr>
              <w:t>GT-F, GT-I, GT-TLS</w:t>
            </w:r>
          </w:p>
        </w:tc>
        <w:tc>
          <w:tcPr>
            <w:tcW w:w="3192" w:type="dxa"/>
            <w:tcBorders>
              <w:top w:val="single" w:sz="5" w:space="0" w:color="000000"/>
              <w:left w:val="single" w:sz="5" w:space="0" w:color="000000"/>
              <w:bottom w:val="single" w:sz="5" w:space="0" w:color="000000"/>
              <w:right w:val="single" w:sz="5" w:space="0" w:color="000000"/>
            </w:tcBorders>
          </w:tcPr>
          <w:p w14:paraId="2AA0E4DB" w14:textId="0146B9EE" w:rsidR="0043116D" w:rsidRPr="00745929" w:rsidRDefault="0043116D" w:rsidP="00B621B9">
            <w:pPr>
              <w:pStyle w:val="TableParagraph"/>
              <w:spacing w:line="274" w:lineRule="exact"/>
              <w:ind w:left="90"/>
              <w:rPr>
                <w:rFonts w:ascii="Arial" w:eastAsia="Arial" w:hAnsi="Arial" w:cs="Arial"/>
                <w:sz w:val="24"/>
                <w:szCs w:val="24"/>
              </w:rPr>
            </w:pPr>
          </w:p>
        </w:tc>
      </w:tr>
      <w:tr w:rsidR="0043116D" w:rsidRPr="00B621B9" w14:paraId="36B99A40" w14:textId="77777777" w:rsidTr="00B621B9">
        <w:trPr>
          <w:trHeight w:hRule="exact" w:val="287"/>
        </w:trPr>
        <w:tc>
          <w:tcPr>
            <w:tcW w:w="6384" w:type="dxa"/>
            <w:gridSpan w:val="2"/>
            <w:tcBorders>
              <w:top w:val="single" w:sz="5" w:space="0" w:color="000000"/>
              <w:left w:val="single" w:sz="5" w:space="0" w:color="000000"/>
              <w:bottom w:val="single" w:sz="5" w:space="0" w:color="000000"/>
              <w:right w:val="single" w:sz="5" w:space="0" w:color="000000"/>
            </w:tcBorders>
          </w:tcPr>
          <w:p w14:paraId="1D0FF100" w14:textId="77777777" w:rsidR="0043116D" w:rsidRPr="00745929" w:rsidRDefault="0043116D" w:rsidP="00B621B9">
            <w:pPr>
              <w:pStyle w:val="TableParagraph"/>
              <w:spacing w:line="275" w:lineRule="exact"/>
              <w:ind w:left="-15"/>
              <w:rPr>
                <w:rFonts w:ascii="Arial" w:eastAsia="Arial" w:hAnsi="Arial" w:cs="Arial"/>
                <w:sz w:val="24"/>
                <w:szCs w:val="24"/>
              </w:rPr>
            </w:pPr>
            <w:r w:rsidRPr="00745929">
              <w:rPr>
                <w:rFonts w:ascii="Arial" w:hAnsi="Arial" w:cs="Arial"/>
                <w:b/>
                <w:sz w:val="24"/>
                <w:szCs w:val="24"/>
              </w:rPr>
              <w:t>Total</w:t>
            </w:r>
          </w:p>
        </w:tc>
        <w:tc>
          <w:tcPr>
            <w:tcW w:w="3192" w:type="dxa"/>
            <w:tcBorders>
              <w:top w:val="single" w:sz="5" w:space="0" w:color="000000"/>
              <w:left w:val="single" w:sz="5" w:space="0" w:color="000000"/>
              <w:bottom w:val="single" w:sz="5" w:space="0" w:color="000000"/>
              <w:right w:val="single" w:sz="5" w:space="0" w:color="000000"/>
            </w:tcBorders>
          </w:tcPr>
          <w:p w14:paraId="079D4054" w14:textId="1157920A" w:rsidR="0043116D" w:rsidRPr="00745929" w:rsidRDefault="0043116D" w:rsidP="00B621B9">
            <w:pPr>
              <w:pStyle w:val="TableParagraph"/>
              <w:spacing w:line="275" w:lineRule="exact"/>
              <w:ind w:left="90"/>
              <w:rPr>
                <w:rFonts w:ascii="Arial" w:eastAsia="Arial" w:hAnsi="Arial" w:cs="Arial"/>
                <w:sz w:val="24"/>
                <w:szCs w:val="24"/>
              </w:rPr>
            </w:pPr>
          </w:p>
        </w:tc>
      </w:tr>
    </w:tbl>
    <w:p w14:paraId="095F6AE3" w14:textId="77777777" w:rsidR="0043116D" w:rsidRPr="00B621B9" w:rsidRDefault="0043116D" w:rsidP="0043116D">
      <w:pPr>
        <w:spacing w:before="11"/>
        <w:rPr>
          <w:rFonts w:ascii="Arial" w:eastAsia="Arial" w:hAnsi="Arial" w:cs="Arial"/>
          <w:sz w:val="24"/>
          <w:szCs w:val="24"/>
        </w:rPr>
      </w:pPr>
    </w:p>
    <w:p w14:paraId="2C942D94" w14:textId="77777777" w:rsidR="00F15555" w:rsidRPr="00B621B9" w:rsidRDefault="00F15555" w:rsidP="00F662CD">
      <w:pPr>
        <w:autoSpaceDE w:val="0"/>
        <w:autoSpaceDN w:val="0"/>
        <w:adjustRightInd w:val="0"/>
        <w:rPr>
          <w:rFonts w:ascii="Arial" w:hAnsi="Arial" w:cs="Arial"/>
          <w:b/>
          <w:bCs/>
          <w:sz w:val="24"/>
          <w:szCs w:val="24"/>
          <w:u w:val="single"/>
        </w:rPr>
      </w:pPr>
      <w:r w:rsidRPr="00B621B9">
        <w:rPr>
          <w:rFonts w:ascii="Arial" w:hAnsi="Arial" w:cs="Arial"/>
          <w:b/>
          <w:bCs/>
          <w:sz w:val="24"/>
          <w:szCs w:val="24"/>
          <w:u w:val="single"/>
        </w:rPr>
        <w:t>Protests</w:t>
      </w:r>
    </w:p>
    <w:p w14:paraId="4BA55990" w14:textId="77777777" w:rsidR="00F15555" w:rsidRPr="00B621B9" w:rsidRDefault="00F15555" w:rsidP="00F662CD">
      <w:pPr>
        <w:autoSpaceDE w:val="0"/>
        <w:autoSpaceDN w:val="0"/>
        <w:adjustRightInd w:val="0"/>
        <w:rPr>
          <w:rFonts w:ascii="Arial" w:hAnsi="Arial" w:cs="Arial"/>
          <w:b/>
          <w:bCs/>
          <w:sz w:val="24"/>
          <w:szCs w:val="24"/>
          <w:u w:val="single"/>
        </w:rPr>
      </w:pPr>
    </w:p>
    <w:p w14:paraId="2169B824" w14:textId="26B40F57" w:rsidR="00F15555" w:rsidRPr="0006604D" w:rsidRDefault="00F15555" w:rsidP="00F662CD">
      <w:pPr>
        <w:autoSpaceDE w:val="0"/>
        <w:autoSpaceDN w:val="0"/>
        <w:adjustRightInd w:val="0"/>
        <w:rPr>
          <w:rFonts w:ascii="Arial" w:hAnsi="Arial" w:cs="Arial"/>
          <w:sz w:val="24"/>
          <w:szCs w:val="24"/>
        </w:rPr>
      </w:pPr>
      <w:r w:rsidRPr="00B621B9">
        <w:rPr>
          <w:rFonts w:ascii="Arial" w:hAnsi="Arial" w:cs="Arial"/>
          <w:sz w:val="24"/>
          <w:szCs w:val="24"/>
        </w:rPr>
        <w:t>Anyone may protest this A</w:t>
      </w:r>
      <w:r w:rsidR="00A04C5A" w:rsidRPr="00B621B9">
        <w:rPr>
          <w:rFonts w:ascii="Arial" w:hAnsi="Arial" w:cs="Arial"/>
          <w:sz w:val="24"/>
          <w:szCs w:val="24"/>
        </w:rPr>
        <w:t xml:space="preserve">dvice </w:t>
      </w:r>
      <w:r w:rsidRPr="00B621B9">
        <w:rPr>
          <w:rFonts w:ascii="Arial" w:hAnsi="Arial" w:cs="Arial"/>
          <w:sz w:val="24"/>
          <w:szCs w:val="24"/>
        </w:rPr>
        <w:t>L</w:t>
      </w:r>
      <w:r w:rsidR="00A04C5A" w:rsidRPr="00B621B9">
        <w:rPr>
          <w:rFonts w:ascii="Arial" w:hAnsi="Arial" w:cs="Arial"/>
          <w:sz w:val="24"/>
          <w:szCs w:val="24"/>
        </w:rPr>
        <w:t>etter</w:t>
      </w:r>
      <w:r w:rsidRPr="00B621B9">
        <w:rPr>
          <w:rFonts w:ascii="Arial" w:hAnsi="Arial" w:cs="Arial"/>
          <w:sz w:val="24"/>
          <w:szCs w:val="24"/>
        </w:rPr>
        <w:t xml:space="preserve"> to the Commission. </w:t>
      </w:r>
      <w:r w:rsidR="00A04C5A" w:rsidRPr="00B621B9">
        <w:rPr>
          <w:rFonts w:ascii="Arial" w:hAnsi="Arial" w:cs="Arial"/>
          <w:sz w:val="24"/>
          <w:szCs w:val="24"/>
        </w:rPr>
        <w:t xml:space="preserve"> </w:t>
      </w:r>
      <w:r w:rsidRPr="00B621B9">
        <w:rPr>
          <w:rFonts w:ascii="Arial" w:hAnsi="Arial" w:cs="Arial"/>
          <w:sz w:val="24"/>
          <w:szCs w:val="24"/>
        </w:rPr>
        <w:t>The protest must state the grounds upon which it is based, including such items as financial and service impact, and should be submitted expeditiously.</w:t>
      </w:r>
      <w:r w:rsidR="00A04C5A" w:rsidRPr="00B621B9">
        <w:rPr>
          <w:rFonts w:ascii="Arial" w:hAnsi="Arial" w:cs="Arial"/>
          <w:sz w:val="24"/>
          <w:szCs w:val="24"/>
        </w:rPr>
        <w:t xml:space="preserve"> </w:t>
      </w:r>
      <w:r w:rsidRPr="00B621B9">
        <w:rPr>
          <w:rFonts w:ascii="Arial" w:hAnsi="Arial" w:cs="Arial"/>
          <w:sz w:val="24"/>
          <w:szCs w:val="24"/>
        </w:rPr>
        <w:t xml:space="preserve"> The protest must be made in writing and received within 20 days of the date of this </w:t>
      </w:r>
      <w:r w:rsidR="00BB2432" w:rsidRPr="00B621B9">
        <w:rPr>
          <w:rFonts w:ascii="Arial" w:hAnsi="Arial" w:cs="Arial"/>
          <w:sz w:val="24"/>
          <w:szCs w:val="24"/>
        </w:rPr>
        <w:t>Advice Letter</w:t>
      </w:r>
      <w:r w:rsidR="003A2524" w:rsidRPr="00B621B9">
        <w:rPr>
          <w:rFonts w:ascii="Arial" w:hAnsi="Arial" w:cs="Arial"/>
          <w:sz w:val="24"/>
          <w:szCs w:val="24"/>
        </w:rPr>
        <w:t>,</w:t>
      </w:r>
      <w:r w:rsidR="00BB2432" w:rsidRPr="00B621B9">
        <w:rPr>
          <w:rFonts w:ascii="Arial" w:hAnsi="Arial" w:cs="Arial"/>
          <w:sz w:val="24"/>
          <w:szCs w:val="24"/>
        </w:rPr>
        <w:t xml:space="preserve"> </w:t>
      </w:r>
      <w:r w:rsidRPr="00B621B9">
        <w:rPr>
          <w:rFonts w:ascii="Arial" w:hAnsi="Arial" w:cs="Arial"/>
          <w:sz w:val="24"/>
          <w:szCs w:val="24"/>
        </w:rPr>
        <w:t xml:space="preserve">which is </w:t>
      </w:r>
      <w:r w:rsidR="00493069" w:rsidRPr="00B621B9">
        <w:rPr>
          <w:rFonts w:ascii="Arial" w:hAnsi="Arial" w:cs="Arial"/>
          <w:sz w:val="24"/>
          <w:szCs w:val="24"/>
        </w:rPr>
        <w:t xml:space="preserve">September </w:t>
      </w:r>
      <w:r w:rsidR="00616783">
        <w:rPr>
          <w:rFonts w:ascii="Arial" w:hAnsi="Arial" w:cs="Arial"/>
          <w:sz w:val="24"/>
          <w:szCs w:val="24"/>
        </w:rPr>
        <w:t>2</w:t>
      </w:r>
      <w:r w:rsidR="00683880">
        <w:rPr>
          <w:rFonts w:ascii="Arial" w:hAnsi="Arial" w:cs="Arial"/>
          <w:sz w:val="24"/>
          <w:szCs w:val="24"/>
        </w:rPr>
        <w:t>1</w:t>
      </w:r>
      <w:r w:rsidR="00493069" w:rsidRPr="00B621B9">
        <w:rPr>
          <w:rFonts w:ascii="Arial" w:hAnsi="Arial" w:cs="Arial"/>
          <w:sz w:val="24"/>
          <w:szCs w:val="24"/>
        </w:rPr>
        <w:t>, 20</w:t>
      </w:r>
      <w:r w:rsidR="00C0278C">
        <w:rPr>
          <w:rFonts w:ascii="Arial" w:hAnsi="Arial" w:cs="Arial"/>
          <w:sz w:val="24"/>
          <w:szCs w:val="24"/>
        </w:rPr>
        <w:t>2</w:t>
      </w:r>
      <w:r w:rsidR="00683880">
        <w:rPr>
          <w:rFonts w:ascii="Arial" w:hAnsi="Arial" w:cs="Arial"/>
          <w:sz w:val="24"/>
          <w:szCs w:val="24"/>
        </w:rPr>
        <w:t>1</w:t>
      </w:r>
      <w:r w:rsidRPr="00B621B9">
        <w:rPr>
          <w:rFonts w:ascii="Arial" w:hAnsi="Arial" w:cs="Arial"/>
          <w:sz w:val="24"/>
          <w:szCs w:val="24"/>
        </w:rPr>
        <w:t xml:space="preserve">. </w:t>
      </w:r>
      <w:r w:rsidR="00A04C5A" w:rsidRPr="00B621B9">
        <w:rPr>
          <w:rFonts w:ascii="Arial" w:hAnsi="Arial" w:cs="Arial"/>
          <w:sz w:val="24"/>
          <w:szCs w:val="24"/>
        </w:rPr>
        <w:t xml:space="preserve"> </w:t>
      </w:r>
      <w:r w:rsidRPr="00B621B9">
        <w:rPr>
          <w:rFonts w:ascii="Arial" w:hAnsi="Arial" w:cs="Arial"/>
          <w:sz w:val="24"/>
          <w:szCs w:val="24"/>
        </w:rPr>
        <w:lastRenderedPageBreak/>
        <w:t xml:space="preserve">There is no </w:t>
      </w:r>
      <w:r w:rsidRPr="0006604D">
        <w:rPr>
          <w:rFonts w:ascii="Arial" w:hAnsi="Arial" w:cs="Arial"/>
          <w:sz w:val="24"/>
          <w:szCs w:val="24"/>
        </w:rPr>
        <w:t xml:space="preserve">restriction on who may file a protest. </w:t>
      </w:r>
      <w:r w:rsidR="00BB2432" w:rsidRPr="0006604D">
        <w:rPr>
          <w:rFonts w:ascii="Arial" w:hAnsi="Arial" w:cs="Arial"/>
          <w:sz w:val="24"/>
          <w:szCs w:val="24"/>
        </w:rPr>
        <w:t xml:space="preserve"> </w:t>
      </w:r>
      <w:r w:rsidRPr="0006604D">
        <w:rPr>
          <w:rFonts w:ascii="Arial" w:hAnsi="Arial" w:cs="Arial"/>
          <w:sz w:val="24"/>
          <w:szCs w:val="24"/>
        </w:rPr>
        <w:t>The address for mailing or delivering a protest to the Commission is:</w:t>
      </w:r>
    </w:p>
    <w:p w14:paraId="6FC9F3D9" w14:textId="77777777" w:rsidR="007C52F2" w:rsidRPr="0006604D" w:rsidRDefault="007C52F2" w:rsidP="00F662CD">
      <w:pPr>
        <w:autoSpaceDE w:val="0"/>
        <w:autoSpaceDN w:val="0"/>
        <w:adjustRightInd w:val="0"/>
        <w:ind w:firstLine="720"/>
        <w:rPr>
          <w:rFonts w:ascii="Arial" w:hAnsi="Arial" w:cs="Arial"/>
          <w:sz w:val="24"/>
          <w:szCs w:val="24"/>
        </w:rPr>
      </w:pPr>
    </w:p>
    <w:p w14:paraId="319CC392" w14:textId="77777777" w:rsidR="00F15555" w:rsidRPr="0006604D" w:rsidRDefault="00F15555" w:rsidP="00F662CD">
      <w:pPr>
        <w:autoSpaceDE w:val="0"/>
        <w:autoSpaceDN w:val="0"/>
        <w:adjustRightInd w:val="0"/>
        <w:ind w:left="720" w:firstLine="720"/>
        <w:rPr>
          <w:rFonts w:ascii="Arial" w:hAnsi="Arial" w:cs="Arial"/>
          <w:sz w:val="24"/>
          <w:szCs w:val="24"/>
        </w:rPr>
      </w:pPr>
      <w:r w:rsidRPr="0006604D">
        <w:rPr>
          <w:rFonts w:ascii="Arial" w:hAnsi="Arial" w:cs="Arial"/>
          <w:sz w:val="24"/>
          <w:szCs w:val="24"/>
        </w:rPr>
        <w:t>CPUC Energy Division</w:t>
      </w:r>
    </w:p>
    <w:p w14:paraId="660775B4" w14:textId="77777777" w:rsidR="00F15555" w:rsidRPr="0006604D" w:rsidRDefault="00F15555" w:rsidP="00F662CD">
      <w:pPr>
        <w:autoSpaceDE w:val="0"/>
        <w:autoSpaceDN w:val="0"/>
        <w:adjustRightInd w:val="0"/>
        <w:ind w:left="720" w:firstLine="720"/>
        <w:rPr>
          <w:rFonts w:ascii="Arial" w:hAnsi="Arial" w:cs="Arial"/>
          <w:sz w:val="24"/>
          <w:szCs w:val="24"/>
        </w:rPr>
      </w:pPr>
      <w:r w:rsidRPr="0006604D">
        <w:rPr>
          <w:rFonts w:ascii="Arial" w:hAnsi="Arial" w:cs="Arial"/>
          <w:sz w:val="24"/>
          <w:szCs w:val="24"/>
        </w:rPr>
        <w:t>Attn: Tariff Unit</w:t>
      </w:r>
    </w:p>
    <w:p w14:paraId="473B6709" w14:textId="77777777" w:rsidR="00F15555" w:rsidRPr="0006604D" w:rsidRDefault="00F15555" w:rsidP="00F662CD">
      <w:pPr>
        <w:autoSpaceDE w:val="0"/>
        <w:autoSpaceDN w:val="0"/>
        <w:adjustRightInd w:val="0"/>
        <w:ind w:left="720" w:firstLine="720"/>
        <w:rPr>
          <w:rFonts w:ascii="Arial" w:hAnsi="Arial" w:cs="Arial"/>
          <w:sz w:val="24"/>
          <w:szCs w:val="24"/>
        </w:rPr>
      </w:pPr>
      <w:r w:rsidRPr="0006604D">
        <w:rPr>
          <w:rFonts w:ascii="Arial" w:hAnsi="Arial" w:cs="Arial"/>
          <w:sz w:val="24"/>
          <w:szCs w:val="24"/>
        </w:rPr>
        <w:t>505 Van Ness Avenue</w:t>
      </w:r>
    </w:p>
    <w:p w14:paraId="4CECACA5" w14:textId="64BD492E" w:rsidR="00A00814" w:rsidRPr="0006604D" w:rsidRDefault="00F15555" w:rsidP="00F662CD">
      <w:pPr>
        <w:autoSpaceDE w:val="0"/>
        <w:autoSpaceDN w:val="0"/>
        <w:adjustRightInd w:val="0"/>
        <w:ind w:left="720" w:firstLine="720"/>
        <w:rPr>
          <w:rFonts w:ascii="Arial" w:hAnsi="Arial" w:cs="Arial"/>
          <w:sz w:val="24"/>
          <w:szCs w:val="24"/>
        </w:rPr>
      </w:pPr>
      <w:r w:rsidRPr="0006604D">
        <w:rPr>
          <w:rFonts w:ascii="Arial" w:hAnsi="Arial" w:cs="Arial"/>
          <w:sz w:val="24"/>
          <w:szCs w:val="24"/>
        </w:rPr>
        <w:t>San Francisco, CA 94102</w:t>
      </w:r>
    </w:p>
    <w:p w14:paraId="099B87F1" w14:textId="006E3E0B" w:rsidR="008B2D35" w:rsidRDefault="008B2D35" w:rsidP="008B2D35">
      <w:pPr>
        <w:autoSpaceDE w:val="0"/>
        <w:autoSpaceDN w:val="0"/>
        <w:adjustRightInd w:val="0"/>
        <w:rPr>
          <w:rFonts w:ascii="Arial" w:hAnsi="Arial" w:cs="Arial"/>
          <w:sz w:val="24"/>
          <w:szCs w:val="24"/>
          <w:highlight w:val="green"/>
        </w:rPr>
      </w:pPr>
    </w:p>
    <w:p w14:paraId="204EE35F" w14:textId="5F053F92" w:rsidR="008B2D35" w:rsidRPr="00683880" w:rsidRDefault="008B2D35" w:rsidP="008B2D35">
      <w:pPr>
        <w:autoSpaceDE w:val="0"/>
        <w:autoSpaceDN w:val="0"/>
        <w:adjustRightInd w:val="0"/>
        <w:rPr>
          <w:rFonts w:ascii="Arial" w:hAnsi="Arial" w:cs="Arial"/>
          <w:sz w:val="24"/>
          <w:szCs w:val="24"/>
          <w:highlight w:val="green"/>
        </w:rPr>
      </w:pPr>
      <w:r>
        <w:rPr>
          <w:rFonts w:ascii="Arial" w:hAnsi="Arial" w:cs="Arial"/>
          <w:color w:val="000000"/>
          <w:sz w:val="24"/>
          <w:szCs w:val="24"/>
        </w:rPr>
        <w:t>A copy of the protest should also be sent via e-mail to the attention of the Energy Division Tariff Unit (</w:t>
      </w:r>
      <w:hyperlink r:id="rId16" w:history="1">
        <w:r>
          <w:rPr>
            <w:rStyle w:val="Hyperlink"/>
            <w:rFonts w:ascii="Arial" w:hAnsi="Arial" w:cs="Arial"/>
            <w:sz w:val="24"/>
            <w:szCs w:val="24"/>
          </w:rPr>
          <w:t>EDTariffUnit@cpuc.ca.gov</w:t>
        </w:r>
      </w:hyperlink>
      <w:r>
        <w:rPr>
          <w:rFonts w:ascii="Arial" w:hAnsi="Arial" w:cs="Arial"/>
          <w:color w:val="0000FF"/>
          <w:sz w:val="24"/>
          <w:szCs w:val="24"/>
        </w:rPr>
        <w:t>)</w:t>
      </w:r>
      <w:r>
        <w:rPr>
          <w:rFonts w:ascii="Arial" w:hAnsi="Arial" w:cs="Arial"/>
          <w:color w:val="000000"/>
          <w:sz w:val="24"/>
          <w:szCs w:val="24"/>
        </w:rPr>
        <w:t>. Due to the COVID-19 pandemic and the shelter at home orders, SoCalGas is currently unable to receive protests or comments to this AL via U.S. mail or fax. Please submit protests or comments to this AL via e-mail to the addresses shown above on the same date they are mailed or e-mailed to the Commission</w:t>
      </w:r>
      <w:r>
        <w:rPr>
          <w:rFonts w:ascii="Arial" w:hAnsi="Arial" w:cs="Arial"/>
          <w:sz w:val="24"/>
          <w:szCs w:val="24"/>
        </w:rPr>
        <w:t xml:space="preserve">.  For changes to all other service lists, please contact the Commission’s Process Office at 415-703-2021 or by electronic mail at </w:t>
      </w:r>
      <w:hyperlink r:id="rId17" w:history="1">
        <w:r>
          <w:rPr>
            <w:rStyle w:val="Hyperlink"/>
            <w:rFonts w:ascii="Arial" w:hAnsi="Arial" w:cs="Arial"/>
            <w:sz w:val="24"/>
            <w:szCs w:val="24"/>
          </w:rPr>
          <w:t>Process_Office@cpuc.ca.gov</w:t>
        </w:r>
      </w:hyperlink>
      <w:r>
        <w:rPr>
          <w:rFonts w:ascii="Arial" w:hAnsi="Arial" w:cs="Arial"/>
          <w:sz w:val="24"/>
          <w:szCs w:val="24"/>
        </w:rPr>
        <w:t>.</w:t>
      </w:r>
    </w:p>
    <w:p w14:paraId="2EA810C2" w14:textId="77777777" w:rsidR="00A00814" w:rsidRPr="00683880" w:rsidRDefault="00A00814" w:rsidP="00F662CD">
      <w:pPr>
        <w:autoSpaceDE w:val="0"/>
        <w:autoSpaceDN w:val="0"/>
        <w:adjustRightInd w:val="0"/>
        <w:ind w:firstLine="720"/>
        <w:rPr>
          <w:rFonts w:ascii="Arial" w:hAnsi="Arial" w:cs="Arial"/>
          <w:sz w:val="24"/>
          <w:szCs w:val="24"/>
          <w:highlight w:val="green"/>
        </w:rPr>
      </w:pPr>
    </w:p>
    <w:p w14:paraId="6DC170F3" w14:textId="77777777" w:rsidR="00F15555" w:rsidRPr="00B621B9" w:rsidRDefault="00F15555" w:rsidP="00F662CD">
      <w:pPr>
        <w:rPr>
          <w:rFonts w:ascii="Arial" w:hAnsi="Arial" w:cs="Arial"/>
          <w:sz w:val="24"/>
          <w:szCs w:val="24"/>
        </w:rPr>
      </w:pPr>
    </w:p>
    <w:p w14:paraId="311709EC" w14:textId="77777777" w:rsidR="00F15555" w:rsidRPr="00B621B9" w:rsidRDefault="00F15555" w:rsidP="00F662CD">
      <w:pPr>
        <w:autoSpaceDE w:val="0"/>
        <w:autoSpaceDN w:val="0"/>
        <w:adjustRightInd w:val="0"/>
        <w:rPr>
          <w:rFonts w:ascii="Arial" w:hAnsi="Arial" w:cs="Arial"/>
          <w:b/>
          <w:bCs/>
          <w:sz w:val="24"/>
          <w:szCs w:val="24"/>
          <w:u w:val="single"/>
        </w:rPr>
      </w:pPr>
      <w:r w:rsidRPr="00B621B9">
        <w:rPr>
          <w:rFonts w:ascii="Arial" w:hAnsi="Arial" w:cs="Arial"/>
          <w:b/>
          <w:bCs/>
          <w:sz w:val="24"/>
          <w:szCs w:val="24"/>
          <w:u w:val="single"/>
        </w:rPr>
        <w:t>Effective Date</w:t>
      </w:r>
    </w:p>
    <w:p w14:paraId="5BE46F16" w14:textId="77777777" w:rsidR="00F15555" w:rsidRPr="00B621B9" w:rsidRDefault="00F15555" w:rsidP="00F662CD">
      <w:pPr>
        <w:autoSpaceDE w:val="0"/>
        <w:autoSpaceDN w:val="0"/>
        <w:adjustRightInd w:val="0"/>
        <w:rPr>
          <w:rFonts w:ascii="Arial" w:hAnsi="Arial" w:cs="Arial"/>
          <w:sz w:val="24"/>
          <w:szCs w:val="24"/>
        </w:rPr>
      </w:pPr>
    </w:p>
    <w:p w14:paraId="65867C5A" w14:textId="77777777" w:rsidR="00F15555" w:rsidRPr="00B621B9" w:rsidRDefault="00F15555" w:rsidP="00F662CD">
      <w:pPr>
        <w:autoSpaceDE w:val="0"/>
        <w:autoSpaceDN w:val="0"/>
        <w:adjustRightInd w:val="0"/>
        <w:rPr>
          <w:rFonts w:ascii="Arial" w:hAnsi="Arial" w:cs="Arial"/>
          <w:sz w:val="24"/>
          <w:szCs w:val="24"/>
        </w:rPr>
      </w:pPr>
      <w:r w:rsidRPr="00B621B9">
        <w:rPr>
          <w:rFonts w:ascii="Arial" w:hAnsi="Arial" w:cs="Arial"/>
          <w:sz w:val="24"/>
          <w:szCs w:val="24"/>
        </w:rPr>
        <w:t xml:space="preserve">SoCalGas believes that this </w:t>
      </w:r>
      <w:r w:rsidR="00BB2432" w:rsidRPr="00B621B9">
        <w:rPr>
          <w:rFonts w:ascii="Arial" w:hAnsi="Arial" w:cs="Arial"/>
          <w:sz w:val="24"/>
          <w:szCs w:val="24"/>
        </w:rPr>
        <w:t xml:space="preserve">Advice Letter </w:t>
      </w:r>
      <w:r w:rsidRPr="00B621B9">
        <w:rPr>
          <w:rFonts w:ascii="Arial" w:hAnsi="Arial" w:cs="Arial"/>
          <w:sz w:val="24"/>
          <w:szCs w:val="24"/>
        </w:rPr>
        <w:t>is subject to Energy Division disposition and should be</w:t>
      </w:r>
      <w:r w:rsidR="00A04C5A" w:rsidRPr="00B621B9">
        <w:rPr>
          <w:rFonts w:ascii="Arial" w:hAnsi="Arial" w:cs="Arial"/>
          <w:sz w:val="24"/>
          <w:szCs w:val="24"/>
        </w:rPr>
        <w:t xml:space="preserve"> </w:t>
      </w:r>
      <w:r w:rsidRPr="00B621B9">
        <w:rPr>
          <w:rFonts w:ascii="Arial" w:hAnsi="Arial" w:cs="Arial"/>
          <w:sz w:val="24"/>
          <w:szCs w:val="24"/>
        </w:rPr>
        <w:t xml:space="preserve">classified as Tier 2 (effective after staff approval) pursuant to </w:t>
      </w:r>
      <w:r w:rsidR="003E0827" w:rsidRPr="00B621B9">
        <w:rPr>
          <w:rFonts w:ascii="Arial" w:hAnsi="Arial" w:cs="Arial"/>
          <w:sz w:val="24"/>
          <w:szCs w:val="24"/>
        </w:rPr>
        <w:t>General Order (</w:t>
      </w:r>
      <w:r w:rsidRPr="00B621B9">
        <w:rPr>
          <w:rFonts w:ascii="Arial" w:hAnsi="Arial" w:cs="Arial"/>
          <w:sz w:val="24"/>
          <w:szCs w:val="24"/>
        </w:rPr>
        <w:t>GO</w:t>
      </w:r>
      <w:r w:rsidR="003E0827" w:rsidRPr="00B621B9">
        <w:rPr>
          <w:rFonts w:ascii="Arial" w:hAnsi="Arial" w:cs="Arial"/>
          <w:sz w:val="24"/>
          <w:szCs w:val="24"/>
        </w:rPr>
        <w:t>)</w:t>
      </w:r>
      <w:r w:rsidRPr="00B621B9">
        <w:rPr>
          <w:rFonts w:ascii="Arial" w:hAnsi="Arial" w:cs="Arial"/>
          <w:sz w:val="24"/>
          <w:szCs w:val="24"/>
        </w:rPr>
        <w:t xml:space="preserve"> 96-B. </w:t>
      </w:r>
      <w:r w:rsidR="00A04C5A" w:rsidRPr="00B621B9">
        <w:rPr>
          <w:rFonts w:ascii="Arial" w:hAnsi="Arial" w:cs="Arial"/>
          <w:sz w:val="24"/>
          <w:szCs w:val="24"/>
        </w:rPr>
        <w:t xml:space="preserve"> </w:t>
      </w:r>
      <w:r w:rsidRPr="00B621B9">
        <w:rPr>
          <w:rFonts w:ascii="Arial" w:hAnsi="Arial" w:cs="Arial"/>
          <w:sz w:val="24"/>
          <w:szCs w:val="24"/>
        </w:rPr>
        <w:t>This filing is consistent</w:t>
      </w:r>
      <w:r w:rsidR="00C520E4" w:rsidRPr="00B621B9">
        <w:rPr>
          <w:rFonts w:ascii="Arial" w:hAnsi="Arial" w:cs="Arial"/>
          <w:sz w:val="24"/>
          <w:szCs w:val="24"/>
        </w:rPr>
        <w:t xml:space="preserve"> </w:t>
      </w:r>
      <w:r w:rsidRPr="00B621B9">
        <w:rPr>
          <w:rFonts w:ascii="Arial" w:hAnsi="Arial" w:cs="Arial"/>
          <w:sz w:val="24"/>
          <w:szCs w:val="24"/>
        </w:rPr>
        <w:t>with D.</w:t>
      </w:r>
      <w:r w:rsidR="003A505B">
        <w:rPr>
          <w:rFonts w:ascii="Arial" w:hAnsi="Arial" w:cs="Arial"/>
          <w:sz w:val="24"/>
          <w:szCs w:val="24"/>
        </w:rPr>
        <w:t>18-05-041</w:t>
      </w:r>
      <w:r w:rsidRPr="00B621B9">
        <w:rPr>
          <w:rFonts w:ascii="Arial" w:hAnsi="Arial" w:cs="Arial"/>
          <w:sz w:val="24"/>
          <w:szCs w:val="24"/>
        </w:rPr>
        <w:t xml:space="preserve">. </w:t>
      </w:r>
      <w:r w:rsidR="00BB2432" w:rsidRPr="00B621B9">
        <w:rPr>
          <w:rFonts w:ascii="Arial" w:hAnsi="Arial" w:cs="Arial"/>
          <w:sz w:val="24"/>
          <w:szCs w:val="24"/>
        </w:rPr>
        <w:t xml:space="preserve"> </w:t>
      </w:r>
      <w:r w:rsidR="003E0827" w:rsidRPr="00B621B9">
        <w:rPr>
          <w:rFonts w:ascii="Arial" w:hAnsi="Arial" w:cs="Arial"/>
          <w:sz w:val="24"/>
          <w:szCs w:val="24"/>
        </w:rPr>
        <w:t xml:space="preserve">Therefore, </w:t>
      </w:r>
      <w:r w:rsidRPr="00B621B9">
        <w:rPr>
          <w:rFonts w:ascii="Arial" w:hAnsi="Arial" w:cs="Arial"/>
          <w:sz w:val="24"/>
          <w:szCs w:val="24"/>
        </w:rPr>
        <w:t xml:space="preserve">SoCalGas respectfully requests that this filing be approved on </w:t>
      </w:r>
      <w:r w:rsidR="00D60597">
        <w:rPr>
          <w:rFonts w:ascii="Arial" w:hAnsi="Arial" w:cs="Arial"/>
          <w:sz w:val="24"/>
          <w:szCs w:val="24"/>
        </w:rPr>
        <w:t>September</w:t>
      </w:r>
      <w:r w:rsidR="00332F6E" w:rsidRPr="00B621B9">
        <w:rPr>
          <w:rFonts w:ascii="Arial" w:hAnsi="Arial" w:cs="Arial"/>
          <w:sz w:val="24"/>
          <w:szCs w:val="24"/>
        </w:rPr>
        <w:t xml:space="preserve"> </w:t>
      </w:r>
      <w:r w:rsidR="00683880">
        <w:rPr>
          <w:rFonts w:ascii="Arial" w:hAnsi="Arial" w:cs="Arial"/>
          <w:sz w:val="24"/>
          <w:szCs w:val="24"/>
        </w:rPr>
        <w:t>1</w:t>
      </w:r>
      <w:r w:rsidRPr="00B621B9">
        <w:rPr>
          <w:rFonts w:ascii="Arial" w:hAnsi="Arial" w:cs="Arial"/>
          <w:sz w:val="24"/>
          <w:szCs w:val="24"/>
        </w:rPr>
        <w:t>,</w:t>
      </w:r>
      <w:r w:rsidR="00A62FE0" w:rsidRPr="00B621B9">
        <w:rPr>
          <w:rFonts w:ascii="Arial" w:hAnsi="Arial" w:cs="Arial"/>
          <w:sz w:val="24"/>
          <w:szCs w:val="24"/>
        </w:rPr>
        <w:t xml:space="preserve"> 20</w:t>
      </w:r>
      <w:r w:rsidR="00683880">
        <w:rPr>
          <w:rFonts w:ascii="Arial" w:hAnsi="Arial" w:cs="Arial"/>
          <w:sz w:val="24"/>
          <w:szCs w:val="24"/>
        </w:rPr>
        <w:t>20</w:t>
      </w:r>
      <w:r w:rsidR="00A576CC" w:rsidRPr="00B621B9">
        <w:rPr>
          <w:rFonts w:ascii="Arial" w:hAnsi="Arial" w:cs="Arial"/>
          <w:sz w:val="24"/>
          <w:szCs w:val="24"/>
        </w:rPr>
        <w:t>.</w:t>
      </w:r>
    </w:p>
    <w:p w14:paraId="735D6EF8" w14:textId="77777777" w:rsidR="00F15555" w:rsidRPr="00B621B9" w:rsidRDefault="00F15555" w:rsidP="00B4758B">
      <w:pPr>
        <w:rPr>
          <w:rFonts w:ascii="Arial" w:hAnsi="Arial" w:cs="Arial"/>
          <w:sz w:val="24"/>
          <w:szCs w:val="24"/>
        </w:rPr>
      </w:pPr>
    </w:p>
    <w:p w14:paraId="739A2C4E" w14:textId="77777777" w:rsidR="00F15555" w:rsidRPr="00B621B9" w:rsidRDefault="00F15555" w:rsidP="00B32376">
      <w:pPr>
        <w:rPr>
          <w:rFonts w:ascii="Arial" w:hAnsi="Arial" w:cs="Arial"/>
          <w:sz w:val="24"/>
          <w:szCs w:val="24"/>
        </w:rPr>
      </w:pPr>
    </w:p>
    <w:p w14:paraId="7CA29143" w14:textId="77777777" w:rsidR="00F15555" w:rsidRPr="00B621B9" w:rsidRDefault="00F15555" w:rsidP="00B32376">
      <w:pPr>
        <w:rPr>
          <w:rFonts w:ascii="Arial" w:hAnsi="Arial" w:cs="Arial"/>
          <w:sz w:val="24"/>
          <w:szCs w:val="24"/>
        </w:rPr>
      </w:pPr>
    </w:p>
    <w:p w14:paraId="03ABAAF5" w14:textId="77777777" w:rsidR="00F15555" w:rsidRPr="00B621B9" w:rsidRDefault="00F15555" w:rsidP="00B32376">
      <w:pPr>
        <w:rPr>
          <w:rFonts w:ascii="Arial" w:hAnsi="Arial" w:cs="Arial"/>
          <w:sz w:val="24"/>
          <w:szCs w:val="24"/>
        </w:rPr>
      </w:pPr>
    </w:p>
    <w:p w14:paraId="6BCA36F8" w14:textId="77777777" w:rsidR="00F15555" w:rsidRPr="00B621B9" w:rsidRDefault="00F15555" w:rsidP="00B32376">
      <w:pPr>
        <w:autoSpaceDE w:val="0"/>
        <w:autoSpaceDN w:val="0"/>
        <w:adjustRightInd w:val="0"/>
        <w:ind w:left="2880" w:firstLine="720"/>
        <w:rPr>
          <w:rFonts w:ascii="Arial" w:hAnsi="Arial" w:cs="Arial"/>
          <w:sz w:val="24"/>
          <w:szCs w:val="24"/>
        </w:rPr>
      </w:pPr>
      <w:r w:rsidRPr="00B621B9">
        <w:rPr>
          <w:rFonts w:ascii="Arial" w:hAnsi="Arial" w:cs="Arial"/>
          <w:sz w:val="24"/>
          <w:szCs w:val="24"/>
        </w:rPr>
        <w:t>_________________________________</w:t>
      </w:r>
    </w:p>
    <w:p w14:paraId="47ABAA40" w14:textId="77777777" w:rsidR="00F15555" w:rsidRPr="00B621B9" w:rsidRDefault="00A00814" w:rsidP="00B32376">
      <w:pPr>
        <w:autoSpaceDE w:val="0"/>
        <w:autoSpaceDN w:val="0"/>
        <w:adjustRightInd w:val="0"/>
        <w:ind w:left="3600" w:firstLine="720"/>
        <w:rPr>
          <w:rFonts w:ascii="Arial" w:hAnsi="Arial" w:cs="Arial"/>
          <w:sz w:val="24"/>
          <w:szCs w:val="24"/>
        </w:rPr>
      </w:pPr>
      <w:r w:rsidRPr="00B621B9">
        <w:rPr>
          <w:rFonts w:ascii="Arial" w:hAnsi="Arial" w:cs="Arial"/>
          <w:sz w:val="24"/>
          <w:szCs w:val="24"/>
        </w:rPr>
        <w:t xml:space="preserve">    </w:t>
      </w:r>
      <w:r w:rsidR="00F15555" w:rsidRPr="00B621B9">
        <w:rPr>
          <w:rFonts w:ascii="Arial" w:hAnsi="Arial" w:cs="Arial"/>
          <w:sz w:val="24"/>
          <w:szCs w:val="24"/>
        </w:rPr>
        <w:t>Ronald van der Leeden</w:t>
      </w:r>
    </w:p>
    <w:p w14:paraId="1FAF314B" w14:textId="77777777" w:rsidR="00F15555" w:rsidRPr="00B621B9" w:rsidRDefault="00F15555" w:rsidP="00B32376">
      <w:pPr>
        <w:autoSpaceDE w:val="0"/>
        <w:autoSpaceDN w:val="0"/>
        <w:adjustRightInd w:val="0"/>
        <w:ind w:left="3600" w:firstLine="720"/>
        <w:rPr>
          <w:rFonts w:ascii="Arial" w:hAnsi="Arial" w:cs="Arial"/>
          <w:sz w:val="24"/>
          <w:szCs w:val="24"/>
        </w:rPr>
      </w:pPr>
      <w:r w:rsidRPr="00B621B9">
        <w:rPr>
          <w:rFonts w:ascii="Arial" w:hAnsi="Arial" w:cs="Arial"/>
          <w:sz w:val="24"/>
          <w:szCs w:val="24"/>
        </w:rPr>
        <w:t>Director – Regulatory Affairs</w:t>
      </w:r>
    </w:p>
    <w:p w14:paraId="1F02CE22" w14:textId="77777777" w:rsidR="00F15555" w:rsidRPr="00B621B9" w:rsidRDefault="00F15555" w:rsidP="00B32376">
      <w:pPr>
        <w:rPr>
          <w:rFonts w:ascii="Arial" w:hAnsi="Arial" w:cs="Arial"/>
          <w:sz w:val="24"/>
          <w:szCs w:val="24"/>
        </w:rPr>
      </w:pPr>
    </w:p>
    <w:p w14:paraId="49AAB78E" w14:textId="77777777" w:rsidR="00F15555" w:rsidRPr="00B621B9" w:rsidRDefault="00F15555" w:rsidP="00B32376">
      <w:pPr>
        <w:rPr>
          <w:rFonts w:ascii="Arial" w:hAnsi="Arial" w:cs="Arial"/>
          <w:sz w:val="24"/>
          <w:szCs w:val="24"/>
        </w:rPr>
      </w:pPr>
      <w:r w:rsidRPr="00B621B9">
        <w:rPr>
          <w:rFonts w:ascii="Arial" w:hAnsi="Arial" w:cs="Arial"/>
          <w:sz w:val="24"/>
          <w:szCs w:val="24"/>
        </w:rPr>
        <w:t>A</w:t>
      </w:r>
      <w:r w:rsidR="00E64D96">
        <w:rPr>
          <w:rFonts w:ascii="Arial" w:hAnsi="Arial" w:cs="Arial"/>
          <w:sz w:val="24"/>
          <w:szCs w:val="24"/>
        </w:rPr>
        <w:t>ttachments</w:t>
      </w:r>
    </w:p>
    <w:sectPr w:rsidR="00F15555" w:rsidRPr="00B621B9" w:rsidSect="00113459">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487E9" w14:textId="77777777" w:rsidR="00B50687" w:rsidRDefault="00B50687" w:rsidP="00EA000A">
      <w:r>
        <w:separator/>
      </w:r>
    </w:p>
  </w:endnote>
  <w:endnote w:type="continuationSeparator" w:id="0">
    <w:p w14:paraId="3334DE4E" w14:textId="77777777" w:rsidR="00B50687" w:rsidRDefault="00B50687" w:rsidP="00EA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CB3CD" w14:textId="77777777" w:rsidR="00B50687" w:rsidRDefault="00B50687" w:rsidP="00EA000A">
      <w:r>
        <w:separator/>
      </w:r>
    </w:p>
  </w:footnote>
  <w:footnote w:type="continuationSeparator" w:id="0">
    <w:p w14:paraId="33A5AF60" w14:textId="77777777" w:rsidR="00B50687" w:rsidRDefault="00B50687" w:rsidP="00EA000A">
      <w:r>
        <w:continuationSeparator/>
      </w:r>
    </w:p>
  </w:footnote>
  <w:footnote w:id="1">
    <w:p w14:paraId="1048B19C" w14:textId="77777777" w:rsidR="0021436D" w:rsidRPr="009B0F19" w:rsidRDefault="0021436D">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https://cedars.sound-data.com</w:t>
      </w:r>
    </w:p>
  </w:footnote>
  <w:footnote w:id="2">
    <w:p w14:paraId="4FD262B8" w14:textId="77777777" w:rsidR="0021436D" w:rsidRPr="009B0F19" w:rsidRDefault="0021436D" w:rsidP="00F4753B">
      <w:pPr>
        <w:pStyle w:val="FootnoteText"/>
        <w:ind w:left="180" w:hanging="180"/>
        <w:rPr>
          <w:rFonts w:ascii="Arial" w:hAnsi="Arial" w:cs="Arial"/>
        </w:rPr>
      </w:pPr>
      <w:r w:rsidRPr="009B0F19">
        <w:rPr>
          <w:rStyle w:val="FootnoteReference"/>
          <w:rFonts w:ascii="Arial" w:hAnsi="Arial" w:cs="Arial"/>
        </w:rPr>
        <w:footnoteRef/>
      </w:r>
      <w:r w:rsidRPr="009B0F19">
        <w:rPr>
          <w:rFonts w:ascii="Arial" w:hAnsi="Arial" w:cs="Arial"/>
        </w:rPr>
        <w:t xml:space="preserve"> </w:t>
      </w:r>
      <w:r w:rsidRPr="009B0F19">
        <w:rPr>
          <w:rFonts w:ascii="Arial" w:hAnsi="Arial" w:cs="Arial"/>
        </w:rPr>
        <w:tab/>
        <w:t>D.15-10-028, p. 123.</w:t>
      </w:r>
    </w:p>
  </w:footnote>
  <w:footnote w:id="3">
    <w:p w14:paraId="55221DC2" w14:textId="77777777" w:rsidR="0021436D" w:rsidRPr="009B0F19" w:rsidRDefault="0021436D" w:rsidP="00943A58">
      <w:pPr>
        <w:pStyle w:val="FootnoteText"/>
        <w:ind w:left="180" w:hanging="180"/>
        <w:rPr>
          <w:rFonts w:ascii="Arial" w:hAnsi="Arial" w:cs="Arial"/>
        </w:rPr>
      </w:pPr>
      <w:r w:rsidRPr="009B0F19">
        <w:rPr>
          <w:rStyle w:val="FootnoteReference"/>
          <w:rFonts w:ascii="Arial" w:hAnsi="Arial" w:cs="Arial"/>
        </w:rPr>
        <w:footnoteRef/>
      </w:r>
      <w:r w:rsidRPr="009B0F19">
        <w:rPr>
          <w:rFonts w:ascii="Arial" w:hAnsi="Arial" w:cs="Arial"/>
        </w:rPr>
        <w:t xml:space="preserve"> </w:t>
      </w:r>
      <w:r w:rsidRPr="009B0F19">
        <w:rPr>
          <w:rFonts w:ascii="Arial" w:hAnsi="Arial" w:cs="Arial"/>
        </w:rPr>
        <w:tab/>
        <w:t>D.14-10-046, p. 167.</w:t>
      </w:r>
    </w:p>
  </w:footnote>
  <w:footnote w:id="4">
    <w:p w14:paraId="18DC916B" w14:textId="77777777" w:rsidR="0021436D" w:rsidRDefault="0021436D" w:rsidP="00943A58">
      <w:pPr>
        <w:pStyle w:val="FootnoteText"/>
        <w:ind w:left="180" w:hanging="180"/>
      </w:pPr>
      <w:r w:rsidRPr="009B0F19">
        <w:rPr>
          <w:rStyle w:val="FootnoteReference"/>
          <w:rFonts w:ascii="Arial" w:hAnsi="Arial" w:cs="Arial"/>
        </w:rPr>
        <w:footnoteRef/>
      </w:r>
      <w:r w:rsidRPr="009B0F19">
        <w:rPr>
          <w:rFonts w:ascii="Arial" w:hAnsi="Arial" w:cs="Arial"/>
        </w:rPr>
        <w:t xml:space="preserve"> </w:t>
      </w:r>
      <w:r w:rsidRPr="009B0F19">
        <w:rPr>
          <w:rFonts w:ascii="Arial" w:hAnsi="Arial" w:cs="Arial"/>
        </w:rPr>
        <w:tab/>
        <w:t>D.15-10-028, p. 56.</w:t>
      </w:r>
    </w:p>
  </w:footnote>
  <w:footnote w:id="5">
    <w:p w14:paraId="60C36599" w14:textId="77777777" w:rsidR="00341A97" w:rsidRPr="009B0F19" w:rsidRDefault="00341A97" w:rsidP="00341A97">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D.18-05-041</w:t>
      </w:r>
      <w:r>
        <w:rPr>
          <w:rFonts w:ascii="Arial" w:hAnsi="Arial" w:cs="Arial"/>
        </w:rPr>
        <w:t>,</w:t>
      </w:r>
      <w:r w:rsidRPr="009B0F19">
        <w:rPr>
          <w:rFonts w:ascii="Arial" w:hAnsi="Arial" w:cs="Arial"/>
        </w:rPr>
        <w:t xml:space="preserve"> p</w:t>
      </w:r>
      <w:r>
        <w:rPr>
          <w:rFonts w:ascii="Arial" w:hAnsi="Arial" w:cs="Arial"/>
        </w:rPr>
        <w:t>p</w:t>
      </w:r>
      <w:r w:rsidRPr="009B0F19">
        <w:rPr>
          <w:rFonts w:ascii="Arial" w:hAnsi="Arial" w:cs="Arial"/>
        </w:rPr>
        <w:t>. 124-129</w:t>
      </w:r>
      <w:r>
        <w:rPr>
          <w:rFonts w:ascii="Arial" w:hAnsi="Arial" w:cs="Arial"/>
        </w:rPr>
        <w:t xml:space="preserve"> and OP 44</w:t>
      </w:r>
      <w:r w:rsidRPr="009B0F19">
        <w:rPr>
          <w:rFonts w:ascii="Arial" w:hAnsi="Arial" w:cs="Arial"/>
        </w:rPr>
        <w:t>.</w:t>
      </w:r>
    </w:p>
  </w:footnote>
  <w:footnote w:id="6">
    <w:p w14:paraId="431D9378" w14:textId="25BA9031" w:rsidR="002D6BA8" w:rsidRDefault="002D6BA8">
      <w:pPr>
        <w:pStyle w:val="FootnoteText"/>
      </w:pPr>
      <w:r w:rsidRPr="009B0F19">
        <w:rPr>
          <w:rStyle w:val="FootnoteReference"/>
          <w:rFonts w:ascii="Arial" w:hAnsi="Arial" w:cs="Arial"/>
        </w:rPr>
        <w:footnoteRef/>
      </w:r>
      <w:r w:rsidRPr="009B0F19">
        <w:rPr>
          <w:rFonts w:ascii="Arial" w:hAnsi="Arial" w:cs="Arial"/>
        </w:rPr>
        <w:t xml:space="preserve"> Budgets for these programs were approved in D</w:t>
      </w:r>
      <w:r w:rsidR="001B16F8" w:rsidRPr="009B0F19">
        <w:rPr>
          <w:rFonts w:ascii="Arial" w:hAnsi="Arial" w:cs="Arial"/>
        </w:rPr>
        <w:t xml:space="preserve">.19-01-005 </w:t>
      </w:r>
      <w:r w:rsidRPr="009B0F19">
        <w:rPr>
          <w:rFonts w:ascii="Arial" w:hAnsi="Arial" w:cs="Arial"/>
        </w:rPr>
        <w:t xml:space="preserve">and </w:t>
      </w:r>
      <w:r w:rsidR="000157C0">
        <w:rPr>
          <w:rFonts w:ascii="Arial" w:hAnsi="Arial" w:cs="Arial"/>
        </w:rPr>
        <w:t>Resolution E-</w:t>
      </w:r>
      <w:r w:rsidR="00EA4814">
        <w:rPr>
          <w:rFonts w:ascii="Arial" w:hAnsi="Arial" w:cs="Arial"/>
        </w:rPr>
        <w:t xml:space="preserve">5072 </w:t>
      </w:r>
      <w:r w:rsidRPr="009B0F19">
        <w:rPr>
          <w:rFonts w:ascii="Arial" w:hAnsi="Arial" w:cs="Arial"/>
        </w:rPr>
        <w:t>respectively.</w:t>
      </w:r>
    </w:p>
  </w:footnote>
  <w:footnote w:id="7">
    <w:p w14:paraId="60AF4A38" w14:textId="77777777" w:rsidR="0021436D" w:rsidRPr="009B0F19" w:rsidRDefault="0021436D" w:rsidP="00331857">
      <w:pPr>
        <w:pStyle w:val="FootnoteText"/>
        <w:rPr>
          <w:rFonts w:ascii="Arial" w:hAnsi="Arial" w:cs="Arial"/>
        </w:rPr>
      </w:pPr>
      <w:r w:rsidRPr="009B0F19">
        <w:rPr>
          <w:rFonts w:ascii="Arial" w:hAnsi="Arial" w:cs="Arial"/>
          <w:vertAlign w:val="superscript"/>
        </w:rPr>
        <w:footnoteRef/>
      </w:r>
      <w:r w:rsidRPr="009B0F19">
        <w:rPr>
          <w:rFonts w:ascii="Arial" w:hAnsi="Arial" w:cs="Arial"/>
        </w:rPr>
        <w:t xml:space="preserve"> D.16-08-019, pp. 79-81.</w:t>
      </w:r>
    </w:p>
  </w:footnote>
  <w:footnote w:id="8">
    <w:p w14:paraId="3FBF2833" w14:textId="77777777" w:rsidR="0021436D" w:rsidRPr="009B0F19" w:rsidRDefault="0021436D">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D.19-08-034, p. 26.</w:t>
      </w:r>
    </w:p>
  </w:footnote>
  <w:footnote w:id="9">
    <w:p w14:paraId="23760EE9" w14:textId="77777777" w:rsidR="0021436D" w:rsidRPr="009B0F19" w:rsidRDefault="0021436D">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D.18-05-041, p. 124.</w:t>
      </w:r>
    </w:p>
  </w:footnote>
  <w:footnote w:id="10">
    <w:p w14:paraId="0326C715" w14:textId="77777777" w:rsidR="0021436D" w:rsidRPr="009B0F19" w:rsidRDefault="0021436D">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D.18-05-041, p. 124.</w:t>
      </w:r>
    </w:p>
  </w:footnote>
  <w:footnote w:id="11">
    <w:p w14:paraId="01B01A38" w14:textId="77777777" w:rsidR="0021436D" w:rsidRDefault="0021436D">
      <w:pPr>
        <w:pStyle w:val="FootnoteText"/>
      </w:pPr>
      <w:r w:rsidRPr="009B0F19">
        <w:rPr>
          <w:rStyle w:val="FootnoteReference"/>
          <w:rFonts w:ascii="Arial" w:hAnsi="Arial" w:cs="Arial"/>
        </w:rPr>
        <w:footnoteRef/>
      </w:r>
      <w:r w:rsidRPr="009B0F19">
        <w:rPr>
          <w:rFonts w:ascii="Arial" w:hAnsi="Arial" w:cs="Arial"/>
        </w:rPr>
        <w:t xml:space="preserve"> D.18-05-041, p. 125.</w:t>
      </w:r>
    </w:p>
  </w:footnote>
  <w:footnote w:id="12">
    <w:p w14:paraId="5BEA828D" w14:textId="77777777" w:rsidR="0021436D" w:rsidRPr="009B0F19" w:rsidRDefault="0021436D" w:rsidP="00AF70BF">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D.09-09-047, pp. 50-51.</w:t>
      </w:r>
    </w:p>
  </w:footnote>
  <w:footnote w:id="13">
    <w:p w14:paraId="4E9F5281" w14:textId="77777777" w:rsidR="0021436D" w:rsidRDefault="0021436D">
      <w:pPr>
        <w:pStyle w:val="FootnoteText"/>
      </w:pPr>
      <w:r w:rsidRPr="009B0F19">
        <w:rPr>
          <w:rStyle w:val="FootnoteReference"/>
          <w:rFonts w:ascii="Arial" w:hAnsi="Arial" w:cs="Arial"/>
        </w:rPr>
        <w:footnoteRef/>
      </w:r>
      <w:r w:rsidR="001B16F8" w:rsidRPr="009B0F19">
        <w:rPr>
          <w:rFonts w:ascii="Arial" w:hAnsi="Arial" w:cs="Arial"/>
        </w:rPr>
        <w:t xml:space="preserve"> </w:t>
      </w:r>
      <w:r w:rsidRPr="009B0F19">
        <w:rPr>
          <w:rFonts w:ascii="Arial" w:hAnsi="Arial" w:cs="Arial"/>
        </w:rPr>
        <w:t>D.19-08-</w:t>
      </w:r>
      <w:r w:rsidR="009B0F19" w:rsidRPr="009B0F19">
        <w:rPr>
          <w:rFonts w:ascii="Arial" w:hAnsi="Arial" w:cs="Arial"/>
        </w:rPr>
        <w:t>034</w:t>
      </w:r>
      <w:r w:rsidRPr="009B0F19">
        <w:rPr>
          <w:rFonts w:ascii="Arial" w:hAnsi="Arial" w:cs="Arial"/>
        </w:rPr>
        <w:t>, p.30.</w:t>
      </w:r>
      <w:r>
        <w:t xml:space="preserve"> </w:t>
      </w:r>
    </w:p>
  </w:footnote>
  <w:footnote w:id="14">
    <w:p w14:paraId="512CF7A7" w14:textId="77777777" w:rsidR="0021436D" w:rsidRPr="009B0F19" w:rsidRDefault="0021436D" w:rsidP="008E5159">
      <w:pPr>
        <w:pStyle w:val="FootnoteText"/>
        <w:rPr>
          <w:rFonts w:ascii="Arial" w:hAnsi="Arial" w:cs="Arial"/>
        </w:rPr>
      </w:pPr>
      <w:r w:rsidRPr="009B0F19">
        <w:rPr>
          <w:rStyle w:val="FootnoteReference"/>
          <w:rFonts w:ascii="Arial" w:hAnsi="Arial" w:cs="Arial"/>
        </w:rPr>
        <w:footnoteRef/>
      </w:r>
      <w:r w:rsidRPr="009B0F19">
        <w:rPr>
          <w:rFonts w:ascii="Arial" w:hAnsi="Arial" w:cs="Arial"/>
        </w:rPr>
        <w:t xml:space="preserve"> D.18-05-041, p.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09AC" w14:textId="77777777" w:rsidR="0021436D" w:rsidRPr="001474BC" w:rsidRDefault="002A2FBB" w:rsidP="00A00814">
    <w:pPr>
      <w:pStyle w:val="Header"/>
      <w:tabs>
        <w:tab w:val="clear" w:pos="9360"/>
        <w:tab w:val="right" w:pos="9450"/>
      </w:tabs>
      <w:rPr>
        <w:noProof/>
      </w:rPr>
    </w:pPr>
    <w:r>
      <w:rPr>
        <w:rFonts w:ascii="Arial" w:hAnsi="Arial" w:cs="Arial"/>
        <w:noProof/>
        <w:sz w:val="24"/>
        <w:szCs w:val="24"/>
      </w:rPr>
      <w:pict w14:anchorId="661A0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1436D">
      <w:rPr>
        <w:rFonts w:ascii="Arial" w:hAnsi="Arial" w:cs="Arial"/>
        <w:sz w:val="24"/>
        <w:szCs w:val="24"/>
      </w:rPr>
      <w:t xml:space="preserve">Advice No. 5XXX                             </w:t>
    </w:r>
    <w:r w:rsidR="0021436D">
      <w:rPr>
        <w:rFonts w:ascii="Arial" w:hAnsi="Arial" w:cs="Arial"/>
        <w:spacing w:val="12"/>
        <w:sz w:val="24"/>
        <w:szCs w:val="24"/>
      </w:rPr>
      <w:t xml:space="preserve"> </w:t>
    </w:r>
    <w:r w:rsidR="0021436D">
      <w:rPr>
        <w:rFonts w:ascii="Arial" w:hAnsi="Arial" w:cs="Arial"/>
        <w:sz w:val="24"/>
        <w:szCs w:val="24"/>
      </w:rPr>
      <w:t xml:space="preserve">- </w:t>
    </w:r>
    <w:r w:rsidR="0021436D" w:rsidRPr="001474BC">
      <w:rPr>
        <w:rFonts w:ascii="Arial" w:hAnsi="Arial" w:cs="Arial"/>
        <w:sz w:val="24"/>
        <w:szCs w:val="24"/>
      </w:rPr>
      <w:fldChar w:fldCharType="begin"/>
    </w:r>
    <w:r w:rsidR="0021436D" w:rsidRPr="001474BC">
      <w:rPr>
        <w:rFonts w:ascii="Arial" w:hAnsi="Arial" w:cs="Arial"/>
        <w:sz w:val="24"/>
        <w:szCs w:val="24"/>
      </w:rPr>
      <w:instrText xml:space="preserve"> PAGE   \* MERGEFORMAT </w:instrText>
    </w:r>
    <w:r w:rsidR="0021436D" w:rsidRPr="001474BC">
      <w:rPr>
        <w:rFonts w:ascii="Arial" w:hAnsi="Arial" w:cs="Arial"/>
        <w:sz w:val="24"/>
        <w:szCs w:val="24"/>
      </w:rPr>
      <w:fldChar w:fldCharType="separate"/>
    </w:r>
    <w:r w:rsidR="0021436D">
      <w:rPr>
        <w:rFonts w:ascii="Arial" w:hAnsi="Arial" w:cs="Arial"/>
        <w:noProof/>
        <w:sz w:val="24"/>
        <w:szCs w:val="24"/>
      </w:rPr>
      <w:t>14</w:t>
    </w:r>
    <w:r w:rsidR="0021436D" w:rsidRPr="001474BC">
      <w:rPr>
        <w:rFonts w:ascii="Arial" w:hAnsi="Arial" w:cs="Arial"/>
        <w:sz w:val="24"/>
        <w:szCs w:val="24"/>
      </w:rPr>
      <w:fldChar w:fldCharType="end"/>
    </w:r>
    <w:r w:rsidR="0021436D">
      <w:rPr>
        <w:rFonts w:ascii="Arial" w:hAnsi="Arial" w:cs="Arial"/>
        <w:sz w:val="24"/>
        <w:szCs w:val="24"/>
      </w:rPr>
      <w:t xml:space="preserve">  -                            </w:t>
    </w:r>
    <w:r w:rsidR="0021436D">
      <w:rPr>
        <w:rFonts w:ascii="Arial" w:hAnsi="Arial" w:cs="Arial"/>
        <w:spacing w:val="63"/>
        <w:sz w:val="24"/>
        <w:szCs w:val="24"/>
      </w:rPr>
      <w:t xml:space="preserve">      </w:t>
    </w:r>
    <w:r w:rsidR="0021436D">
      <w:rPr>
        <w:rFonts w:ascii="Arial" w:hAnsi="Arial" w:cs="Arial"/>
        <w:sz w:val="24"/>
        <w:szCs w:val="24"/>
      </w:rPr>
      <w:t xml:space="preserve">September </w:t>
    </w:r>
    <w:r w:rsidR="00E00657">
      <w:rPr>
        <w:rFonts w:ascii="Arial" w:hAnsi="Arial" w:cs="Arial"/>
        <w:sz w:val="24"/>
        <w:szCs w:val="24"/>
      </w:rPr>
      <w:t>1</w:t>
    </w:r>
    <w:r w:rsidR="0021436D">
      <w:rPr>
        <w:rFonts w:ascii="Arial" w:hAnsi="Arial" w:cs="Arial"/>
        <w:sz w:val="24"/>
        <w:szCs w:val="24"/>
      </w:rPr>
      <w:t>, 20</w:t>
    </w:r>
    <w:r w:rsidR="00E00657">
      <w:rPr>
        <w:rFonts w:ascii="Arial" w:hAnsi="Arial" w:cs="Arial"/>
        <w:sz w:val="24"/>
        <w:szCs w:val="24"/>
      </w:rPr>
      <w:t>20</w:t>
    </w:r>
  </w:p>
  <w:p w14:paraId="7E08BB23" w14:textId="77777777" w:rsidR="0021436D" w:rsidRDefault="0021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9EF"/>
    <w:multiLevelType w:val="hybridMultilevel"/>
    <w:tmpl w:val="6C96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F0B01"/>
    <w:multiLevelType w:val="hybridMultilevel"/>
    <w:tmpl w:val="D3A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1D5"/>
    <w:multiLevelType w:val="hybridMultilevel"/>
    <w:tmpl w:val="9FC8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104C"/>
    <w:multiLevelType w:val="hybridMultilevel"/>
    <w:tmpl w:val="C674D02E"/>
    <w:lvl w:ilvl="0" w:tplc="079411E0">
      <w:start w:val="1"/>
      <w:numFmt w:val="bullet"/>
      <w:lvlText w:val=""/>
      <w:lvlJc w:val="left"/>
      <w:pPr>
        <w:ind w:left="580" w:hanging="361"/>
      </w:pPr>
      <w:rPr>
        <w:rFonts w:ascii="Symbol" w:eastAsia="Symbol" w:hAnsi="Symbol" w:hint="default"/>
        <w:sz w:val="24"/>
        <w:szCs w:val="24"/>
      </w:rPr>
    </w:lvl>
    <w:lvl w:ilvl="1" w:tplc="2CA05F38">
      <w:start w:val="1"/>
      <w:numFmt w:val="bullet"/>
      <w:lvlText w:val="•"/>
      <w:lvlJc w:val="left"/>
      <w:pPr>
        <w:ind w:left="1500" w:hanging="361"/>
      </w:pPr>
      <w:rPr>
        <w:rFonts w:hint="default"/>
      </w:rPr>
    </w:lvl>
    <w:lvl w:ilvl="2" w:tplc="5F9A0AAA">
      <w:start w:val="1"/>
      <w:numFmt w:val="bullet"/>
      <w:lvlText w:val="•"/>
      <w:lvlJc w:val="left"/>
      <w:pPr>
        <w:ind w:left="2420" w:hanging="361"/>
      </w:pPr>
      <w:rPr>
        <w:rFonts w:hint="default"/>
      </w:rPr>
    </w:lvl>
    <w:lvl w:ilvl="3" w:tplc="6E80AAA6">
      <w:start w:val="1"/>
      <w:numFmt w:val="bullet"/>
      <w:lvlText w:val="•"/>
      <w:lvlJc w:val="left"/>
      <w:pPr>
        <w:ind w:left="3340" w:hanging="361"/>
      </w:pPr>
      <w:rPr>
        <w:rFonts w:hint="default"/>
      </w:rPr>
    </w:lvl>
    <w:lvl w:ilvl="4" w:tplc="2064E16C">
      <w:start w:val="1"/>
      <w:numFmt w:val="bullet"/>
      <w:lvlText w:val="•"/>
      <w:lvlJc w:val="left"/>
      <w:pPr>
        <w:ind w:left="4260" w:hanging="361"/>
      </w:pPr>
      <w:rPr>
        <w:rFonts w:hint="default"/>
      </w:rPr>
    </w:lvl>
    <w:lvl w:ilvl="5" w:tplc="8858FEA2">
      <w:start w:val="1"/>
      <w:numFmt w:val="bullet"/>
      <w:lvlText w:val="•"/>
      <w:lvlJc w:val="left"/>
      <w:pPr>
        <w:ind w:left="5180" w:hanging="361"/>
      </w:pPr>
      <w:rPr>
        <w:rFonts w:hint="default"/>
      </w:rPr>
    </w:lvl>
    <w:lvl w:ilvl="6" w:tplc="289C4822">
      <w:start w:val="1"/>
      <w:numFmt w:val="bullet"/>
      <w:lvlText w:val="•"/>
      <w:lvlJc w:val="left"/>
      <w:pPr>
        <w:ind w:left="6100" w:hanging="361"/>
      </w:pPr>
      <w:rPr>
        <w:rFonts w:hint="default"/>
      </w:rPr>
    </w:lvl>
    <w:lvl w:ilvl="7" w:tplc="A8D81440">
      <w:start w:val="1"/>
      <w:numFmt w:val="bullet"/>
      <w:lvlText w:val="•"/>
      <w:lvlJc w:val="left"/>
      <w:pPr>
        <w:ind w:left="7020" w:hanging="361"/>
      </w:pPr>
      <w:rPr>
        <w:rFonts w:hint="default"/>
      </w:rPr>
    </w:lvl>
    <w:lvl w:ilvl="8" w:tplc="2E2E05E8">
      <w:start w:val="1"/>
      <w:numFmt w:val="bullet"/>
      <w:lvlText w:val="•"/>
      <w:lvlJc w:val="left"/>
      <w:pPr>
        <w:ind w:left="7940" w:hanging="361"/>
      </w:pPr>
      <w:rPr>
        <w:rFonts w:hint="default"/>
      </w:rPr>
    </w:lvl>
  </w:abstractNum>
  <w:abstractNum w:abstractNumId="4" w15:restartNumberingAfterBreak="0">
    <w:nsid w:val="065C2BD6"/>
    <w:multiLevelType w:val="hybridMultilevel"/>
    <w:tmpl w:val="81120E68"/>
    <w:lvl w:ilvl="0" w:tplc="A59CBA3E">
      <w:start w:val="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306BAF"/>
    <w:multiLevelType w:val="hybridMultilevel"/>
    <w:tmpl w:val="C12C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D1A61"/>
    <w:multiLevelType w:val="hybridMultilevel"/>
    <w:tmpl w:val="DD0008CE"/>
    <w:lvl w:ilvl="0" w:tplc="25F0DB34">
      <w:start w:val="2019"/>
      <w:numFmt w:val="bullet"/>
      <w:lvlText w:val="-"/>
      <w:lvlJc w:val="left"/>
      <w:pPr>
        <w:ind w:left="720" w:hanging="360"/>
      </w:pPr>
      <w:rPr>
        <w:rFonts w:ascii="Arial" w:eastAsia="Calibr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B23FF"/>
    <w:multiLevelType w:val="hybridMultilevel"/>
    <w:tmpl w:val="4F78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239B7"/>
    <w:multiLevelType w:val="hybridMultilevel"/>
    <w:tmpl w:val="AC70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F0278"/>
    <w:multiLevelType w:val="hybridMultilevel"/>
    <w:tmpl w:val="E8165B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142E57C3"/>
    <w:multiLevelType w:val="hybridMultilevel"/>
    <w:tmpl w:val="BD92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C8502C"/>
    <w:multiLevelType w:val="hybridMultilevel"/>
    <w:tmpl w:val="D83892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044BE"/>
    <w:multiLevelType w:val="hybridMultilevel"/>
    <w:tmpl w:val="FC6A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8B585E"/>
    <w:multiLevelType w:val="hybridMultilevel"/>
    <w:tmpl w:val="9D68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86F0A"/>
    <w:multiLevelType w:val="hybridMultilevel"/>
    <w:tmpl w:val="2A84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7CD6"/>
    <w:multiLevelType w:val="hybridMultilevel"/>
    <w:tmpl w:val="C32A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A205B"/>
    <w:multiLevelType w:val="hybridMultilevel"/>
    <w:tmpl w:val="04045416"/>
    <w:lvl w:ilvl="0" w:tplc="506EE73A">
      <w:start w:val="1"/>
      <w:numFmt w:val="bullet"/>
      <w:lvlText w:val=""/>
      <w:lvlJc w:val="left"/>
      <w:pPr>
        <w:ind w:left="480" w:hanging="361"/>
      </w:pPr>
      <w:rPr>
        <w:rFonts w:ascii="Symbol" w:eastAsia="Symbol" w:hAnsi="Symbol" w:hint="default"/>
        <w:sz w:val="24"/>
        <w:szCs w:val="24"/>
      </w:rPr>
    </w:lvl>
    <w:lvl w:ilvl="1" w:tplc="3D486438">
      <w:start w:val="1"/>
      <w:numFmt w:val="bullet"/>
      <w:lvlText w:val=""/>
      <w:lvlJc w:val="left"/>
      <w:pPr>
        <w:ind w:left="860" w:hanging="361"/>
      </w:pPr>
      <w:rPr>
        <w:rFonts w:ascii="Symbol" w:eastAsia="Symbol" w:hAnsi="Symbol" w:hint="default"/>
        <w:sz w:val="24"/>
        <w:szCs w:val="24"/>
      </w:rPr>
    </w:lvl>
    <w:lvl w:ilvl="2" w:tplc="45FAD57A">
      <w:start w:val="1"/>
      <w:numFmt w:val="bullet"/>
      <w:lvlText w:val="•"/>
      <w:lvlJc w:val="left"/>
      <w:pPr>
        <w:ind w:left="1831" w:hanging="361"/>
      </w:pPr>
      <w:rPr>
        <w:rFonts w:hint="default"/>
      </w:rPr>
    </w:lvl>
    <w:lvl w:ilvl="3" w:tplc="4B50B04A">
      <w:start w:val="1"/>
      <w:numFmt w:val="bullet"/>
      <w:lvlText w:val="•"/>
      <w:lvlJc w:val="left"/>
      <w:pPr>
        <w:ind w:left="2802" w:hanging="361"/>
      </w:pPr>
      <w:rPr>
        <w:rFonts w:hint="default"/>
      </w:rPr>
    </w:lvl>
    <w:lvl w:ilvl="4" w:tplc="A428361E">
      <w:start w:val="1"/>
      <w:numFmt w:val="bullet"/>
      <w:lvlText w:val="•"/>
      <w:lvlJc w:val="left"/>
      <w:pPr>
        <w:ind w:left="3773" w:hanging="361"/>
      </w:pPr>
      <w:rPr>
        <w:rFonts w:hint="default"/>
      </w:rPr>
    </w:lvl>
    <w:lvl w:ilvl="5" w:tplc="7BB8A5DA">
      <w:start w:val="1"/>
      <w:numFmt w:val="bullet"/>
      <w:lvlText w:val="•"/>
      <w:lvlJc w:val="left"/>
      <w:pPr>
        <w:ind w:left="4744" w:hanging="361"/>
      </w:pPr>
      <w:rPr>
        <w:rFonts w:hint="default"/>
      </w:rPr>
    </w:lvl>
    <w:lvl w:ilvl="6" w:tplc="375E9EC2">
      <w:start w:val="1"/>
      <w:numFmt w:val="bullet"/>
      <w:lvlText w:val="•"/>
      <w:lvlJc w:val="left"/>
      <w:pPr>
        <w:ind w:left="5715" w:hanging="361"/>
      </w:pPr>
      <w:rPr>
        <w:rFonts w:hint="default"/>
      </w:rPr>
    </w:lvl>
    <w:lvl w:ilvl="7" w:tplc="ED50D864">
      <w:start w:val="1"/>
      <w:numFmt w:val="bullet"/>
      <w:lvlText w:val="•"/>
      <w:lvlJc w:val="left"/>
      <w:pPr>
        <w:ind w:left="6686" w:hanging="361"/>
      </w:pPr>
      <w:rPr>
        <w:rFonts w:hint="default"/>
      </w:rPr>
    </w:lvl>
    <w:lvl w:ilvl="8" w:tplc="37A89B36">
      <w:start w:val="1"/>
      <w:numFmt w:val="bullet"/>
      <w:lvlText w:val="•"/>
      <w:lvlJc w:val="left"/>
      <w:pPr>
        <w:ind w:left="7657" w:hanging="361"/>
      </w:pPr>
      <w:rPr>
        <w:rFonts w:hint="default"/>
      </w:rPr>
    </w:lvl>
  </w:abstractNum>
  <w:abstractNum w:abstractNumId="17" w15:restartNumberingAfterBreak="0">
    <w:nsid w:val="27F767E4"/>
    <w:multiLevelType w:val="hybridMultilevel"/>
    <w:tmpl w:val="E976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44754"/>
    <w:multiLevelType w:val="hybridMultilevel"/>
    <w:tmpl w:val="41A6F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905155"/>
    <w:multiLevelType w:val="hybridMultilevel"/>
    <w:tmpl w:val="CD609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A115FE"/>
    <w:multiLevelType w:val="hybridMultilevel"/>
    <w:tmpl w:val="C44AC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142C94"/>
    <w:multiLevelType w:val="hybridMultilevel"/>
    <w:tmpl w:val="DC123098"/>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B4D3C"/>
    <w:multiLevelType w:val="hybridMultilevel"/>
    <w:tmpl w:val="DAC07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C42FD"/>
    <w:multiLevelType w:val="hybridMultilevel"/>
    <w:tmpl w:val="5EBE2CDE"/>
    <w:lvl w:ilvl="0" w:tplc="B02AA85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73A39"/>
    <w:multiLevelType w:val="hybridMultilevel"/>
    <w:tmpl w:val="DB887DB0"/>
    <w:lvl w:ilvl="0" w:tplc="60E2400C">
      <w:numFmt w:val="bullet"/>
      <w:lvlText w:val="•"/>
      <w:lvlJc w:val="left"/>
      <w:pPr>
        <w:ind w:left="720" w:hanging="360"/>
      </w:pPr>
      <w:rPr>
        <w:rFonts w:ascii="ArialMT" w:eastAsia="Calibr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D00"/>
    <w:multiLevelType w:val="hybridMultilevel"/>
    <w:tmpl w:val="8D28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85B53"/>
    <w:multiLevelType w:val="hybridMultilevel"/>
    <w:tmpl w:val="7D861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4C6F8A"/>
    <w:multiLevelType w:val="hybridMultilevel"/>
    <w:tmpl w:val="7CB0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A44D9"/>
    <w:multiLevelType w:val="hybridMultilevel"/>
    <w:tmpl w:val="0722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FC1599"/>
    <w:multiLevelType w:val="hybridMultilevel"/>
    <w:tmpl w:val="A028916E"/>
    <w:lvl w:ilvl="0" w:tplc="60E2400C">
      <w:numFmt w:val="bullet"/>
      <w:lvlText w:val="•"/>
      <w:lvlJc w:val="left"/>
      <w:pPr>
        <w:ind w:left="720" w:hanging="360"/>
      </w:pPr>
      <w:rPr>
        <w:rFonts w:ascii="ArialMT" w:eastAsia="Calibr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56CD7"/>
    <w:multiLevelType w:val="hybridMultilevel"/>
    <w:tmpl w:val="7ACC4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B9559B"/>
    <w:multiLevelType w:val="hybridMultilevel"/>
    <w:tmpl w:val="CF9E7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C3158E"/>
    <w:multiLevelType w:val="hybridMultilevel"/>
    <w:tmpl w:val="4600F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D78DE"/>
    <w:multiLevelType w:val="hybridMultilevel"/>
    <w:tmpl w:val="60EE0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358C6"/>
    <w:multiLevelType w:val="hybridMultilevel"/>
    <w:tmpl w:val="EB38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995863"/>
    <w:multiLevelType w:val="hybridMultilevel"/>
    <w:tmpl w:val="3014DD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9E1C20"/>
    <w:multiLevelType w:val="hybridMultilevel"/>
    <w:tmpl w:val="5538A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9773A"/>
    <w:multiLevelType w:val="hybridMultilevel"/>
    <w:tmpl w:val="90C2DC0E"/>
    <w:lvl w:ilvl="0" w:tplc="B74426DA">
      <w:start w:val="1"/>
      <w:numFmt w:val="bullet"/>
      <w:lvlText w:val=""/>
      <w:lvlJc w:val="left"/>
      <w:pPr>
        <w:ind w:left="480" w:hanging="361"/>
      </w:pPr>
      <w:rPr>
        <w:rFonts w:ascii="Symbol" w:eastAsia="Symbol" w:hAnsi="Symbol" w:hint="default"/>
        <w:sz w:val="24"/>
        <w:szCs w:val="24"/>
      </w:rPr>
    </w:lvl>
    <w:lvl w:ilvl="1" w:tplc="F672294C">
      <w:start w:val="1"/>
      <w:numFmt w:val="bullet"/>
      <w:lvlText w:val=""/>
      <w:lvlJc w:val="left"/>
      <w:pPr>
        <w:ind w:left="860" w:hanging="361"/>
      </w:pPr>
      <w:rPr>
        <w:rFonts w:ascii="Symbol" w:eastAsia="Symbol" w:hAnsi="Symbol" w:hint="default"/>
        <w:sz w:val="24"/>
        <w:szCs w:val="24"/>
      </w:rPr>
    </w:lvl>
    <w:lvl w:ilvl="2" w:tplc="B64023B0">
      <w:start w:val="1"/>
      <w:numFmt w:val="bullet"/>
      <w:lvlText w:val="•"/>
      <w:lvlJc w:val="left"/>
      <w:pPr>
        <w:ind w:left="1831" w:hanging="361"/>
      </w:pPr>
      <w:rPr>
        <w:rFonts w:hint="default"/>
      </w:rPr>
    </w:lvl>
    <w:lvl w:ilvl="3" w:tplc="7300220E">
      <w:start w:val="1"/>
      <w:numFmt w:val="bullet"/>
      <w:lvlText w:val="•"/>
      <w:lvlJc w:val="left"/>
      <w:pPr>
        <w:ind w:left="2802" w:hanging="361"/>
      </w:pPr>
      <w:rPr>
        <w:rFonts w:hint="default"/>
      </w:rPr>
    </w:lvl>
    <w:lvl w:ilvl="4" w:tplc="B6403700">
      <w:start w:val="1"/>
      <w:numFmt w:val="bullet"/>
      <w:lvlText w:val="•"/>
      <w:lvlJc w:val="left"/>
      <w:pPr>
        <w:ind w:left="3773" w:hanging="361"/>
      </w:pPr>
      <w:rPr>
        <w:rFonts w:hint="default"/>
      </w:rPr>
    </w:lvl>
    <w:lvl w:ilvl="5" w:tplc="6E3C6744">
      <w:start w:val="1"/>
      <w:numFmt w:val="bullet"/>
      <w:lvlText w:val="•"/>
      <w:lvlJc w:val="left"/>
      <w:pPr>
        <w:ind w:left="4744" w:hanging="361"/>
      </w:pPr>
      <w:rPr>
        <w:rFonts w:hint="default"/>
      </w:rPr>
    </w:lvl>
    <w:lvl w:ilvl="6" w:tplc="10A27D60">
      <w:start w:val="1"/>
      <w:numFmt w:val="bullet"/>
      <w:lvlText w:val="•"/>
      <w:lvlJc w:val="left"/>
      <w:pPr>
        <w:ind w:left="5715" w:hanging="361"/>
      </w:pPr>
      <w:rPr>
        <w:rFonts w:hint="default"/>
      </w:rPr>
    </w:lvl>
    <w:lvl w:ilvl="7" w:tplc="672EAB92">
      <w:start w:val="1"/>
      <w:numFmt w:val="bullet"/>
      <w:lvlText w:val="•"/>
      <w:lvlJc w:val="left"/>
      <w:pPr>
        <w:ind w:left="6686" w:hanging="361"/>
      </w:pPr>
      <w:rPr>
        <w:rFonts w:hint="default"/>
      </w:rPr>
    </w:lvl>
    <w:lvl w:ilvl="8" w:tplc="93BC3492">
      <w:start w:val="1"/>
      <w:numFmt w:val="bullet"/>
      <w:lvlText w:val="•"/>
      <w:lvlJc w:val="left"/>
      <w:pPr>
        <w:ind w:left="7657" w:hanging="361"/>
      </w:pPr>
      <w:rPr>
        <w:rFonts w:hint="default"/>
      </w:rPr>
    </w:lvl>
  </w:abstractNum>
  <w:abstractNum w:abstractNumId="38" w15:restartNumberingAfterBreak="0">
    <w:nsid w:val="74AE791C"/>
    <w:multiLevelType w:val="hybridMultilevel"/>
    <w:tmpl w:val="DECE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81668"/>
    <w:multiLevelType w:val="hybridMultilevel"/>
    <w:tmpl w:val="654C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11B56"/>
    <w:multiLevelType w:val="hybridMultilevel"/>
    <w:tmpl w:val="B12C5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B548D"/>
    <w:multiLevelType w:val="hybridMultilevel"/>
    <w:tmpl w:val="F9AA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0"/>
  </w:num>
  <w:num w:numId="4">
    <w:abstractNumId w:val="13"/>
  </w:num>
  <w:num w:numId="5">
    <w:abstractNumId w:val="11"/>
  </w:num>
  <w:num w:numId="6">
    <w:abstractNumId w:val="17"/>
  </w:num>
  <w:num w:numId="7">
    <w:abstractNumId w:val="29"/>
  </w:num>
  <w:num w:numId="8">
    <w:abstractNumId w:val="25"/>
  </w:num>
  <w:num w:numId="9">
    <w:abstractNumId w:val="26"/>
  </w:num>
  <w:num w:numId="10">
    <w:abstractNumId w:val="1"/>
  </w:num>
  <w:num w:numId="11">
    <w:abstractNumId w:val="34"/>
  </w:num>
  <w:num w:numId="12">
    <w:abstractNumId w:val="24"/>
  </w:num>
  <w:num w:numId="13">
    <w:abstractNumId w:val="36"/>
  </w:num>
  <w:num w:numId="14">
    <w:abstractNumId w:val="18"/>
  </w:num>
  <w:num w:numId="15">
    <w:abstractNumId w:val="14"/>
  </w:num>
  <w:num w:numId="16">
    <w:abstractNumId w:val="38"/>
  </w:num>
  <w:num w:numId="17">
    <w:abstractNumId w:val="23"/>
  </w:num>
  <w:num w:numId="18">
    <w:abstractNumId w:val="4"/>
  </w:num>
  <w:num w:numId="19">
    <w:abstractNumId w:val="35"/>
  </w:num>
  <w:num w:numId="20">
    <w:abstractNumId w:val="19"/>
  </w:num>
  <w:num w:numId="21">
    <w:abstractNumId w:val="28"/>
  </w:num>
  <w:num w:numId="22">
    <w:abstractNumId w:val="16"/>
  </w:num>
  <w:num w:numId="23">
    <w:abstractNumId w:val="20"/>
  </w:num>
  <w:num w:numId="24">
    <w:abstractNumId w:val="10"/>
  </w:num>
  <w:num w:numId="25">
    <w:abstractNumId w:val="3"/>
  </w:num>
  <w:num w:numId="26">
    <w:abstractNumId w:val="37"/>
  </w:num>
  <w:num w:numId="27">
    <w:abstractNumId w:val="41"/>
  </w:num>
  <w:num w:numId="28">
    <w:abstractNumId w:val="33"/>
  </w:num>
  <w:num w:numId="29">
    <w:abstractNumId w:val="32"/>
  </w:num>
  <w:num w:numId="30">
    <w:abstractNumId w:val="40"/>
  </w:num>
  <w:num w:numId="31">
    <w:abstractNumId w:val="22"/>
  </w:num>
  <w:num w:numId="32">
    <w:abstractNumId w:val="0"/>
  </w:num>
  <w:num w:numId="33">
    <w:abstractNumId w:val="15"/>
  </w:num>
  <w:num w:numId="34">
    <w:abstractNumId w:val="8"/>
  </w:num>
  <w:num w:numId="35">
    <w:abstractNumId w:val="6"/>
  </w:num>
  <w:num w:numId="36">
    <w:abstractNumId w:val="9"/>
  </w:num>
  <w:num w:numId="37">
    <w:abstractNumId w:val="7"/>
  </w:num>
  <w:num w:numId="38">
    <w:abstractNumId w:val="31"/>
  </w:num>
  <w:num w:numId="39">
    <w:abstractNumId w:val="39"/>
  </w:num>
  <w:num w:numId="40">
    <w:abstractNumId w:val="2"/>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45"/>
    <w:rsid w:val="00001080"/>
    <w:rsid w:val="00003546"/>
    <w:rsid w:val="00007EA6"/>
    <w:rsid w:val="00011F45"/>
    <w:rsid w:val="00015388"/>
    <w:rsid w:val="000157C0"/>
    <w:rsid w:val="00015EB3"/>
    <w:rsid w:val="00016FAB"/>
    <w:rsid w:val="00023855"/>
    <w:rsid w:val="000320B7"/>
    <w:rsid w:val="0003360F"/>
    <w:rsid w:val="00035333"/>
    <w:rsid w:val="0003768B"/>
    <w:rsid w:val="00043DD4"/>
    <w:rsid w:val="00045B7D"/>
    <w:rsid w:val="000473E5"/>
    <w:rsid w:val="00047C64"/>
    <w:rsid w:val="00050B2C"/>
    <w:rsid w:val="00051431"/>
    <w:rsid w:val="0005147D"/>
    <w:rsid w:val="000515CE"/>
    <w:rsid w:val="0005171F"/>
    <w:rsid w:val="00052C37"/>
    <w:rsid w:val="00056837"/>
    <w:rsid w:val="0006604D"/>
    <w:rsid w:val="00070A07"/>
    <w:rsid w:val="0007162B"/>
    <w:rsid w:val="000718DA"/>
    <w:rsid w:val="00074EE8"/>
    <w:rsid w:val="000759D1"/>
    <w:rsid w:val="00076F00"/>
    <w:rsid w:val="00081826"/>
    <w:rsid w:val="00081904"/>
    <w:rsid w:val="00081A99"/>
    <w:rsid w:val="00085B8D"/>
    <w:rsid w:val="00085C96"/>
    <w:rsid w:val="00091205"/>
    <w:rsid w:val="00091A9D"/>
    <w:rsid w:val="00093536"/>
    <w:rsid w:val="00093D2B"/>
    <w:rsid w:val="00097144"/>
    <w:rsid w:val="000A016E"/>
    <w:rsid w:val="000A04AE"/>
    <w:rsid w:val="000A0967"/>
    <w:rsid w:val="000A0D87"/>
    <w:rsid w:val="000A676C"/>
    <w:rsid w:val="000B23A4"/>
    <w:rsid w:val="000B46A8"/>
    <w:rsid w:val="000B532D"/>
    <w:rsid w:val="000C378B"/>
    <w:rsid w:val="000C579B"/>
    <w:rsid w:val="000C6954"/>
    <w:rsid w:val="000D1F6B"/>
    <w:rsid w:val="000D35F1"/>
    <w:rsid w:val="000D723D"/>
    <w:rsid w:val="000D74B8"/>
    <w:rsid w:val="000E036D"/>
    <w:rsid w:val="000E0E1A"/>
    <w:rsid w:val="000E11E8"/>
    <w:rsid w:val="000E2160"/>
    <w:rsid w:val="000E2EA3"/>
    <w:rsid w:val="000E60BA"/>
    <w:rsid w:val="000E6FDF"/>
    <w:rsid w:val="000E7490"/>
    <w:rsid w:val="000F1DCA"/>
    <w:rsid w:val="000F380F"/>
    <w:rsid w:val="000F56C1"/>
    <w:rsid w:val="001025F4"/>
    <w:rsid w:val="00104E1A"/>
    <w:rsid w:val="0010682C"/>
    <w:rsid w:val="00111F94"/>
    <w:rsid w:val="00113459"/>
    <w:rsid w:val="00115111"/>
    <w:rsid w:val="00115496"/>
    <w:rsid w:val="0012240E"/>
    <w:rsid w:val="00122581"/>
    <w:rsid w:val="001250F3"/>
    <w:rsid w:val="0012603C"/>
    <w:rsid w:val="001274BE"/>
    <w:rsid w:val="00131B20"/>
    <w:rsid w:val="00132A34"/>
    <w:rsid w:val="00143C16"/>
    <w:rsid w:val="00145A3B"/>
    <w:rsid w:val="001469A2"/>
    <w:rsid w:val="001474BC"/>
    <w:rsid w:val="001508F8"/>
    <w:rsid w:val="00151749"/>
    <w:rsid w:val="001538FB"/>
    <w:rsid w:val="00153E10"/>
    <w:rsid w:val="0015456A"/>
    <w:rsid w:val="001558D4"/>
    <w:rsid w:val="00157905"/>
    <w:rsid w:val="001618AA"/>
    <w:rsid w:val="00161907"/>
    <w:rsid w:val="00163826"/>
    <w:rsid w:val="00163FC0"/>
    <w:rsid w:val="001672E0"/>
    <w:rsid w:val="00170350"/>
    <w:rsid w:val="00171166"/>
    <w:rsid w:val="0017223A"/>
    <w:rsid w:val="001745AE"/>
    <w:rsid w:val="00174784"/>
    <w:rsid w:val="001759AC"/>
    <w:rsid w:val="001912D9"/>
    <w:rsid w:val="00192317"/>
    <w:rsid w:val="00195FC1"/>
    <w:rsid w:val="001A297B"/>
    <w:rsid w:val="001A3FC1"/>
    <w:rsid w:val="001A48F2"/>
    <w:rsid w:val="001B0227"/>
    <w:rsid w:val="001B16F8"/>
    <w:rsid w:val="001B2865"/>
    <w:rsid w:val="001B3715"/>
    <w:rsid w:val="001B5D18"/>
    <w:rsid w:val="001B7165"/>
    <w:rsid w:val="001C09B7"/>
    <w:rsid w:val="001C0CD3"/>
    <w:rsid w:val="001C229B"/>
    <w:rsid w:val="001C410F"/>
    <w:rsid w:val="001D52E7"/>
    <w:rsid w:val="001D5A7E"/>
    <w:rsid w:val="001E1AC2"/>
    <w:rsid w:val="001E1C41"/>
    <w:rsid w:val="001E2B2F"/>
    <w:rsid w:val="001E2CE3"/>
    <w:rsid w:val="001E3317"/>
    <w:rsid w:val="001E3490"/>
    <w:rsid w:val="001F2649"/>
    <w:rsid w:val="001F3F78"/>
    <w:rsid w:val="001F4717"/>
    <w:rsid w:val="001F5F08"/>
    <w:rsid w:val="001F6BCF"/>
    <w:rsid w:val="001F7D0C"/>
    <w:rsid w:val="00200A47"/>
    <w:rsid w:val="00202215"/>
    <w:rsid w:val="002037A9"/>
    <w:rsid w:val="00204D9F"/>
    <w:rsid w:val="00205CE5"/>
    <w:rsid w:val="00206FC6"/>
    <w:rsid w:val="00212DAE"/>
    <w:rsid w:val="0021436D"/>
    <w:rsid w:val="002178F8"/>
    <w:rsid w:val="00217B2A"/>
    <w:rsid w:val="0022073A"/>
    <w:rsid w:val="00222D8E"/>
    <w:rsid w:val="002249A6"/>
    <w:rsid w:val="00224FFD"/>
    <w:rsid w:val="00226A19"/>
    <w:rsid w:val="00232699"/>
    <w:rsid w:val="002348E8"/>
    <w:rsid w:val="00236A53"/>
    <w:rsid w:val="00240056"/>
    <w:rsid w:val="0024362D"/>
    <w:rsid w:val="00245493"/>
    <w:rsid w:val="00247984"/>
    <w:rsid w:val="002520EF"/>
    <w:rsid w:val="00252BCD"/>
    <w:rsid w:val="002579C4"/>
    <w:rsid w:val="00265770"/>
    <w:rsid w:val="00266CFA"/>
    <w:rsid w:val="00271802"/>
    <w:rsid w:val="00272132"/>
    <w:rsid w:val="002735BB"/>
    <w:rsid w:val="002833C6"/>
    <w:rsid w:val="0029409A"/>
    <w:rsid w:val="002942D5"/>
    <w:rsid w:val="002978BD"/>
    <w:rsid w:val="002A1A19"/>
    <w:rsid w:val="002A2FBB"/>
    <w:rsid w:val="002A44D0"/>
    <w:rsid w:val="002A5DE9"/>
    <w:rsid w:val="002A6721"/>
    <w:rsid w:val="002B1B34"/>
    <w:rsid w:val="002B2B28"/>
    <w:rsid w:val="002B6474"/>
    <w:rsid w:val="002B6ECA"/>
    <w:rsid w:val="002C2374"/>
    <w:rsid w:val="002C368C"/>
    <w:rsid w:val="002C51CA"/>
    <w:rsid w:val="002C52C7"/>
    <w:rsid w:val="002C6FF1"/>
    <w:rsid w:val="002D0096"/>
    <w:rsid w:val="002D033A"/>
    <w:rsid w:val="002D1E0D"/>
    <w:rsid w:val="002D1EE7"/>
    <w:rsid w:val="002D52D4"/>
    <w:rsid w:val="002D6424"/>
    <w:rsid w:val="002D6BA8"/>
    <w:rsid w:val="002D6E3A"/>
    <w:rsid w:val="002E2FC7"/>
    <w:rsid w:val="002E42EF"/>
    <w:rsid w:val="002E4ED1"/>
    <w:rsid w:val="002E7D42"/>
    <w:rsid w:val="002F2970"/>
    <w:rsid w:val="002F2BED"/>
    <w:rsid w:val="002F348B"/>
    <w:rsid w:val="002F4D0C"/>
    <w:rsid w:val="003018A3"/>
    <w:rsid w:val="00306D31"/>
    <w:rsid w:val="003102D0"/>
    <w:rsid w:val="003133E1"/>
    <w:rsid w:val="003149C6"/>
    <w:rsid w:val="00314AFE"/>
    <w:rsid w:val="00322FAB"/>
    <w:rsid w:val="00324774"/>
    <w:rsid w:val="00331857"/>
    <w:rsid w:val="00332F6E"/>
    <w:rsid w:val="00334CBA"/>
    <w:rsid w:val="003358CD"/>
    <w:rsid w:val="00336435"/>
    <w:rsid w:val="00337500"/>
    <w:rsid w:val="00341A97"/>
    <w:rsid w:val="00341E48"/>
    <w:rsid w:val="00342F05"/>
    <w:rsid w:val="0034395E"/>
    <w:rsid w:val="00343A6F"/>
    <w:rsid w:val="00346C47"/>
    <w:rsid w:val="00356AAE"/>
    <w:rsid w:val="003669C7"/>
    <w:rsid w:val="00367B97"/>
    <w:rsid w:val="00374EB2"/>
    <w:rsid w:val="003761AA"/>
    <w:rsid w:val="00381D16"/>
    <w:rsid w:val="00383BC3"/>
    <w:rsid w:val="00387208"/>
    <w:rsid w:val="00391C67"/>
    <w:rsid w:val="0039299A"/>
    <w:rsid w:val="00392C4B"/>
    <w:rsid w:val="00395743"/>
    <w:rsid w:val="00395AF0"/>
    <w:rsid w:val="00395C13"/>
    <w:rsid w:val="00397EFE"/>
    <w:rsid w:val="003A095A"/>
    <w:rsid w:val="003A18C4"/>
    <w:rsid w:val="003A2524"/>
    <w:rsid w:val="003A2573"/>
    <w:rsid w:val="003A45D4"/>
    <w:rsid w:val="003A505B"/>
    <w:rsid w:val="003A5C4D"/>
    <w:rsid w:val="003A6C73"/>
    <w:rsid w:val="003B0A7E"/>
    <w:rsid w:val="003C43D6"/>
    <w:rsid w:val="003C4C00"/>
    <w:rsid w:val="003C6F06"/>
    <w:rsid w:val="003D09E9"/>
    <w:rsid w:val="003D1DCB"/>
    <w:rsid w:val="003D5386"/>
    <w:rsid w:val="003D688A"/>
    <w:rsid w:val="003D7EFB"/>
    <w:rsid w:val="003E0827"/>
    <w:rsid w:val="003E0B69"/>
    <w:rsid w:val="003E14CC"/>
    <w:rsid w:val="003E17D1"/>
    <w:rsid w:val="003E27C7"/>
    <w:rsid w:val="003E422D"/>
    <w:rsid w:val="003E6B7A"/>
    <w:rsid w:val="003F2D4B"/>
    <w:rsid w:val="003F357C"/>
    <w:rsid w:val="003F49F6"/>
    <w:rsid w:val="00400A9C"/>
    <w:rsid w:val="004025A1"/>
    <w:rsid w:val="004026A3"/>
    <w:rsid w:val="004042A0"/>
    <w:rsid w:val="00405C41"/>
    <w:rsid w:val="00410070"/>
    <w:rsid w:val="004113EE"/>
    <w:rsid w:val="00413F6D"/>
    <w:rsid w:val="004169B9"/>
    <w:rsid w:val="00416AEB"/>
    <w:rsid w:val="00422252"/>
    <w:rsid w:val="00422679"/>
    <w:rsid w:val="0043116D"/>
    <w:rsid w:val="00431FAB"/>
    <w:rsid w:val="00432141"/>
    <w:rsid w:val="00432EC1"/>
    <w:rsid w:val="004359E2"/>
    <w:rsid w:val="00436846"/>
    <w:rsid w:val="00441890"/>
    <w:rsid w:val="00441BB6"/>
    <w:rsid w:val="00441BE0"/>
    <w:rsid w:val="00446A4E"/>
    <w:rsid w:val="00446A97"/>
    <w:rsid w:val="00447F86"/>
    <w:rsid w:val="00452B7D"/>
    <w:rsid w:val="00453827"/>
    <w:rsid w:val="00454AFC"/>
    <w:rsid w:val="00460EEB"/>
    <w:rsid w:val="004646D7"/>
    <w:rsid w:val="0046493B"/>
    <w:rsid w:val="00474870"/>
    <w:rsid w:val="004766F4"/>
    <w:rsid w:val="00477BEE"/>
    <w:rsid w:val="00477CCA"/>
    <w:rsid w:val="00482631"/>
    <w:rsid w:val="00483281"/>
    <w:rsid w:val="004833DD"/>
    <w:rsid w:val="00493069"/>
    <w:rsid w:val="00493618"/>
    <w:rsid w:val="0049693D"/>
    <w:rsid w:val="004977E3"/>
    <w:rsid w:val="004A0D50"/>
    <w:rsid w:val="004A1338"/>
    <w:rsid w:val="004A28BB"/>
    <w:rsid w:val="004B1659"/>
    <w:rsid w:val="004B1D42"/>
    <w:rsid w:val="004B4544"/>
    <w:rsid w:val="004B54B8"/>
    <w:rsid w:val="004C0EBF"/>
    <w:rsid w:val="004C259D"/>
    <w:rsid w:val="004D17DB"/>
    <w:rsid w:val="004D18C4"/>
    <w:rsid w:val="004D6A03"/>
    <w:rsid w:val="004D7912"/>
    <w:rsid w:val="004E1042"/>
    <w:rsid w:val="004E4C06"/>
    <w:rsid w:val="004F198A"/>
    <w:rsid w:val="00503EEE"/>
    <w:rsid w:val="005065AA"/>
    <w:rsid w:val="00507138"/>
    <w:rsid w:val="0051648A"/>
    <w:rsid w:val="0051734D"/>
    <w:rsid w:val="005209A8"/>
    <w:rsid w:val="00521CC4"/>
    <w:rsid w:val="005224BE"/>
    <w:rsid w:val="0052538D"/>
    <w:rsid w:val="005304C1"/>
    <w:rsid w:val="00532501"/>
    <w:rsid w:val="0053298D"/>
    <w:rsid w:val="0053373F"/>
    <w:rsid w:val="00533D0C"/>
    <w:rsid w:val="00537795"/>
    <w:rsid w:val="005402F8"/>
    <w:rsid w:val="00542EA4"/>
    <w:rsid w:val="00543C52"/>
    <w:rsid w:val="00544F03"/>
    <w:rsid w:val="00550074"/>
    <w:rsid w:val="00551268"/>
    <w:rsid w:val="0055580C"/>
    <w:rsid w:val="005564A7"/>
    <w:rsid w:val="00556EA7"/>
    <w:rsid w:val="00586966"/>
    <w:rsid w:val="005914B2"/>
    <w:rsid w:val="00596C2F"/>
    <w:rsid w:val="005A2837"/>
    <w:rsid w:val="005A50AC"/>
    <w:rsid w:val="005A55E1"/>
    <w:rsid w:val="005A751A"/>
    <w:rsid w:val="005A7F7E"/>
    <w:rsid w:val="005B1235"/>
    <w:rsid w:val="005B3953"/>
    <w:rsid w:val="005B431D"/>
    <w:rsid w:val="005B48D6"/>
    <w:rsid w:val="005B642B"/>
    <w:rsid w:val="005B78BD"/>
    <w:rsid w:val="005C2040"/>
    <w:rsid w:val="005C394C"/>
    <w:rsid w:val="005C6414"/>
    <w:rsid w:val="005D6812"/>
    <w:rsid w:val="005D6D30"/>
    <w:rsid w:val="005D7B19"/>
    <w:rsid w:val="005E69ED"/>
    <w:rsid w:val="005F13DA"/>
    <w:rsid w:val="005F236B"/>
    <w:rsid w:val="005F3564"/>
    <w:rsid w:val="005F7463"/>
    <w:rsid w:val="00606CA0"/>
    <w:rsid w:val="00607FBF"/>
    <w:rsid w:val="006116EE"/>
    <w:rsid w:val="00611D4D"/>
    <w:rsid w:val="00612EDA"/>
    <w:rsid w:val="00613156"/>
    <w:rsid w:val="00616783"/>
    <w:rsid w:val="00620723"/>
    <w:rsid w:val="00620BD1"/>
    <w:rsid w:val="006210C9"/>
    <w:rsid w:val="00622F2F"/>
    <w:rsid w:val="006240A1"/>
    <w:rsid w:val="00624AE7"/>
    <w:rsid w:val="006254CA"/>
    <w:rsid w:val="006358FB"/>
    <w:rsid w:val="00646A83"/>
    <w:rsid w:val="0065593E"/>
    <w:rsid w:val="00656F5E"/>
    <w:rsid w:val="006577C9"/>
    <w:rsid w:val="00662131"/>
    <w:rsid w:val="00662594"/>
    <w:rsid w:val="006674E9"/>
    <w:rsid w:val="00667A35"/>
    <w:rsid w:val="006715E7"/>
    <w:rsid w:val="006752F1"/>
    <w:rsid w:val="006755B7"/>
    <w:rsid w:val="00680857"/>
    <w:rsid w:val="00681D01"/>
    <w:rsid w:val="00681FBE"/>
    <w:rsid w:val="006835AC"/>
    <w:rsid w:val="00683880"/>
    <w:rsid w:val="006855DC"/>
    <w:rsid w:val="00686765"/>
    <w:rsid w:val="0069134A"/>
    <w:rsid w:val="00691A7C"/>
    <w:rsid w:val="00694D73"/>
    <w:rsid w:val="006964D9"/>
    <w:rsid w:val="00697ECD"/>
    <w:rsid w:val="00697F97"/>
    <w:rsid w:val="006A0472"/>
    <w:rsid w:val="006A1EC3"/>
    <w:rsid w:val="006A279C"/>
    <w:rsid w:val="006A507F"/>
    <w:rsid w:val="006A76FD"/>
    <w:rsid w:val="006A7AC9"/>
    <w:rsid w:val="006B51F1"/>
    <w:rsid w:val="006B5551"/>
    <w:rsid w:val="006C4320"/>
    <w:rsid w:val="006C5171"/>
    <w:rsid w:val="006C7276"/>
    <w:rsid w:val="006D3EF5"/>
    <w:rsid w:val="006D401B"/>
    <w:rsid w:val="006D4CEE"/>
    <w:rsid w:val="006E13F1"/>
    <w:rsid w:val="006E35C7"/>
    <w:rsid w:val="006E4323"/>
    <w:rsid w:val="006E5177"/>
    <w:rsid w:val="006E733D"/>
    <w:rsid w:val="006F1AD2"/>
    <w:rsid w:val="006F4C33"/>
    <w:rsid w:val="006F6C88"/>
    <w:rsid w:val="006F70C8"/>
    <w:rsid w:val="00702C91"/>
    <w:rsid w:val="00704390"/>
    <w:rsid w:val="0070770B"/>
    <w:rsid w:val="0071024A"/>
    <w:rsid w:val="007113B2"/>
    <w:rsid w:val="007114B5"/>
    <w:rsid w:val="00712728"/>
    <w:rsid w:val="00713A45"/>
    <w:rsid w:val="0072139B"/>
    <w:rsid w:val="00723DA6"/>
    <w:rsid w:val="00724D7B"/>
    <w:rsid w:val="00731044"/>
    <w:rsid w:val="0073604D"/>
    <w:rsid w:val="007366E1"/>
    <w:rsid w:val="00736ACB"/>
    <w:rsid w:val="00745929"/>
    <w:rsid w:val="00747F7F"/>
    <w:rsid w:val="00752104"/>
    <w:rsid w:val="00753E8E"/>
    <w:rsid w:val="0075611E"/>
    <w:rsid w:val="00756A55"/>
    <w:rsid w:val="00757D51"/>
    <w:rsid w:val="007642CC"/>
    <w:rsid w:val="00765B16"/>
    <w:rsid w:val="00766561"/>
    <w:rsid w:val="00766F0A"/>
    <w:rsid w:val="007712C7"/>
    <w:rsid w:val="00773090"/>
    <w:rsid w:val="007775A6"/>
    <w:rsid w:val="00777BA8"/>
    <w:rsid w:val="007851D9"/>
    <w:rsid w:val="007878D2"/>
    <w:rsid w:val="007915B9"/>
    <w:rsid w:val="00792380"/>
    <w:rsid w:val="0079633C"/>
    <w:rsid w:val="0079658F"/>
    <w:rsid w:val="007A041E"/>
    <w:rsid w:val="007A0D95"/>
    <w:rsid w:val="007A1987"/>
    <w:rsid w:val="007A1C28"/>
    <w:rsid w:val="007A2BEA"/>
    <w:rsid w:val="007A3FF7"/>
    <w:rsid w:val="007C17E9"/>
    <w:rsid w:val="007C2C9A"/>
    <w:rsid w:val="007C52F2"/>
    <w:rsid w:val="007C6710"/>
    <w:rsid w:val="007C72F1"/>
    <w:rsid w:val="007D0597"/>
    <w:rsid w:val="007D319D"/>
    <w:rsid w:val="007E05B2"/>
    <w:rsid w:val="007E2127"/>
    <w:rsid w:val="007E51F0"/>
    <w:rsid w:val="007E7F03"/>
    <w:rsid w:val="007F1880"/>
    <w:rsid w:val="007F24AF"/>
    <w:rsid w:val="007F41C6"/>
    <w:rsid w:val="007F587B"/>
    <w:rsid w:val="007F61CB"/>
    <w:rsid w:val="007F691F"/>
    <w:rsid w:val="00802FCF"/>
    <w:rsid w:val="0080476A"/>
    <w:rsid w:val="0080539A"/>
    <w:rsid w:val="0080677A"/>
    <w:rsid w:val="00806B2D"/>
    <w:rsid w:val="00813834"/>
    <w:rsid w:val="008177C8"/>
    <w:rsid w:val="008226B7"/>
    <w:rsid w:val="00822B1B"/>
    <w:rsid w:val="00823B45"/>
    <w:rsid w:val="00826575"/>
    <w:rsid w:val="00826884"/>
    <w:rsid w:val="00831FE1"/>
    <w:rsid w:val="00833A60"/>
    <w:rsid w:val="00836080"/>
    <w:rsid w:val="008372C4"/>
    <w:rsid w:val="008423CF"/>
    <w:rsid w:val="00842655"/>
    <w:rsid w:val="00850AD2"/>
    <w:rsid w:val="00852D27"/>
    <w:rsid w:val="00854260"/>
    <w:rsid w:val="00857AC5"/>
    <w:rsid w:val="0086355E"/>
    <w:rsid w:val="00864CB0"/>
    <w:rsid w:val="00866CED"/>
    <w:rsid w:val="008708F3"/>
    <w:rsid w:val="00870B34"/>
    <w:rsid w:val="0087478A"/>
    <w:rsid w:val="00875AEB"/>
    <w:rsid w:val="008805DB"/>
    <w:rsid w:val="0088294A"/>
    <w:rsid w:val="0088294C"/>
    <w:rsid w:val="00883296"/>
    <w:rsid w:val="00886308"/>
    <w:rsid w:val="008864DA"/>
    <w:rsid w:val="00887682"/>
    <w:rsid w:val="0089147F"/>
    <w:rsid w:val="008924ED"/>
    <w:rsid w:val="00893C9B"/>
    <w:rsid w:val="00896057"/>
    <w:rsid w:val="00897DC7"/>
    <w:rsid w:val="008A10D6"/>
    <w:rsid w:val="008A14AC"/>
    <w:rsid w:val="008A152E"/>
    <w:rsid w:val="008A1C1C"/>
    <w:rsid w:val="008A3AFA"/>
    <w:rsid w:val="008B2D35"/>
    <w:rsid w:val="008B45D8"/>
    <w:rsid w:val="008B68BB"/>
    <w:rsid w:val="008C1F0D"/>
    <w:rsid w:val="008C2518"/>
    <w:rsid w:val="008C2FC2"/>
    <w:rsid w:val="008C362C"/>
    <w:rsid w:val="008C3C5A"/>
    <w:rsid w:val="008C5CA5"/>
    <w:rsid w:val="008C7B16"/>
    <w:rsid w:val="008D0FAA"/>
    <w:rsid w:val="008D3C37"/>
    <w:rsid w:val="008D5390"/>
    <w:rsid w:val="008E2F39"/>
    <w:rsid w:val="008E5159"/>
    <w:rsid w:val="008E5630"/>
    <w:rsid w:val="008E7507"/>
    <w:rsid w:val="008E7F2C"/>
    <w:rsid w:val="008F1778"/>
    <w:rsid w:val="00900174"/>
    <w:rsid w:val="009021FA"/>
    <w:rsid w:val="00904403"/>
    <w:rsid w:val="009052EF"/>
    <w:rsid w:val="00910DF2"/>
    <w:rsid w:val="00911818"/>
    <w:rsid w:val="00912019"/>
    <w:rsid w:val="00914AF6"/>
    <w:rsid w:val="00915965"/>
    <w:rsid w:val="00916DC7"/>
    <w:rsid w:val="00917D27"/>
    <w:rsid w:val="00922F80"/>
    <w:rsid w:val="00927E16"/>
    <w:rsid w:val="009308EB"/>
    <w:rsid w:val="00931E3A"/>
    <w:rsid w:val="00936BAD"/>
    <w:rsid w:val="009370DB"/>
    <w:rsid w:val="009373A2"/>
    <w:rsid w:val="0094049D"/>
    <w:rsid w:val="00940816"/>
    <w:rsid w:val="00943A58"/>
    <w:rsid w:val="0095198C"/>
    <w:rsid w:val="00952821"/>
    <w:rsid w:val="00952D09"/>
    <w:rsid w:val="0095788C"/>
    <w:rsid w:val="009635FC"/>
    <w:rsid w:val="00970977"/>
    <w:rsid w:val="00970CB1"/>
    <w:rsid w:val="0097710D"/>
    <w:rsid w:val="00980A77"/>
    <w:rsid w:val="00987B9A"/>
    <w:rsid w:val="009931A2"/>
    <w:rsid w:val="00994D36"/>
    <w:rsid w:val="00995D2E"/>
    <w:rsid w:val="00996750"/>
    <w:rsid w:val="00996885"/>
    <w:rsid w:val="009A0D7B"/>
    <w:rsid w:val="009A439E"/>
    <w:rsid w:val="009A488F"/>
    <w:rsid w:val="009A4FCE"/>
    <w:rsid w:val="009A5E58"/>
    <w:rsid w:val="009B0F19"/>
    <w:rsid w:val="009B22BD"/>
    <w:rsid w:val="009B28F8"/>
    <w:rsid w:val="009B2F28"/>
    <w:rsid w:val="009C2154"/>
    <w:rsid w:val="009C34C0"/>
    <w:rsid w:val="009C6DF9"/>
    <w:rsid w:val="009C6EB3"/>
    <w:rsid w:val="009C7F04"/>
    <w:rsid w:val="009D0E27"/>
    <w:rsid w:val="009D2D6C"/>
    <w:rsid w:val="009D3633"/>
    <w:rsid w:val="009D3E15"/>
    <w:rsid w:val="009D6FE4"/>
    <w:rsid w:val="009E07A7"/>
    <w:rsid w:val="009E0A4B"/>
    <w:rsid w:val="009E1B3C"/>
    <w:rsid w:val="009E1F37"/>
    <w:rsid w:val="009E2A9E"/>
    <w:rsid w:val="009E36DC"/>
    <w:rsid w:val="009E4116"/>
    <w:rsid w:val="009E5D54"/>
    <w:rsid w:val="009F2728"/>
    <w:rsid w:val="009F2E48"/>
    <w:rsid w:val="009F303C"/>
    <w:rsid w:val="009F4E19"/>
    <w:rsid w:val="009F7486"/>
    <w:rsid w:val="009F7A00"/>
    <w:rsid w:val="00A0015E"/>
    <w:rsid w:val="00A00814"/>
    <w:rsid w:val="00A04C5A"/>
    <w:rsid w:val="00A060F0"/>
    <w:rsid w:val="00A06196"/>
    <w:rsid w:val="00A06750"/>
    <w:rsid w:val="00A10AC4"/>
    <w:rsid w:val="00A1205F"/>
    <w:rsid w:val="00A21E20"/>
    <w:rsid w:val="00A23035"/>
    <w:rsid w:val="00A23F99"/>
    <w:rsid w:val="00A32935"/>
    <w:rsid w:val="00A338C2"/>
    <w:rsid w:val="00A34E49"/>
    <w:rsid w:val="00A351D4"/>
    <w:rsid w:val="00A37226"/>
    <w:rsid w:val="00A418B9"/>
    <w:rsid w:val="00A436E5"/>
    <w:rsid w:val="00A44613"/>
    <w:rsid w:val="00A459FD"/>
    <w:rsid w:val="00A462C6"/>
    <w:rsid w:val="00A4686B"/>
    <w:rsid w:val="00A53558"/>
    <w:rsid w:val="00A5362F"/>
    <w:rsid w:val="00A5399A"/>
    <w:rsid w:val="00A5409C"/>
    <w:rsid w:val="00A55087"/>
    <w:rsid w:val="00A576A4"/>
    <w:rsid w:val="00A576CC"/>
    <w:rsid w:val="00A60509"/>
    <w:rsid w:val="00A60D19"/>
    <w:rsid w:val="00A62FE0"/>
    <w:rsid w:val="00A63042"/>
    <w:rsid w:val="00A6568F"/>
    <w:rsid w:val="00A6787F"/>
    <w:rsid w:val="00A67BE4"/>
    <w:rsid w:val="00A74BE3"/>
    <w:rsid w:val="00A75276"/>
    <w:rsid w:val="00A75675"/>
    <w:rsid w:val="00A856DF"/>
    <w:rsid w:val="00A86297"/>
    <w:rsid w:val="00A86448"/>
    <w:rsid w:val="00A86E75"/>
    <w:rsid w:val="00A90855"/>
    <w:rsid w:val="00A91381"/>
    <w:rsid w:val="00A97B34"/>
    <w:rsid w:val="00AA0B85"/>
    <w:rsid w:val="00AA36BF"/>
    <w:rsid w:val="00AA3D06"/>
    <w:rsid w:val="00AA41F6"/>
    <w:rsid w:val="00AB5D19"/>
    <w:rsid w:val="00AC1955"/>
    <w:rsid w:val="00AC3866"/>
    <w:rsid w:val="00AC47DA"/>
    <w:rsid w:val="00AC4B25"/>
    <w:rsid w:val="00AC5029"/>
    <w:rsid w:val="00AD00F1"/>
    <w:rsid w:val="00AE5940"/>
    <w:rsid w:val="00AE797A"/>
    <w:rsid w:val="00AF70BF"/>
    <w:rsid w:val="00B14264"/>
    <w:rsid w:val="00B256E0"/>
    <w:rsid w:val="00B272A0"/>
    <w:rsid w:val="00B32376"/>
    <w:rsid w:val="00B33E93"/>
    <w:rsid w:val="00B3472A"/>
    <w:rsid w:val="00B36615"/>
    <w:rsid w:val="00B428CE"/>
    <w:rsid w:val="00B44104"/>
    <w:rsid w:val="00B45350"/>
    <w:rsid w:val="00B4758B"/>
    <w:rsid w:val="00B50687"/>
    <w:rsid w:val="00B52914"/>
    <w:rsid w:val="00B569BF"/>
    <w:rsid w:val="00B621B9"/>
    <w:rsid w:val="00B624FF"/>
    <w:rsid w:val="00B632A8"/>
    <w:rsid w:val="00B64DFB"/>
    <w:rsid w:val="00B67BBE"/>
    <w:rsid w:val="00B725E5"/>
    <w:rsid w:val="00B72832"/>
    <w:rsid w:val="00B73BD1"/>
    <w:rsid w:val="00B8230E"/>
    <w:rsid w:val="00B82885"/>
    <w:rsid w:val="00B863DE"/>
    <w:rsid w:val="00B869A8"/>
    <w:rsid w:val="00B875F9"/>
    <w:rsid w:val="00B91A28"/>
    <w:rsid w:val="00B92592"/>
    <w:rsid w:val="00B934EC"/>
    <w:rsid w:val="00B94CDC"/>
    <w:rsid w:val="00B966D2"/>
    <w:rsid w:val="00B96794"/>
    <w:rsid w:val="00B97669"/>
    <w:rsid w:val="00BA26C3"/>
    <w:rsid w:val="00BA5418"/>
    <w:rsid w:val="00BB0E99"/>
    <w:rsid w:val="00BB1C05"/>
    <w:rsid w:val="00BB2432"/>
    <w:rsid w:val="00BB2657"/>
    <w:rsid w:val="00BB6B4B"/>
    <w:rsid w:val="00BC5D32"/>
    <w:rsid w:val="00BD0067"/>
    <w:rsid w:val="00BD29A8"/>
    <w:rsid w:val="00BD30AD"/>
    <w:rsid w:val="00BD4E62"/>
    <w:rsid w:val="00BD793F"/>
    <w:rsid w:val="00BE1783"/>
    <w:rsid w:val="00BE294C"/>
    <w:rsid w:val="00BE4932"/>
    <w:rsid w:val="00BF16D6"/>
    <w:rsid w:val="00BF2161"/>
    <w:rsid w:val="00BF7BA2"/>
    <w:rsid w:val="00C000D7"/>
    <w:rsid w:val="00C02692"/>
    <w:rsid w:val="00C0278C"/>
    <w:rsid w:val="00C10C4F"/>
    <w:rsid w:val="00C121E2"/>
    <w:rsid w:val="00C122C8"/>
    <w:rsid w:val="00C12872"/>
    <w:rsid w:val="00C13308"/>
    <w:rsid w:val="00C15183"/>
    <w:rsid w:val="00C15C81"/>
    <w:rsid w:val="00C15F15"/>
    <w:rsid w:val="00C16C33"/>
    <w:rsid w:val="00C16DBB"/>
    <w:rsid w:val="00C21EBC"/>
    <w:rsid w:val="00C23DB8"/>
    <w:rsid w:val="00C26992"/>
    <w:rsid w:val="00C27146"/>
    <w:rsid w:val="00C31D5C"/>
    <w:rsid w:val="00C33166"/>
    <w:rsid w:val="00C34261"/>
    <w:rsid w:val="00C34264"/>
    <w:rsid w:val="00C357C9"/>
    <w:rsid w:val="00C37F0C"/>
    <w:rsid w:val="00C42264"/>
    <w:rsid w:val="00C461C9"/>
    <w:rsid w:val="00C462C6"/>
    <w:rsid w:val="00C50BD6"/>
    <w:rsid w:val="00C520E4"/>
    <w:rsid w:val="00C5420A"/>
    <w:rsid w:val="00C552DF"/>
    <w:rsid w:val="00C61E77"/>
    <w:rsid w:val="00C628CD"/>
    <w:rsid w:val="00C62E69"/>
    <w:rsid w:val="00C67441"/>
    <w:rsid w:val="00C70667"/>
    <w:rsid w:val="00C71651"/>
    <w:rsid w:val="00C71ACF"/>
    <w:rsid w:val="00C71B60"/>
    <w:rsid w:val="00C73094"/>
    <w:rsid w:val="00C73829"/>
    <w:rsid w:val="00C73FE6"/>
    <w:rsid w:val="00C76236"/>
    <w:rsid w:val="00C76CDE"/>
    <w:rsid w:val="00C83CAC"/>
    <w:rsid w:val="00C87913"/>
    <w:rsid w:val="00C90A99"/>
    <w:rsid w:val="00C90C88"/>
    <w:rsid w:val="00C94AED"/>
    <w:rsid w:val="00CA2E77"/>
    <w:rsid w:val="00CB1801"/>
    <w:rsid w:val="00CB2116"/>
    <w:rsid w:val="00CB2826"/>
    <w:rsid w:val="00CB2881"/>
    <w:rsid w:val="00CB3149"/>
    <w:rsid w:val="00CB60DF"/>
    <w:rsid w:val="00CD098E"/>
    <w:rsid w:val="00CD1794"/>
    <w:rsid w:val="00CD3367"/>
    <w:rsid w:val="00CD3A0B"/>
    <w:rsid w:val="00CD47EF"/>
    <w:rsid w:val="00CE040A"/>
    <w:rsid w:val="00CE2CCB"/>
    <w:rsid w:val="00CE3BC8"/>
    <w:rsid w:val="00CE53B1"/>
    <w:rsid w:val="00CE7961"/>
    <w:rsid w:val="00CF0DFD"/>
    <w:rsid w:val="00CF2540"/>
    <w:rsid w:val="00CF3356"/>
    <w:rsid w:val="00CF69A7"/>
    <w:rsid w:val="00D04F1B"/>
    <w:rsid w:val="00D0571D"/>
    <w:rsid w:val="00D0782A"/>
    <w:rsid w:val="00D12935"/>
    <w:rsid w:val="00D15766"/>
    <w:rsid w:val="00D15812"/>
    <w:rsid w:val="00D1693A"/>
    <w:rsid w:val="00D17252"/>
    <w:rsid w:val="00D21A77"/>
    <w:rsid w:val="00D23DD3"/>
    <w:rsid w:val="00D248F1"/>
    <w:rsid w:val="00D262B1"/>
    <w:rsid w:val="00D30C44"/>
    <w:rsid w:val="00D31E43"/>
    <w:rsid w:val="00D335C7"/>
    <w:rsid w:val="00D3442D"/>
    <w:rsid w:val="00D355CC"/>
    <w:rsid w:val="00D44EC9"/>
    <w:rsid w:val="00D476AD"/>
    <w:rsid w:val="00D53C1E"/>
    <w:rsid w:val="00D55210"/>
    <w:rsid w:val="00D56F0A"/>
    <w:rsid w:val="00D57211"/>
    <w:rsid w:val="00D60597"/>
    <w:rsid w:val="00D61D1F"/>
    <w:rsid w:val="00D61F79"/>
    <w:rsid w:val="00D62B58"/>
    <w:rsid w:val="00D65905"/>
    <w:rsid w:val="00D66787"/>
    <w:rsid w:val="00D67AEE"/>
    <w:rsid w:val="00D73188"/>
    <w:rsid w:val="00D75AAA"/>
    <w:rsid w:val="00D7600D"/>
    <w:rsid w:val="00D811F3"/>
    <w:rsid w:val="00D81649"/>
    <w:rsid w:val="00D86F60"/>
    <w:rsid w:val="00D870EC"/>
    <w:rsid w:val="00D90540"/>
    <w:rsid w:val="00D93AD4"/>
    <w:rsid w:val="00D96845"/>
    <w:rsid w:val="00D96E2E"/>
    <w:rsid w:val="00D977A2"/>
    <w:rsid w:val="00DA076D"/>
    <w:rsid w:val="00DA4F98"/>
    <w:rsid w:val="00DA5D46"/>
    <w:rsid w:val="00DA6CC2"/>
    <w:rsid w:val="00DA778C"/>
    <w:rsid w:val="00DB1D1D"/>
    <w:rsid w:val="00DB6C48"/>
    <w:rsid w:val="00DC0655"/>
    <w:rsid w:val="00DC1E57"/>
    <w:rsid w:val="00DC4DA4"/>
    <w:rsid w:val="00DC5F71"/>
    <w:rsid w:val="00DC62E6"/>
    <w:rsid w:val="00DC6D56"/>
    <w:rsid w:val="00DC6F17"/>
    <w:rsid w:val="00DC752D"/>
    <w:rsid w:val="00DD47C6"/>
    <w:rsid w:val="00DD4D33"/>
    <w:rsid w:val="00DD4D87"/>
    <w:rsid w:val="00DD7D8D"/>
    <w:rsid w:val="00DE0375"/>
    <w:rsid w:val="00DE5ED9"/>
    <w:rsid w:val="00DF0C28"/>
    <w:rsid w:val="00DF239A"/>
    <w:rsid w:val="00DF3244"/>
    <w:rsid w:val="00DF3D36"/>
    <w:rsid w:val="00DF3E6D"/>
    <w:rsid w:val="00DF5AFA"/>
    <w:rsid w:val="00DF61C9"/>
    <w:rsid w:val="00DF7174"/>
    <w:rsid w:val="00DF77FF"/>
    <w:rsid w:val="00E00657"/>
    <w:rsid w:val="00E01BA5"/>
    <w:rsid w:val="00E02B42"/>
    <w:rsid w:val="00E03590"/>
    <w:rsid w:val="00E03FE4"/>
    <w:rsid w:val="00E07723"/>
    <w:rsid w:val="00E133FA"/>
    <w:rsid w:val="00E27BD2"/>
    <w:rsid w:val="00E317A3"/>
    <w:rsid w:val="00E3651C"/>
    <w:rsid w:val="00E40CD3"/>
    <w:rsid w:val="00E418C2"/>
    <w:rsid w:val="00E45DAD"/>
    <w:rsid w:val="00E47B25"/>
    <w:rsid w:val="00E50971"/>
    <w:rsid w:val="00E51510"/>
    <w:rsid w:val="00E51C1C"/>
    <w:rsid w:val="00E52440"/>
    <w:rsid w:val="00E56B5F"/>
    <w:rsid w:val="00E64D96"/>
    <w:rsid w:val="00E65B97"/>
    <w:rsid w:val="00E6696E"/>
    <w:rsid w:val="00E67AA9"/>
    <w:rsid w:val="00E7079B"/>
    <w:rsid w:val="00EA000A"/>
    <w:rsid w:val="00EA1A47"/>
    <w:rsid w:val="00EA410F"/>
    <w:rsid w:val="00EA4147"/>
    <w:rsid w:val="00EA4814"/>
    <w:rsid w:val="00EB0BC6"/>
    <w:rsid w:val="00EB1282"/>
    <w:rsid w:val="00EB3BCC"/>
    <w:rsid w:val="00EB58BF"/>
    <w:rsid w:val="00EB7AEA"/>
    <w:rsid w:val="00EC0AB0"/>
    <w:rsid w:val="00EC121E"/>
    <w:rsid w:val="00EC4647"/>
    <w:rsid w:val="00EC4B32"/>
    <w:rsid w:val="00EC5679"/>
    <w:rsid w:val="00ED3F6D"/>
    <w:rsid w:val="00ED77C4"/>
    <w:rsid w:val="00EE09B7"/>
    <w:rsid w:val="00EE22F0"/>
    <w:rsid w:val="00EE5129"/>
    <w:rsid w:val="00EE5DD0"/>
    <w:rsid w:val="00EF3A97"/>
    <w:rsid w:val="00EF45D5"/>
    <w:rsid w:val="00F05567"/>
    <w:rsid w:val="00F12426"/>
    <w:rsid w:val="00F12D7B"/>
    <w:rsid w:val="00F15555"/>
    <w:rsid w:val="00F20688"/>
    <w:rsid w:val="00F224C1"/>
    <w:rsid w:val="00F3217D"/>
    <w:rsid w:val="00F34C35"/>
    <w:rsid w:val="00F421C4"/>
    <w:rsid w:val="00F4743A"/>
    <w:rsid w:val="00F4753B"/>
    <w:rsid w:val="00F51527"/>
    <w:rsid w:val="00F55744"/>
    <w:rsid w:val="00F56EA0"/>
    <w:rsid w:val="00F56F16"/>
    <w:rsid w:val="00F603E4"/>
    <w:rsid w:val="00F60EF2"/>
    <w:rsid w:val="00F61009"/>
    <w:rsid w:val="00F63823"/>
    <w:rsid w:val="00F6432E"/>
    <w:rsid w:val="00F662CD"/>
    <w:rsid w:val="00F67003"/>
    <w:rsid w:val="00F7023A"/>
    <w:rsid w:val="00F74D60"/>
    <w:rsid w:val="00F7570F"/>
    <w:rsid w:val="00F769C1"/>
    <w:rsid w:val="00F76ADC"/>
    <w:rsid w:val="00F860CA"/>
    <w:rsid w:val="00F8707E"/>
    <w:rsid w:val="00F9098F"/>
    <w:rsid w:val="00F940A3"/>
    <w:rsid w:val="00FA3FF2"/>
    <w:rsid w:val="00FB030A"/>
    <w:rsid w:val="00FB1690"/>
    <w:rsid w:val="00FB1D92"/>
    <w:rsid w:val="00FB2795"/>
    <w:rsid w:val="00FB7BE6"/>
    <w:rsid w:val="00FC0A0D"/>
    <w:rsid w:val="00FC26CF"/>
    <w:rsid w:val="00FC5378"/>
    <w:rsid w:val="00FD0E98"/>
    <w:rsid w:val="00FD0EEA"/>
    <w:rsid w:val="00FE26A1"/>
    <w:rsid w:val="00FE28AF"/>
    <w:rsid w:val="00FE53A6"/>
    <w:rsid w:val="00FE542C"/>
    <w:rsid w:val="00FF104F"/>
    <w:rsid w:val="00FF29A6"/>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1CAA64EF"/>
  <w15:chartTrackingRefBased/>
  <w15:docId w15:val="{020BEE05-F32A-458F-A0CB-E778FF2B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3B4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914"/>
    <w:rPr>
      <w:rFonts w:ascii="Tahoma" w:hAnsi="Tahoma" w:cs="Tahoma"/>
      <w:sz w:val="16"/>
      <w:szCs w:val="16"/>
    </w:rPr>
  </w:style>
  <w:style w:type="character" w:customStyle="1" w:styleId="BalloonTextChar">
    <w:name w:val="Balloon Text Char"/>
    <w:link w:val="BalloonText"/>
    <w:uiPriority w:val="99"/>
    <w:semiHidden/>
    <w:rsid w:val="00B52914"/>
    <w:rPr>
      <w:rFonts w:ascii="Tahoma" w:hAnsi="Tahoma" w:cs="Tahoma"/>
      <w:sz w:val="16"/>
      <w:szCs w:val="16"/>
    </w:rPr>
  </w:style>
  <w:style w:type="character" w:styleId="CommentReference">
    <w:name w:val="annotation reference"/>
    <w:uiPriority w:val="99"/>
    <w:semiHidden/>
    <w:unhideWhenUsed/>
    <w:rsid w:val="00C357C9"/>
    <w:rPr>
      <w:sz w:val="16"/>
      <w:szCs w:val="16"/>
    </w:rPr>
  </w:style>
  <w:style w:type="paragraph" w:styleId="CommentText">
    <w:name w:val="annotation text"/>
    <w:basedOn w:val="Normal"/>
    <w:link w:val="CommentTextChar"/>
    <w:uiPriority w:val="99"/>
    <w:semiHidden/>
    <w:unhideWhenUsed/>
    <w:rsid w:val="00C357C9"/>
    <w:rPr>
      <w:sz w:val="20"/>
      <w:szCs w:val="20"/>
    </w:rPr>
  </w:style>
  <w:style w:type="character" w:customStyle="1" w:styleId="CommentTextChar">
    <w:name w:val="Comment Text Char"/>
    <w:link w:val="CommentText"/>
    <w:uiPriority w:val="99"/>
    <w:semiHidden/>
    <w:rsid w:val="00C357C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7C9"/>
    <w:rPr>
      <w:b/>
      <w:bCs/>
    </w:rPr>
  </w:style>
  <w:style w:type="character" w:customStyle="1" w:styleId="CommentSubjectChar">
    <w:name w:val="Comment Subject Char"/>
    <w:link w:val="CommentSubject"/>
    <w:uiPriority w:val="99"/>
    <w:semiHidden/>
    <w:rsid w:val="00C357C9"/>
    <w:rPr>
      <w:rFonts w:ascii="Calibri" w:hAnsi="Calibri" w:cs="Times New Roman"/>
      <w:b/>
      <w:bCs/>
      <w:sz w:val="20"/>
      <w:szCs w:val="20"/>
    </w:rPr>
  </w:style>
  <w:style w:type="paragraph" w:styleId="ListParagraph">
    <w:name w:val="List Paragraph"/>
    <w:basedOn w:val="Normal"/>
    <w:uiPriority w:val="34"/>
    <w:qFormat/>
    <w:rsid w:val="00EA000A"/>
    <w:pPr>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1 Char,Footnote Text Char1,Footnote Text Char Char,f,fn,fn Char Char,ft"/>
    <w:basedOn w:val="Normal"/>
    <w:link w:val="FootnoteTextChar"/>
    <w:unhideWhenUsed/>
    <w:rsid w:val="00EA000A"/>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1 Char Char,Footnote Text Char1 Char1,f Char"/>
    <w:link w:val="FootnoteText"/>
    <w:uiPriority w:val="99"/>
    <w:rsid w:val="00EA000A"/>
    <w:rPr>
      <w:rFonts w:ascii="Calibri" w:hAnsi="Calibri" w:cs="Times New Roman"/>
      <w:sz w:val="20"/>
      <w:szCs w:val="20"/>
    </w:rPr>
  </w:style>
  <w:style w:type="character" w:styleId="FootnoteReference">
    <w:name w:val="footnote reference"/>
    <w:aliases w:val="o,fr,Style 3,o1,o2,o3,o4,o5,o6,o11,o21,o7,Style 13,Style 12,Style 15,Style 17,Style 9,fr1,fr2,fr3,Style 18,(NECG) Footnote Reference,Style 20,Style 7,Style 8,Style 19,Style 5,Styl,Style 28,Style 11,Style 16"/>
    <w:unhideWhenUsed/>
    <w:rsid w:val="00EA000A"/>
    <w:rPr>
      <w:vertAlign w:val="superscript"/>
    </w:rPr>
  </w:style>
  <w:style w:type="character" w:styleId="Hyperlink">
    <w:name w:val="Hyperlink"/>
    <w:uiPriority w:val="99"/>
    <w:unhideWhenUsed/>
    <w:rsid w:val="00F15555"/>
    <w:rPr>
      <w:color w:val="0000FF"/>
      <w:u w:val="single"/>
    </w:rPr>
  </w:style>
  <w:style w:type="paragraph" w:styleId="Header">
    <w:name w:val="header"/>
    <w:basedOn w:val="Normal"/>
    <w:link w:val="HeaderChar"/>
    <w:uiPriority w:val="99"/>
    <w:unhideWhenUsed/>
    <w:rsid w:val="00C000D7"/>
    <w:pPr>
      <w:tabs>
        <w:tab w:val="center" w:pos="4680"/>
        <w:tab w:val="right" w:pos="9360"/>
      </w:tabs>
    </w:pPr>
  </w:style>
  <w:style w:type="character" w:customStyle="1" w:styleId="HeaderChar">
    <w:name w:val="Header Char"/>
    <w:link w:val="Header"/>
    <w:uiPriority w:val="99"/>
    <w:rsid w:val="00C000D7"/>
    <w:rPr>
      <w:rFonts w:ascii="Calibri" w:hAnsi="Calibri" w:cs="Times New Roman"/>
    </w:rPr>
  </w:style>
  <w:style w:type="paragraph" w:styleId="Footer">
    <w:name w:val="footer"/>
    <w:basedOn w:val="Normal"/>
    <w:link w:val="FooterChar"/>
    <w:uiPriority w:val="99"/>
    <w:unhideWhenUsed/>
    <w:rsid w:val="00C000D7"/>
    <w:pPr>
      <w:tabs>
        <w:tab w:val="center" w:pos="4680"/>
        <w:tab w:val="right" w:pos="9360"/>
      </w:tabs>
    </w:pPr>
  </w:style>
  <w:style w:type="character" w:customStyle="1" w:styleId="FooterChar">
    <w:name w:val="Footer Char"/>
    <w:link w:val="Footer"/>
    <w:uiPriority w:val="99"/>
    <w:rsid w:val="00C000D7"/>
    <w:rPr>
      <w:rFonts w:ascii="Calibri" w:hAnsi="Calibri" w:cs="Times New Roman"/>
    </w:rPr>
  </w:style>
  <w:style w:type="paragraph" w:styleId="Revision">
    <w:name w:val="Revision"/>
    <w:hidden/>
    <w:uiPriority w:val="99"/>
    <w:semiHidden/>
    <w:rsid w:val="00A04C5A"/>
    <w:rPr>
      <w:sz w:val="22"/>
      <w:szCs w:val="22"/>
    </w:rPr>
  </w:style>
  <w:style w:type="paragraph" w:customStyle="1" w:styleId="Card">
    <w:name w:val="Card"/>
    <w:basedOn w:val="Normal"/>
    <w:rsid w:val="00482631"/>
    <w:pPr>
      <w:spacing w:line="180" w:lineRule="exact"/>
      <w:ind w:right="115"/>
      <w:jc w:val="right"/>
    </w:pPr>
    <w:rPr>
      <w:rFonts w:ascii="Times New Roman" w:eastAsia="Times New Roman" w:hAnsi="Times New Roman"/>
      <w:sz w:val="14"/>
      <w:szCs w:val="20"/>
    </w:rPr>
  </w:style>
  <w:style w:type="table" w:styleId="TableGrid">
    <w:name w:val="Table Grid"/>
    <w:basedOn w:val="TableNormal"/>
    <w:uiPriority w:val="59"/>
    <w:rsid w:val="004B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2603C"/>
    <w:rPr>
      <w:color w:val="800080"/>
      <w:u w:val="single"/>
    </w:rPr>
  </w:style>
  <w:style w:type="paragraph" w:customStyle="1" w:styleId="TableParagraph">
    <w:name w:val="Table Paragraph"/>
    <w:basedOn w:val="Normal"/>
    <w:uiPriority w:val="1"/>
    <w:qFormat/>
    <w:rsid w:val="00FC26CF"/>
    <w:pPr>
      <w:widowControl w:val="0"/>
    </w:pPr>
  </w:style>
  <w:style w:type="character" w:styleId="UnresolvedMention">
    <w:name w:val="Unresolved Mention"/>
    <w:uiPriority w:val="99"/>
    <w:semiHidden/>
    <w:unhideWhenUsed/>
    <w:rsid w:val="00DA4F98"/>
    <w:rPr>
      <w:color w:val="605E5C"/>
      <w:shd w:val="clear" w:color="auto" w:fill="E1DFDD"/>
    </w:rPr>
  </w:style>
  <w:style w:type="character" w:customStyle="1" w:styleId="normaltextrun1">
    <w:name w:val="normaltextrun1"/>
    <w:rsid w:val="001F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4078">
      <w:bodyDiv w:val="1"/>
      <w:marLeft w:val="0"/>
      <w:marRight w:val="0"/>
      <w:marTop w:val="0"/>
      <w:marBottom w:val="0"/>
      <w:divBdr>
        <w:top w:val="none" w:sz="0" w:space="0" w:color="auto"/>
        <w:left w:val="none" w:sz="0" w:space="0" w:color="auto"/>
        <w:bottom w:val="none" w:sz="0" w:space="0" w:color="auto"/>
        <w:right w:val="none" w:sz="0" w:space="0" w:color="auto"/>
      </w:divBdr>
    </w:div>
    <w:div w:id="117381049">
      <w:bodyDiv w:val="1"/>
      <w:marLeft w:val="0"/>
      <w:marRight w:val="0"/>
      <w:marTop w:val="0"/>
      <w:marBottom w:val="0"/>
      <w:divBdr>
        <w:top w:val="none" w:sz="0" w:space="0" w:color="auto"/>
        <w:left w:val="none" w:sz="0" w:space="0" w:color="auto"/>
        <w:bottom w:val="none" w:sz="0" w:space="0" w:color="auto"/>
        <w:right w:val="none" w:sz="0" w:space="0" w:color="auto"/>
      </w:divBdr>
    </w:div>
    <w:div w:id="132913299">
      <w:bodyDiv w:val="1"/>
      <w:marLeft w:val="0"/>
      <w:marRight w:val="0"/>
      <w:marTop w:val="0"/>
      <w:marBottom w:val="0"/>
      <w:divBdr>
        <w:top w:val="none" w:sz="0" w:space="0" w:color="auto"/>
        <w:left w:val="none" w:sz="0" w:space="0" w:color="auto"/>
        <w:bottom w:val="none" w:sz="0" w:space="0" w:color="auto"/>
        <w:right w:val="none" w:sz="0" w:space="0" w:color="auto"/>
      </w:divBdr>
    </w:div>
    <w:div w:id="173687930">
      <w:bodyDiv w:val="1"/>
      <w:marLeft w:val="0"/>
      <w:marRight w:val="0"/>
      <w:marTop w:val="0"/>
      <w:marBottom w:val="0"/>
      <w:divBdr>
        <w:top w:val="none" w:sz="0" w:space="0" w:color="auto"/>
        <w:left w:val="none" w:sz="0" w:space="0" w:color="auto"/>
        <w:bottom w:val="none" w:sz="0" w:space="0" w:color="auto"/>
        <w:right w:val="none" w:sz="0" w:space="0" w:color="auto"/>
      </w:divBdr>
    </w:div>
    <w:div w:id="191694130">
      <w:bodyDiv w:val="1"/>
      <w:marLeft w:val="0"/>
      <w:marRight w:val="0"/>
      <w:marTop w:val="0"/>
      <w:marBottom w:val="0"/>
      <w:divBdr>
        <w:top w:val="none" w:sz="0" w:space="0" w:color="auto"/>
        <w:left w:val="none" w:sz="0" w:space="0" w:color="auto"/>
        <w:bottom w:val="none" w:sz="0" w:space="0" w:color="auto"/>
        <w:right w:val="none" w:sz="0" w:space="0" w:color="auto"/>
      </w:divBdr>
    </w:div>
    <w:div w:id="279190197">
      <w:bodyDiv w:val="1"/>
      <w:marLeft w:val="0"/>
      <w:marRight w:val="0"/>
      <w:marTop w:val="0"/>
      <w:marBottom w:val="0"/>
      <w:divBdr>
        <w:top w:val="none" w:sz="0" w:space="0" w:color="auto"/>
        <w:left w:val="none" w:sz="0" w:space="0" w:color="auto"/>
        <w:bottom w:val="none" w:sz="0" w:space="0" w:color="auto"/>
        <w:right w:val="none" w:sz="0" w:space="0" w:color="auto"/>
      </w:divBdr>
    </w:div>
    <w:div w:id="315109252">
      <w:bodyDiv w:val="1"/>
      <w:marLeft w:val="0"/>
      <w:marRight w:val="0"/>
      <w:marTop w:val="0"/>
      <w:marBottom w:val="0"/>
      <w:divBdr>
        <w:top w:val="none" w:sz="0" w:space="0" w:color="auto"/>
        <w:left w:val="none" w:sz="0" w:space="0" w:color="auto"/>
        <w:bottom w:val="none" w:sz="0" w:space="0" w:color="auto"/>
        <w:right w:val="none" w:sz="0" w:space="0" w:color="auto"/>
      </w:divBdr>
    </w:div>
    <w:div w:id="331640211">
      <w:bodyDiv w:val="1"/>
      <w:marLeft w:val="0"/>
      <w:marRight w:val="0"/>
      <w:marTop w:val="0"/>
      <w:marBottom w:val="0"/>
      <w:divBdr>
        <w:top w:val="none" w:sz="0" w:space="0" w:color="auto"/>
        <w:left w:val="none" w:sz="0" w:space="0" w:color="auto"/>
        <w:bottom w:val="none" w:sz="0" w:space="0" w:color="auto"/>
        <w:right w:val="none" w:sz="0" w:space="0" w:color="auto"/>
      </w:divBdr>
    </w:div>
    <w:div w:id="337464705">
      <w:bodyDiv w:val="1"/>
      <w:marLeft w:val="0"/>
      <w:marRight w:val="0"/>
      <w:marTop w:val="0"/>
      <w:marBottom w:val="0"/>
      <w:divBdr>
        <w:top w:val="none" w:sz="0" w:space="0" w:color="auto"/>
        <w:left w:val="none" w:sz="0" w:space="0" w:color="auto"/>
        <w:bottom w:val="none" w:sz="0" w:space="0" w:color="auto"/>
        <w:right w:val="none" w:sz="0" w:space="0" w:color="auto"/>
      </w:divBdr>
    </w:div>
    <w:div w:id="358747933">
      <w:bodyDiv w:val="1"/>
      <w:marLeft w:val="0"/>
      <w:marRight w:val="0"/>
      <w:marTop w:val="0"/>
      <w:marBottom w:val="0"/>
      <w:divBdr>
        <w:top w:val="none" w:sz="0" w:space="0" w:color="auto"/>
        <w:left w:val="none" w:sz="0" w:space="0" w:color="auto"/>
        <w:bottom w:val="none" w:sz="0" w:space="0" w:color="auto"/>
        <w:right w:val="none" w:sz="0" w:space="0" w:color="auto"/>
      </w:divBdr>
    </w:div>
    <w:div w:id="386146630">
      <w:bodyDiv w:val="1"/>
      <w:marLeft w:val="0"/>
      <w:marRight w:val="0"/>
      <w:marTop w:val="0"/>
      <w:marBottom w:val="0"/>
      <w:divBdr>
        <w:top w:val="none" w:sz="0" w:space="0" w:color="auto"/>
        <w:left w:val="none" w:sz="0" w:space="0" w:color="auto"/>
        <w:bottom w:val="none" w:sz="0" w:space="0" w:color="auto"/>
        <w:right w:val="none" w:sz="0" w:space="0" w:color="auto"/>
      </w:divBdr>
    </w:div>
    <w:div w:id="415828419">
      <w:bodyDiv w:val="1"/>
      <w:marLeft w:val="0"/>
      <w:marRight w:val="0"/>
      <w:marTop w:val="0"/>
      <w:marBottom w:val="0"/>
      <w:divBdr>
        <w:top w:val="none" w:sz="0" w:space="0" w:color="auto"/>
        <w:left w:val="none" w:sz="0" w:space="0" w:color="auto"/>
        <w:bottom w:val="none" w:sz="0" w:space="0" w:color="auto"/>
        <w:right w:val="none" w:sz="0" w:space="0" w:color="auto"/>
      </w:divBdr>
    </w:div>
    <w:div w:id="465899849">
      <w:bodyDiv w:val="1"/>
      <w:marLeft w:val="0"/>
      <w:marRight w:val="0"/>
      <w:marTop w:val="0"/>
      <w:marBottom w:val="0"/>
      <w:divBdr>
        <w:top w:val="none" w:sz="0" w:space="0" w:color="auto"/>
        <w:left w:val="none" w:sz="0" w:space="0" w:color="auto"/>
        <w:bottom w:val="none" w:sz="0" w:space="0" w:color="auto"/>
        <w:right w:val="none" w:sz="0" w:space="0" w:color="auto"/>
      </w:divBdr>
    </w:div>
    <w:div w:id="547688990">
      <w:bodyDiv w:val="1"/>
      <w:marLeft w:val="0"/>
      <w:marRight w:val="0"/>
      <w:marTop w:val="0"/>
      <w:marBottom w:val="0"/>
      <w:divBdr>
        <w:top w:val="none" w:sz="0" w:space="0" w:color="auto"/>
        <w:left w:val="none" w:sz="0" w:space="0" w:color="auto"/>
        <w:bottom w:val="none" w:sz="0" w:space="0" w:color="auto"/>
        <w:right w:val="none" w:sz="0" w:space="0" w:color="auto"/>
      </w:divBdr>
    </w:div>
    <w:div w:id="551356457">
      <w:bodyDiv w:val="1"/>
      <w:marLeft w:val="0"/>
      <w:marRight w:val="0"/>
      <w:marTop w:val="0"/>
      <w:marBottom w:val="0"/>
      <w:divBdr>
        <w:top w:val="none" w:sz="0" w:space="0" w:color="auto"/>
        <w:left w:val="none" w:sz="0" w:space="0" w:color="auto"/>
        <w:bottom w:val="none" w:sz="0" w:space="0" w:color="auto"/>
        <w:right w:val="none" w:sz="0" w:space="0" w:color="auto"/>
      </w:divBdr>
    </w:div>
    <w:div w:id="561793279">
      <w:bodyDiv w:val="1"/>
      <w:marLeft w:val="0"/>
      <w:marRight w:val="0"/>
      <w:marTop w:val="0"/>
      <w:marBottom w:val="0"/>
      <w:divBdr>
        <w:top w:val="none" w:sz="0" w:space="0" w:color="auto"/>
        <w:left w:val="none" w:sz="0" w:space="0" w:color="auto"/>
        <w:bottom w:val="none" w:sz="0" w:space="0" w:color="auto"/>
        <w:right w:val="none" w:sz="0" w:space="0" w:color="auto"/>
      </w:divBdr>
    </w:div>
    <w:div w:id="571047167">
      <w:bodyDiv w:val="1"/>
      <w:marLeft w:val="0"/>
      <w:marRight w:val="0"/>
      <w:marTop w:val="0"/>
      <w:marBottom w:val="0"/>
      <w:divBdr>
        <w:top w:val="none" w:sz="0" w:space="0" w:color="auto"/>
        <w:left w:val="none" w:sz="0" w:space="0" w:color="auto"/>
        <w:bottom w:val="none" w:sz="0" w:space="0" w:color="auto"/>
        <w:right w:val="none" w:sz="0" w:space="0" w:color="auto"/>
      </w:divBdr>
    </w:div>
    <w:div w:id="594821624">
      <w:bodyDiv w:val="1"/>
      <w:marLeft w:val="0"/>
      <w:marRight w:val="0"/>
      <w:marTop w:val="0"/>
      <w:marBottom w:val="0"/>
      <w:divBdr>
        <w:top w:val="none" w:sz="0" w:space="0" w:color="auto"/>
        <w:left w:val="none" w:sz="0" w:space="0" w:color="auto"/>
        <w:bottom w:val="none" w:sz="0" w:space="0" w:color="auto"/>
        <w:right w:val="none" w:sz="0" w:space="0" w:color="auto"/>
      </w:divBdr>
    </w:div>
    <w:div w:id="600070287">
      <w:bodyDiv w:val="1"/>
      <w:marLeft w:val="0"/>
      <w:marRight w:val="0"/>
      <w:marTop w:val="0"/>
      <w:marBottom w:val="0"/>
      <w:divBdr>
        <w:top w:val="none" w:sz="0" w:space="0" w:color="auto"/>
        <w:left w:val="none" w:sz="0" w:space="0" w:color="auto"/>
        <w:bottom w:val="none" w:sz="0" w:space="0" w:color="auto"/>
        <w:right w:val="none" w:sz="0" w:space="0" w:color="auto"/>
      </w:divBdr>
    </w:div>
    <w:div w:id="619730004">
      <w:bodyDiv w:val="1"/>
      <w:marLeft w:val="0"/>
      <w:marRight w:val="0"/>
      <w:marTop w:val="0"/>
      <w:marBottom w:val="0"/>
      <w:divBdr>
        <w:top w:val="none" w:sz="0" w:space="0" w:color="auto"/>
        <w:left w:val="none" w:sz="0" w:space="0" w:color="auto"/>
        <w:bottom w:val="none" w:sz="0" w:space="0" w:color="auto"/>
        <w:right w:val="none" w:sz="0" w:space="0" w:color="auto"/>
      </w:divBdr>
    </w:div>
    <w:div w:id="662050876">
      <w:bodyDiv w:val="1"/>
      <w:marLeft w:val="0"/>
      <w:marRight w:val="0"/>
      <w:marTop w:val="0"/>
      <w:marBottom w:val="0"/>
      <w:divBdr>
        <w:top w:val="none" w:sz="0" w:space="0" w:color="auto"/>
        <w:left w:val="none" w:sz="0" w:space="0" w:color="auto"/>
        <w:bottom w:val="none" w:sz="0" w:space="0" w:color="auto"/>
        <w:right w:val="none" w:sz="0" w:space="0" w:color="auto"/>
      </w:divBdr>
    </w:div>
    <w:div w:id="678702479">
      <w:bodyDiv w:val="1"/>
      <w:marLeft w:val="0"/>
      <w:marRight w:val="0"/>
      <w:marTop w:val="0"/>
      <w:marBottom w:val="0"/>
      <w:divBdr>
        <w:top w:val="none" w:sz="0" w:space="0" w:color="auto"/>
        <w:left w:val="none" w:sz="0" w:space="0" w:color="auto"/>
        <w:bottom w:val="none" w:sz="0" w:space="0" w:color="auto"/>
        <w:right w:val="none" w:sz="0" w:space="0" w:color="auto"/>
      </w:divBdr>
    </w:div>
    <w:div w:id="732970129">
      <w:bodyDiv w:val="1"/>
      <w:marLeft w:val="0"/>
      <w:marRight w:val="0"/>
      <w:marTop w:val="0"/>
      <w:marBottom w:val="0"/>
      <w:divBdr>
        <w:top w:val="none" w:sz="0" w:space="0" w:color="auto"/>
        <w:left w:val="none" w:sz="0" w:space="0" w:color="auto"/>
        <w:bottom w:val="none" w:sz="0" w:space="0" w:color="auto"/>
        <w:right w:val="none" w:sz="0" w:space="0" w:color="auto"/>
      </w:divBdr>
    </w:div>
    <w:div w:id="790517705">
      <w:bodyDiv w:val="1"/>
      <w:marLeft w:val="0"/>
      <w:marRight w:val="0"/>
      <w:marTop w:val="0"/>
      <w:marBottom w:val="0"/>
      <w:divBdr>
        <w:top w:val="none" w:sz="0" w:space="0" w:color="auto"/>
        <w:left w:val="none" w:sz="0" w:space="0" w:color="auto"/>
        <w:bottom w:val="none" w:sz="0" w:space="0" w:color="auto"/>
        <w:right w:val="none" w:sz="0" w:space="0" w:color="auto"/>
      </w:divBdr>
    </w:div>
    <w:div w:id="792946909">
      <w:bodyDiv w:val="1"/>
      <w:marLeft w:val="0"/>
      <w:marRight w:val="0"/>
      <w:marTop w:val="0"/>
      <w:marBottom w:val="0"/>
      <w:divBdr>
        <w:top w:val="none" w:sz="0" w:space="0" w:color="auto"/>
        <w:left w:val="none" w:sz="0" w:space="0" w:color="auto"/>
        <w:bottom w:val="none" w:sz="0" w:space="0" w:color="auto"/>
        <w:right w:val="none" w:sz="0" w:space="0" w:color="auto"/>
      </w:divBdr>
    </w:div>
    <w:div w:id="813370493">
      <w:bodyDiv w:val="1"/>
      <w:marLeft w:val="0"/>
      <w:marRight w:val="0"/>
      <w:marTop w:val="0"/>
      <w:marBottom w:val="0"/>
      <w:divBdr>
        <w:top w:val="none" w:sz="0" w:space="0" w:color="auto"/>
        <w:left w:val="none" w:sz="0" w:space="0" w:color="auto"/>
        <w:bottom w:val="none" w:sz="0" w:space="0" w:color="auto"/>
        <w:right w:val="none" w:sz="0" w:space="0" w:color="auto"/>
      </w:divBdr>
    </w:div>
    <w:div w:id="822812376">
      <w:bodyDiv w:val="1"/>
      <w:marLeft w:val="0"/>
      <w:marRight w:val="0"/>
      <w:marTop w:val="0"/>
      <w:marBottom w:val="0"/>
      <w:divBdr>
        <w:top w:val="none" w:sz="0" w:space="0" w:color="auto"/>
        <w:left w:val="none" w:sz="0" w:space="0" w:color="auto"/>
        <w:bottom w:val="none" w:sz="0" w:space="0" w:color="auto"/>
        <w:right w:val="none" w:sz="0" w:space="0" w:color="auto"/>
      </w:divBdr>
    </w:div>
    <w:div w:id="823667583">
      <w:bodyDiv w:val="1"/>
      <w:marLeft w:val="0"/>
      <w:marRight w:val="0"/>
      <w:marTop w:val="0"/>
      <w:marBottom w:val="0"/>
      <w:divBdr>
        <w:top w:val="none" w:sz="0" w:space="0" w:color="auto"/>
        <w:left w:val="none" w:sz="0" w:space="0" w:color="auto"/>
        <w:bottom w:val="none" w:sz="0" w:space="0" w:color="auto"/>
        <w:right w:val="none" w:sz="0" w:space="0" w:color="auto"/>
      </w:divBdr>
    </w:div>
    <w:div w:id="829324428">
      <w:bodyDiv w:val="1"/>
      <w:marLeft w:val="0"/>
      <w:marRight w:val="0"/>
      <w:marTop w:val="0"/>
      <w:marBottom w:val="0"/>
      <w:divBdr>
        <w:top w:val="none" w:sz="0" w:space="0" w:color="auto"/>
        <w:left w:val="none" w:sz="0" w:space="0" w:color="auto"/>
        <w:bottom w:val="none" w:sz="0" w:space="0" w:color="auto"/>
        <w:right w:val="none" w:sz="0" w:space="0" w:color="auto"/>
      </w:divBdr>
    </w:div>
    <w:div w:id="854153211">
      <w:bodyDiv w:val="1"/>
      <w:marLeft w:val="0"/>
      <w:marRight w:val="0"/>
      <w:marTop w:val="0"/>
      <w:marBottom w:val="0"/>
      <w:divBdr>
        <w:top w:val="none" w:sz="0" w:space="0" w:color="auto"/>
        <w:left w:val="none" w:sz="0" w:space="0" w:color="auto"/>
        <w:bottom w:val="none" w:sz="0" w:space="0" w:color="auto"/>
        <w:right w:val="none" w:sz="0" w:space="0" w:color="auto"/>
      </w:divBdr>
    </w:div>
    <w:div w:id="864950205">
      <w:bodyDiv w:val="1"/>
      <w:marLeft w:val="0"/>
      <w:marRight w:val="0"/>
      <w:marTop w:val="0"/>
      <w:marBottom w:val="0"/>
      <w:divBdr>
        <w:top w:val="none" w:sz="0" w:space="0" w:color="auto"/>
        <w:left w:val="none" w:sz="0" w:space="0" w:color="auto"/>
        <w:bottom w:val="none" w:sz="0" w:space="0" w:color="auto"/>
        <w:right w:val="none" w:sz="0" w:space="0" w:color="auto"/>
      </w:divBdr>
    </w:div>
    <w:div w:id="877475083">
      <w:bodyDiv w:val="1"/>
      <w:marLeft w:val="0"/>
      <w:marRight w:val="0"/>
      <w:marTop w:val="0"/>
      <w:marBottom w:val="0"/>
      <w:divBdr>
        <w:top w:val="none" w:sz="0" w:space="0" w:color="auto"/>
        <w:left w:val="none" w:sz="0" w:space="0" w:color="auto"/>
        <w:bottom w:val="none" w:sz="0" w:space="0" w:color="auto"/>
        <w:right w:val="none" w:sz="0" w:space="0" w:color="auto"/>
      </w:divBdr>
      <w:divsChild>
        <w:div w:id="491915269">
          <w:marLeft w:val="1166"/>
          <w:marRight w:val="0"/>
          <w:marTop w:val="125"/>
          <w:marBottom w:val="0"/>
          <w:divBdr>
            <w:top w:val="none" w:sz="0" w:space="0" w:color="auto"/>
            <w:left w:val="none" w:sz="0" w:space="0" w:color="auto"/>
            <w:bottom w:val="none" w:sz="0" w:space="0" w:color="auto"/>
            <w:right w:val="none" w:sz="0" w:space="0" w:color="auto"/>
          </w:divBdr>
        </w:div>
      </w:divsChild>
    </w:div>
    <w:div w:id="901524972">
      <w:bodyDiv w:val="1"/>
      <w:marLeft w:val="0"/>
      <w:marRight w:val="0"/>
      <w:marTop w:val="0"/>
      <w:marBottom w:val="0"/>
      <w:divBdr>
        <w:top w:val="none" w:sz="0" w:space="0" w:color="auto"/>
        <w:left w:val="none" w:sz="0" w:space="0" w:color="auto"/>
        <w:bottom w:val="none" w:sz="0" w:space="0" w:color="auto"/>
        <w:right w:val="none" w:sz="0" w:space="0" w:color="auto"/>
      </w:divBdr>
    </w:div>
    <w:div w:id="908151579">
      <w:bodyDiv w:val="1"/>
      <w:marLeft w:val="0"/>
      <w:marRight w:val="0"/>
      <w:marTop w:val="0"/>
      <w:marBottom w:val="0"/>
      <w:divBdr>
        <w:top w:val="none" w:sz="0" w:space="0" w:color="auto"/>
        <w:left w:val="none" w:sz="0" w:space="0" w:color="auto"/>
        <w:bottom w:val="none" w:sz="0" w:space="0" w:color="auto"/>
        <w:right w:val="none" w:sz="0" w:space="0" w:color="auto"/>
      </w:divBdr>
    </w:div>
    <w:div w:id="937638481">
      <w:bodyDiv w:val="1"/>
      <w:marLeft w:val="0"/>
      <w:marRight w:val="0"/>
      <w:marTop w:val="0"/>
      <w:marBottom w:val="0"/>
      <w:divBdr>
        <w:top w:val="none" w:sz="0" w:space="0" w:color="auto"/>
        <w:left w:val="none" w:sz="0" w:space="0" w:color="auto"/>
        <w:bottom w:val="none" w:sz="0" w:space="0" w:color="auto"/>
        <w:right w:val="none" w:sz="0" w:space="0" w:color="auto"/>
      </w:divBdr>
    </w:div>
    <w:div w:id="963734878">
      <w:bodyDiv w:val="1"/>
      <w:marLeft w:val="0"/>
      <w:marRight w:val="0"/>
      <w:marTop w:val="0"/>
      <w:marBottom w:val="0"/>
      <w:divBdr>
        <w:top w:val="none" w:sz="0" w:space="0" w:color="auto"/>
        <w:left w:val="none" w:sz="0" w:space="0" w:color="auto"/>
        <w:bottom w:val="none" w:sz="0" w:space="0" w:color="auto"/>
        <w:right w:val="none" w:sz="0" w:space="0" w:color="auto"/>
      </w:divBdr>
    </w:div>
    <w:div w:id="1016619519">
      <w:bodyDiv w:val="1"/>
      <w:marLeft w:val="0"/>
      <w:marRight w:val="0"/>
      <w:marTop w:val="0"/>
      <w:marBottom w:val="0"/>
      <w:divBdr>
        <w:top w:val="none" w:sz="0" w:space="0" w:color="auto"/>
        <w:left w:val="none" w:sz="0" w:space="0" w:color="auto"/>
        <w:bottom w:val="none" w:sz="0" w:space="0" w:color="auto"/>
        <w:right w:val="none" w:sz="0" w:space="0" w:color="auto"/>
      </w:divBdr>
    </w:div>
    <w:div w:id="1021396089">
      <w:bodyDiv w:val="1"/>
      <w:marLeft w:val="0"/>
      <w:marRight w:val="0"/>
      <w:marTop w:val="0"/>
      <w:marBottom w:val="0"/>
      <w:divBdr>
        <w:top w:val="none" w:sz="0" w:space="0" w:color="auto"/>
        <w:left w:val="none" w:sz="0" w:space="0" w:color="auto"/>
        <w:bottom w:val="none" w:sz="0" w:space="0" w:color="auto"/>
        <w:right w:val="none" w:sz="0" w:space="0" w:color="auto"/>
      </w:divBdr>
    </w:div>
    <w:div w:id="1043864616">
      <w:bodyDiv w:val="1"/>
      <w:marLeft w:val="0"/>
      <w:marRight w:val="0"/>
      <w:marTop w:val="0"/>
      <w:marBottom w:val="0"/>
      <w:divBdr>
        <w:top w:val="none" w:sz="0" w:space="0" w:color="auto"/>
        <w:left w:val="none" w:sz="0" w:space="0" w:color="auto"/>
        <w:bottom w:val="none" w:sz="0" w:space="0" w:color="auto"/>
        <w:right w:val="none" w:sz="0" w:space="0" w:color="auto"/>
      </w:divBdr>
    </w:div>
    <w:div w:id="1186092426">
      <w:bodyDiv w:val="1"/>
      <w:marLeft w:val="0"/>
      <w:marRight w:val="0"/>
      <w:marTop w:val="0"/>
      <w:marBottom w:val="0"/>
      <w:divBdr>
        <w:top w:val="none" w:sz="0" w:space="0" w:color="auto"/>
        <w:left w:val="none" w:sz="0" w:space="0" w:color="auto"/>
        <w:bottom w:val="none" w:sz="0" w:space="0" w:color="auto"/>
        <w:right w:val="none" w:sz="0" w:space="0" w:color="auto"/>
      </w:divBdr>
    </w:div>
    <w:div w:id="1239167279">
      <w:bodyDiv w:val="1"/>
      <w:marLeft w:val="0"/>
      <w:marRight w:val="0"/>
      <w:marTop w:val="0"/>
      <w:marBottom w:val="0"/>
      <w:divBdr>
        <w:top w:val="none" w:sz="0" w:space="0" w:color="auto"/>
        <w:left w:val="none" w:sz="0" w:space="0" w:color="auto"/>
        <w:bottom w:val="none" w:sz="0" w:space="0" w:color="auto"/>
        <w:right w:val="none" w:sz="0" w:space="0" w:color="auto"/>
      </w:divBdr>
      <w:divsChild>
        <w:div w:id="705302120">
          <w:marLeft w:val="0"/>
          <w:marRight w:val="0"/>
          <w:marTop w:val="0"/>
          <w:marBottom w:val="0"/>
          <w:divBdr>
            <w:top w:val="none" w:sz="0" w:space="0" w:color="auto"/>
            <w:left w:val="none" w:sz="0" w:space="0" w:color="auto"/>
            <w:bottom w:val="none" w:sz="0" w:space="0" w:color="auto"/>
            <w:right w:val="none" w:sz="0" w:space="0" w:color="auto"/>
          </w:divBdr>
        </w:div>
      </w:divsChild>
    </w:div>
    <w:div w:id="1251040045">
      <w:bodyDiv w:val="1"/>
      <w:marLeft w:val="0"/>
      <w:marRight w:val="0"/>
      <w:marTop w:val="0"/>
      <w:marBottom w:val="0"/>
      <w:divBdr>
        <w:top w:val="none" w:sz="0" w:space="0" w:color="auto"/>
        <w:left w:val="none" w:sz="0" w:space="0" w:color="auto"/>
        <w:bottom w:val="none" w:sz="0" w:space="0" w:color="auto"/>
        <w:right w:val="none" w:sz="0" w:space="0" w:color="auto"/>
      </w:divBdr>
    </w:div>
    <w:div w:id="1348603755">
      <w:bodyDiv w:val="1"/>
      <w:marLeft w:val="0"/>
      <w:marRight w:val="0"/>
      <w:marTop w:val="0"/>
      <w:marBottom w:val="0"/>
      <w:divBdr>
        <w:top w:val="none" w:sz="0" w:space="0" w:color="auto"/>
        <w:left w:val="none" w:sz="0" w:space="0" w:color="auto"/>
        <w:bottom w:val="none" w:sz="0" w:space="0" w:color="auto"/>
        <w:right w:val="none" w:sz="0" w:space="0" w:color="auto"/>
      </w:divBdr>
    </w:div>
    <w:div w:id="1370298649">
      <w:bodyDiv w:val="1"/>
      <w:marLeft w:val="0"/>
      <w:marRight w:val="0"/>
      <w:marTop w:val="0"/>
      <w:marBottom w:val="0"/>
      <w:divBdr>
        <w:top w:val="none" w:sz="0" w:space="0" w:color="auto"/>
        <w:left w:val="none" w:sz="0" w:space="0" w:color="auto"/>
        <w:bottom w:val="none" w:sz="0" w:space="0" w:color="auto"/>
        <w:right w:val="none" w:sz="0" w:space="0" w:color="auto"/>
      </w:divBdr>
    </w:div>
    <w:div w:id="1391004913">
      <w:bodyDiv w:val="1"/>
      <w:marLeft w:val="0"/>
      <w:marRight w:val="0"/>
      <w:marTop w:val="0"/>
      <w:marBottom w:val="0"/>
      <w:divBdr>
        <w:top w:val="none" w:sz="0" w:space="0" w:color="auto"/>
        <w:left w:val="none" w:sz="0" w:space="0" w:color="auto"/>
        <w:bottom w:val="none" w:sz="0" w:space="0" w:color="auto"/>
        <w:right w:val="none" w:sz="0" w:space="0" w:color="auto"/>
      </w:divBdr>
    </w:div>
    <w:div w:id="1396970527">
      <w:bodyDiv w:val="1"/>
      <w:marLeft w:val="0"/>
      <w:marRight w:val="0"/>
      <w:marTop w:val="0"/>
      <w:marBottom w:val="0"/>
      <w:divBdr>
        <w:top w:val="none" w:sz="0" w:space="0" w:color="auto"/>
        <w:left w:val="none" w:sz="0" w:space="0" w:color="auto"/>
        <w:bottom w:val="none" w:sz="0" w:space="0" w:color="auto"/>
        <w:right w:val="none" w:sz="0" w:space="0" w:color="auto"/>
      </w:divBdr>
    </w:div>
    <w:div w:id="1425879253">
      <w:bodyDiv w:val="1"/>
      <w:marLeft w:val="0"/>
      <w:marRight w:val="0"/>
      <w:marTop w:val="0"/>
      <w:marBottom w:val="0"/>
      <w:divBdr>
        <w:top w:val="none" w:sz="0" w:space="0" w:color="auto"/>
        <w:left w:val="none" w:sz="0" w:space="0" w:color="auto"/>
        <w:bottom w:val="none" w:sz="0" w:space="0" w:color="auto"/>
        <w:right w:val="none" w:sz="0" w:space="0" w:color="auto"/>
      </w:divBdr>
    </w:div>
    <w:div w:id="1431003429">
      <w:bodyDiv w:val="1"/>
      <w:marLeft w:val="0"/>
      <w:marRight w:val="0"/>
      <w:marTop w:val="0"/>
      <w:marBottom w:val="0"/>
      <w:divBdr>
        <w:top w:val="none" w:sz="0" w:space="0" w:color="auto"/>
        <w:left w:val="none" w:sz="0" w:space="0" w:color="auto"/>
        <w:bottom w:val="none" w:sz="0" w:space="0" w:color="auto"/>
        <w:right w:val="none" w:sz="0" w:space="0" w:color="auto"/>
      </w:divBdr>
    </w:div>
    <w:div w:id="1450052252">
      <w:bodyDiv w:val="1"/>
      <w:marLeft w:val="0"/>
      <w:marRight w:val="0"/>
      <w:marTop w:val="0"/>
      <w:marBottom w:val="0"/>
      <w:divBdr>
        <w:top w:val="none" w:sz="0" w:space="0" w:color="auto"/>
        <w:left w:val="none" w:sz="0" w:space="0" w:color="auto"/>
        <w:bottom w:val="none" w:sz="0" w:space="0" w:color="auto"/>
        <w:right w:val="none" w:sz="0" w:space="0" w:color="auto"/>
      </w:divBdr>
    </w:div>
    <w:div w:id="1493370469">
      <w:bodyDiv w:val="1"/>
      <w:marLeft w:val="0"/>
      <w:marRight w:val="0"/>
      <w:marTop w:val="0"/>
      <w:marBottom w:val="0"/>
      <w:divBdr>
        <w:top w:val="none" w:sz="0" w:space="0" w:color="auto"/>
        <w:left w:val="none" w:sz="0" w:space="0" w:color="auto"/>
        <w:bottom w:val="none" w:sz="0" w:space="0" w:color="auto"/>
        <w:right w:val="none" w:sz="0" w:space="0" w:color="auto"/>
      </w:divBdr>
    </w:div>
    <w:div w:id="1527253254">
      <w:bodyDiv w:val="1"/>
      <w:marLeft w:val="0"/>
      <w:marRight w:val="0"/>
      <w:marTop w:val="0"/>
      <w:marBottom w:val="0"/>
      <w:divBdr>
        <w:top w:val="none" w:sz="0" w:space="0" w:color="auto"/>
        <w:left w:val="none" w:sz="0" w:space="0" w:color="auto"/>
        <w:bottom w:val="none" w:sz="0" w:space="0" w:color="auto"/>
        <w:right w:val="none" w:sz="0" w:space="0" w:color="auto"/>
      </w:divBdr>
    </w:div>
    <w:div w:id="1528711332">
      <w:bodyDiv w:val="1"/>
      <w:marLeft w:val="0"/>
      <w:marRight w:val="0"/>
      <w:marTop w:val="0"/>
      <w:marBottom w:val="0"/>
      <w:divBdr>
        <w:top w:val="none" w:sz="0" w:space="0" w:color="auto"/>
        <w:left w:val="none" w:sz="0" w:space="0" w:color="auto"/>
        <w:bottom w:val="none" w:sz="0" w:space="0" w:color="auto"/>
        <w:right w:val="none" w:sz="0" w:space="0" w:color="auto"/>
      </w:divBdr>
    </w:div>
    <w:div w:id="1547789655">
      <w:bodyDiv w:val="1"/>
      <w:marLeft w:val="0"/>
      <w:marRight w:val="0"/>
      <w:marTop w:val="0"/>
      <w:marBottom w:val="0"/>
      <w:divBdr>
        <w:top w:val="none" w:sz="0" w:space="0" w:color="auto"/>
        <w:left w:val="none" w:sz="0" w:space="0" w:color="auto"/>
        <w:bottom w:val="none" w:sz="0" w:space="0" w:color="auto"/>
        <w:right w:val="none" w:sz="0" w:space="0" w:color="auto"/>
      </w:divBdr>
    </w:div>
    <w:div w:id="1551379022">
      <w:bodyDiv w:val="1"/>
      <w:marLeft w:val="0"/>
      <w:marRight w:val="0"/>
      <w:marTop w:val="0"/>
      <w:marBottom w:val="0"/>
      <w:divBdr>
        <w:top w:val="none" w:sz="0" w:space="0" w:color="auto"/>
        <w:left w:val="none" w:sz="0" w:space="0" w:color="auto"/>
        <w:bottom w:val="none" w:sz="0" w:space="0" w:color="auto"/>
        <w:right w:val="none" w:sz="0" w:space="0" w:color="auto"/>
      </w:divBdr>
    </w:div>
    <w:div w:id="1582135778">
      <w:bodyDiv w:val="1"/>
      <w:marLeft w:val="0"/>
      <w:marRight w:val="0"/>
      <w:marTop w:val="0"/>
      <w:marBottom w:val="0"/>
      <w:divBdr>
        <w:top w:val="none" w:sz="0" w:space="0" w:color="auto"/>
        <w:left w:val="none" w:sz="0" w:space="0" w:color="auto"/>
        <w:bottom w:val="none" w:sz="0" w:space="0" w:color="auto"/>
        <w:right w:val="none" w:sz="0" w:space="0" w:color="auto"/>
      </w:divBdr>
    </w:div>
    <w:div w:id="1612324596">
      <w:bodyDiv w:val="1"/>
      <w:marLeft w:val="0"/>
      <w:marRight w:val="0"/>
      <w:marTop w:val="0"/>
      <w:marBottom w:val="0"/>
      <w:divBdr>
        <w:top w:val="none" w:sz="0" w:space="0" w:color="auto"/>
        <w:left w:val="none" w:sz="0" w:space="0" w:color="auto"/>
        <w:bottom w:val="none" w:sz="0" w:space="0" w:color="auto"/>
        <w:right w:val="none" w:sz="0" w:space="0" w:color="auto"/>
      </w:divBdr>
    </w:div>
    <w:div w:id="1612588212">
      <w:bodyDiv w:val="1"/>
      <w:marLeft w:val="0"/>
      <w:marRight w:val="0"/>
      <w:marTop w:val="0"/>
      <w:marBottom w:val="0"/>
      <w:divBdr>
        <w:top w:val="none" w:sz="0" w:space="0" w:color="auto"/>
        <w:left w:val="none" w:sz="0" w:space="0" w:color="auto"/>
        <w:bottom w:val="none" w:sz="0" w:space="0" w:color="auto"/>
        <w:right w:val="none" w:sz="0" w:space="0" w:color="auto"/>
      </w:divBdr>
    </w:div>
    <w:div w:id="1642661218">
      <w:bodyDiv w:val="1"/>
      <w:marLeft w:val="0"/>
      <w:marRight w:val="0"/>
      <w:marTop w:val="0"/>
      <w:marBottom w:val="0"/>
      <w:divBdr>
        <w:top w:val="none" w:sz="0" w:space="0" w:color="auto"/>
        <w:left w:val="none" w:sz="0" w:space="0" w:color="auto"/>
        <w:bottom w:val="none" w:sz="0" w:space="0" w:color="auto"/>
        <w:right w:val="none" w:sz="0" w:space="0" w:color="auto"/>
      </w:divBdr>
      <w:divsChild>
        <w:div w:id="1057819227">
          <w:marLeft w:val="0"/>
          <w:marRight w:val="0"/>
          <w:marTop w:val="0"/>
          <w:marBottom w:val="0"/>
          <w:divBdr>
            <w:top w:val="none" w:sz="0" w:space="0" w:color="auto"/>
            <w:left w:val="none" w:sz="0" w:space="0" w:color="auto"/>
            <w:bottom w:val="none" w:sz="0" w:space="0" w:color="auto"/>
            <w:right w:val="none" w:sz="0" w:space="0" w:color="auto"/>
          </w:divBdr>
        </w:div>
      </w:divsChild>
    </w:div>
    <w:div w:id="1894658406">
      <w:bodyDiv w:val="1"/>
      <w:marLeft w:val="0"/>
      <w:marRight w:val="0"/>
      <w:marTop w:val="0"/>
      <w:marBottom w:val="0"/>
      <w:divBdr>
        <w:top w:val="none" w:sz="0" w:space="0" w:color="auto"/>
        <w:left w:val="none" w:sz="0" w:space="0" w:color="auto"/>
        <w:bottom w:val="none" w:sz="0" w:space="0" w:color="auto"/>
        <w:right w:val="none" w:sz="0" w:space="0" w:color="auto"/>
      </w:divBdr>
    </w:div>
    <w:div w:id="1924534208">
      <w:bodyDiv w:val="1"/>
      <w:marLeft w:val="0"/>
      <w:marRight w:val="0"/>
      <w:marTop w:val="0"/>
      <w:marBottom w:val="0"/>
      <w:divBdr>
        <w:top w:val="none" w:sz="0" w:space="0" w:color="auto"/>
        <w:left w:val="none" w:sz="0" w:space="0" w:color="auto"/>
        <w:bottom w:val="none" w:sz="0" w:space="0" w:color="auto"/>
        <w:right w:val="none" w:sz="0" w:space="0" w:color="auto"/>
      </w:divBdr>
    </w:div>
    <w:div w:id="1946040741">
      <w:bodyDiv w:val="1"/>
      <w:marLeft w:val="0"/>
      <w:marRight w:val="0"/>
      <w:marTop w:val="0"/>
      <w:marBottom w:val="0"/>
      <w:divBdr>
        <w:top w:val="none" w:sz="0" w:space="0" w:color="auto"/>
        <w:left w:val="none" w:sz="0" w:space="0" w:color="auto"/>
        <w:bottom w:val="none" w:sz="0" w:space="0" w:color="auto"/>
        <w:right w:val="none" w:sz="0" w:space="0" w:color="auto"/>
      </w:divBdr>
    </w:div>
    <w:div w:id="1952664368">
      <w:bodyDiv w:val="1"/>
      <w:marLeft w:val="0"/>
      <w:marRight w:val="0"/>
      <w:marTop w:val="0"/>
      <w:marBottom w:val="0"/>
      <w:divBdr>
        <w:top w:val="none" w:sz="0" w:space="0" w:color="auto"/>
        <w:left w:val="none" w:sz="0" w:space="0" w:color="auto"/>
        <w:bottom w:val="none" w:sz="0" w:space="0" w:color="auto"/>
        <w:right w:val="none" w:sz="0" w:space="0" w:color="auto"/>
      </w:divBdr>
    </w:div>
    <w:div w:id="1989479517">
      <w:bodyDiv w:val="1"/>
      <w:marLeft w:val="0"/>
      <w:marRight w:val="0"/>
      <w:marTop w:val="0"/>
      <w:marBottom w:val="0"/>
      <w:divBdr>
        <w:top w:val="none" w:sz="0" w:space="0" w:color="auto"/>
        <w:left w:val="none" w:sz="0" w:space="0" w:color="auto"/>
        <w:bottom w:val="none" w:sz="0" w:space="0" w:color="auto"/>
        <w:right w:val="none" w:sz="0" w:space="0" w:color="auto"/>
      </w:divBdr>
    </w:div>
    <w:div w:id="20929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algas.com/regulatory/R13-11-005.shtml" TargetMode="External"/><Relationship Id="rId17" Type="http://schemas.openxmlformats.org/officeDocument/2006/relationships/hyperlink" Target="mailto:Process_Office@cpuc.ca.gov" TargetMode="External"/><Relationship Id="rId2" Type="http://schemas.openxmlformats.org/officeDocument/2006/relationships/customXml" Target="../customXml/item2.xml"/><Relationship Id="rId16" Type="http://schemas.openxmlformats.org/officeDocument/2006/relationships/hyperlink" Target="mailto:EDTariffUnit@cpuc.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socalgas.com/sites/default/files/SCG%202019%20Energy%20Efficiency%20Annual%20Report%20-%205-15-20%20Final.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0C373B84E1A44ABED3E7C0C278690" ma:contentTypeVersion="13" ma:contentTypeDescription="Create a new document." ma:contentTypeScope="" ma:versionID="3e5bad8834f27de0ab509ef9d6d3f183">
  <xsd:schema xmlns:xsd="http://www.w3.org/2001/XMLSchema" xmlns:xs="http://www.w3.org/2001/XMLSchema" xmlns:p="http://schemas.microsoft.com/office/2006/metadata/properties" xmlns:ns3="37d727bc-6a27-472b-9f49-ab7720000da6" xmlns:ns4="686a6fea-f82d-49f0-977a-08c073faaa62" targetNamespace="http://schemas.microsoft.com/office/2006/metadata/properties" ma:root="true" ma:fieldsID="ce6259006392bc448da14fec6e2bf6d0" ns3:_="" ns4:_="">
    <xsd:import namespace="37d727bc-6a27-472b-9f49-ab7720000da6"/>
    <xsd:import namespace="686a6fea-f82d-49f0-977a-08c073faaa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727bc-6a27-472b-9f49-ab7720000d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a6fea-f82d-49f0-977a-08c073faa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406E8-4BA7-41F2-8EE3-4C75897B3B88}">
  <ds:schemaRefs>
    <ds:schemaRef ds:uri="http://schemas.microsoft.com/sharepoint/v3/contenttype/forms"/>
  </ds:schemaRefs>
</ds:datastoreItem>
</file>

<file path=customXml/itemProps2.xml><?xml version="1.0" encoding="utf-8"?>
<ds:datastoreItem xmlns:ds="http://schemas.openxmlformats.org/officeDocument/2006/customXml" ds:itemID="{0668A1AA-568B-4E97-9333-B4558B3FD9D4}">
  <ds:schemaRefs>
    <ds:schemaRef ds:uri="http://schemas.openxmlformats.org/package/2006/metadata/core-properties"/>
    <ds:schemaRef ds:uri="http://schemas.microsoft.com/office/2006/documentManagement/types"/>
    <ds:schemaRef ds:uri="http://schemas.microsoft.com/office/infopath/2007/PartnerControls"/>
    <ds:schemaRef ds:uri="686a6fea-f82d-49f0-977a-08c073faaa62"/>
    <ds:schemaRef ds:uri="http://purl.org/dc/elements/1.1/"/>
    <ds:schemaRef ds:uri="http://schemas.microsoft.com/office/2006/metadata/properties"/>
    <ds:schemaRef ds:uri="http://purl.org/dc/terms/"/>
    <ds:schemaRef ds:uri="37d727bc-6a27-472b-9f49-ab7720000da6"/>
    <ds:schemaRef ds:uri="http://www.w3.org/XML/1998/namespace"/>
    <ds:schemaRef ds:uri="http://purl.org/dc/dcmitype/"/>
  </ds:schemaRefs>
</ds:datastoreItem>
</file>

<file path=customXml/itemProps3.xml><?xml version="1.0" encoding="utf-8"?>
<ds:datastoreItem xmlns:ds="http://schemas.openxmlformats.org/officeDocument/2006/customXml" ds:itemID="{6F930E46-79A7-4416-83C4-5447F1175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727bc-6a27-472b-9f49-ab7720000da6"/>
    <ds:schemaRef ds:uri="686a6fea-f82d-49f0-977a-08c073fa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73857-274B-47FC-B181-17F2BBE9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3277</Words>
  <Characters>18682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21916</CharactersWithSpaces>
  <SharedDoc>false</SharedDoc>
  <HLinks>
    <vt:vector size="30" baseType="variant">
      <vt:variant>
        <vt:i4>7340067</vt:i4>
      </vt:variant>
      <vt:variant>
        <vt:i4>18</vt:i4>
      </vt:variant>
      <vt:variant>
        <vt:i4>0</vt:i4>
      </vt:variant>
      <vt:variant>
        <vt:i4>5</vt:i4>
      </vt:variant>
      <vt:variant>
        <vt:lpwstr>mailto:Process_Office@cpuc.ca.gov</vt:lpwstr>
      </vt:variant>
      <vt:variant>
        <vt:lpwstr/>
      </vt:variant>
      <vt:variant>
        <vt:i4>2949149</vt:i4>
      </vt:variant>
      <vt:variant>
        <vt:i4>15</vt:i4>
      </vt:variant>
      <vt:variant>
        <vt:i4>0</vt:i4>
      </vt:variant>
      <vt:variant>
        <vt:i4>5</vt:i4>
      </vt:variant>
      <vt:variant>
        <vt:lpwstr>mailto:tariffs@socalgas.com</vt:lpwstr>
      </vt:variant>
      <vt:variant>
        <vt:lpwstr/>
      </vt:variant>
      <vt:variant>
        <vt:i4>655460</vt:i4>
      </vt:variant>
      <vt:variant>
        <vt:i4>12</vt:i4>
      </vt:variant>
      <vt:variant>
        <vt:i4>0</vt:i4>
      </vt:variant>
      <vt:variant>
        <vt:i4>5</vt:i4>
      </vt:variant>
      <vt:variant>
        <vt:lpwstr>mailto:EDTariffUnit@cpuc.ca.gov</vt:lpwstr>
      </vt:variant>
      <vt:variant>
        <vt:lpwstr/>
      </vt:variant>
      <vt:variant>
        <vt:i4>983135</vt:i4>
      </vt:variant>
      <vt:variant>
        <vt:i4>9</vt:i4>
      </vt:variant>
      <vt:variant>
        <vt:i4>0</vt:i4>
      </vt:variant>
      <vt:variant>
        <vt:i4>5</vt:i4>
      </vt:variant>
      <vt:variant>
        <vt:lpwstr>http://eestats.cpuc.ca.gov/EEGA2010Files/SCG/AnnualReport/SCG.AnnualNarrative.2018.2.zip</vt:lpwstr>
      </vt:variant>
      <vt:variant>
        <vt:lpwstr/>
      </vt:variant>
      <vt:variant>
        <vt:i4>7929915</vt:i4>
      </vt:variant>
      <vt:variant>
        <vt:i4>0</vt:i4>
      </vt:variant>
      <vt:variant>
        <vt:i4>0</vt:i4>
      </vt:variant>
      <vt:variant>
        <vt:i4>5</vt:i4>
      </vt:variant>
      <vt:variant>
        <vt:lpwstr>http://www.socalgas.com/regulatory/R13-11-005.shtml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Estrella</dc:creator>
  <cp:keywords/>
  <dc:description/>
  <cp:lastModifiedBy>Brooks, Erin P.</cp:lastModifiedBy>
  <cp:revision>2</cp:revision>
  <cp:lastPrinted>2019-08-29T17:56:00Z</cp:lastPrinted>
  <dcterms:created xsi:type="dcterms:W3CDTF">2020-07-31T17:41:00Z</dcterms:created>
  <dcterms:modified xsi:type="dcterms:W3CDTF">2020-07-31T17:41:00Z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0x0101009A50C373B84E1A44ABED3E7C0C278690</vt:lpwstr>
  </property>
</Properties>
</file>