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1F61" w14:textId="64AC13DC" w:rsidR="00EC62E8" w:rsidRPr="00F844A2" w:rsidRDefault="00EC62E8" w:rsidP="00EC62E8">
      <w:pPr>
        <w:jc w:val="center"/>
        <w:rPr>
          <w:rFonts w:ascii="Times" w:hAnsi="Times"/>
          <w:b/>
        </w:rPr>
      </w:pPr>
      <w:r w:rsidRPr="00F844A2">
        <w:rPr>
          <w:rFonts w:ascii="Times" w:hAnsi="Times"/>
          <w:b/>
        </w:rPr>
        <w:t xml:space="preserve">California Energy Efficiency Coordinating Committee-Hosted </w:t>
      </w:r>
      <w:r w:rsidR="00645712" w:rsidRPr="00F844A2">
        <w:rPr>
          <w:rFonts w:ascii="Times" w:hAnsi="Times"/>
          <w:b/>
        </w:rPr>
        <w:t xml:space="preserve">mini-sub </w:t>
      </w:r>
      <w:r w:rsidRPr="00F844A2">
        <w:rPr>
          <w:rFonts w:ascii="Times" w:hAnsi="Times"/>
          <w:b/>
        </w:rPr>
        <w:t>Underserved Working Group</w:t>
      </w:r>
      <w:r w:rsidR="00645712" w:rsidRPr="00F844A2">
        <w:rPr>
          <w:rFonts w:ascii="Times" w:hAnsi="Times"/>
          <w:b/>
        </w:rPr>
        <w:t xml:space="preserve"> on SMB</w:t>
      </w:r>
    </w:p>
    <w:p w14:paraId="35DCB42A" w14:textId="0D555BB3" w:rsidR="00EC62E8" w:rsidRPr="00F844A2" w:rsidRDefault="00645712" w:rsidP="00EC62E8">
      <w:pPr>
        <w:jc w:val="center"/>
        <w:rPr>
          <w:rFonts w:ascii="Times" w:hAnsi="Times"/>
          <w:bCs/>
        </w:rPr>
      </w:pPr>
      <w:r w:rsidRPr="00F844A2">
        <w:rPr>
          <w:rFonts w:ascii="Times" w:hAnsi="Times"/>
          <w:bCs/>
        </w:rPr>
        <w:t>September 16</w:t>
      </w:r>
      <w:r w:rsidR="00EC62E8" w:rsidRPr="00F844A2">
        <w:rPr>
          <w:rFonts w:ascii="Times" w:hAnsi="Times"/>
          <w:bCs/>
        </w:rPr>
        <w:t xml:space="preserve">, 2020 </w:t>
      </w:r>
      <w:r w:rsidR="00994D4D" w:rsidRPr="00F844A2">
        <w:rPr>
          <w:rFonts w:ascii="Times" w:hAnsi="Times"/>
          <w:bCs/>
        </w:rPr>
        <w:t>3</w:t>
      </w:r>
      <w:r w:rsidRPr="00F844A2">
        <w:rPr>
          <w:rFonts w:ascii="Times" w:hAnsi="Times"/>
          <w:bCs/>
        </w:rPr>
        <w:t>:30-</w:t>
      </w:r>
      <w:r w:rsidR="00994D4D" w:rsidRPr="00F844A2">
        <w:rPr>
          <w:rFonts w:ascii="Times" w:hAnsi="Times"/>
          <w:bCs/>
        </w:rPr>
        <w:t>5</w:t>
      </w:r>
      <w:r w:rsidRPr="00F844A2">
        <w:rPr>
          <w:rFonts w:ascii="Times" w:hAnsi="Times"/>
          <w:bCs/>
        </w:rPr>
        <w:t>:00pm</w:t>
      </w:r>
    </w:p>
    <w:p w14:paraId="76E12F8D" w14:textId="243FB046" w:rsidR="00EC62E8" w:rsidRPr="00F844A2" w:rsidRDefault="00EC62E8" w:rsidP="00EC62E8">
      <w:pPr>
        <w:jc w:val="center"/>
        <w:rPr>
          <w:rFonts w:ascii="Times" w:hAnsi="Times"/>
          <w:bCs/>
        </w:rPr>
      </w:pPr>
      <w:r w:rsidRPr="00F844A2">
        <w:rPr>
          <w:rFonts w:ascii="Times" w:hAnsi="Times"/>
          <w:bCs/>
        </w:rPr>
        <w:t>WebEx-Based Meeting</w:t>
      </w:r>
    </w:p>
    <w:p w14:paraId="4F517A05" w14:textId="77777777" w:rsidR="00EC62E8" w:rsidRPr="00F844A2" w:rsidRDefault="00EC62E8" w:rsidP="00EC62E8">
      <w:pPr>
        <w:jc w:val="center"/>
        <w:rPr>
          <w:rFonts w:ascii="Times" w:hAnsi="Times"/>
          <w:bCs/>
        </w:rPr>
      </w:pPr>
      <w:r w:rsidRPr="00F844A2">
        <w:rPr>
          <w:rFonts w:ascii="Times" w:hAnsi="Times"/>
          <w:bCs/>
        </w:rPr>
        <w:t>Draft Meeting Summary</w:t>
      </w:r>
    </w:p>
    <w:p w14:paraId="03C30031" w14:textId="72862D71" w:rsidR="00EC62E8" w:rsidRPr="00F844A2" w:rsidRDefault="00EC62E8" w:rsidP="00EC62E8">
      <w:pPr>
        <w:widowControl w:val="0"/>
        <w:pBdr>
          <w:bottom w:val="thickThinSmallGap" w:sz="24" w:space="1" w:color="C45911" w:themeColor="accent2" w:themeShade="BF"/>
        </w:pBdr>
        <w:autoSpaceDE w:val="0"/>
        <w:autoSpaceDN w:val="0"/>
        <w:adjustRightInd w:val="0"/>
        <w:jc w:val="center"/>
        <w:rPr>
          <w:rFonts w:ascii="Times" w:hAnsi="Times"/>
        </w:rPr>
      </w:pPr>
      <w:r w:rsidRPr="00F844A2">
        <w:rPr>
          <w:rFonts w:ascii="Times" w:hAnsi="Times"/>
        </w:rPr>
        <w:t xml:space="preserve">Facilitators: Dr. Scott McCreary &amp; </w:t>
      </w:r>
      <w:r w:rsidR="00645712" w:rsidRPr="00F844A2">
        <w:rPr>
          <w:rFonts w:ascii="Times" w:hAnsi="Times"/>
        </w:rPr>
        <w:t>Katie Abrams</w:t>
      </w:r>
      <w:r w:rsidRPr="00F844A2">
        <w:rPr>
          <w:rFonts w:ascii="Times" w:hAnsi="Times"/>
        </w:rPr>
        <w:t>, CONCUR</w:t>
      </w:r>
      <w:r w:rsidR="00A66D40">
        <w:rPr>
          <w:rFonts w:ascii="Times" w:hAnsi="Times"/>
        </w:rPr>
        <w:t xml:space="preserve"> Inc.</w:t>
      </w:r>
    </w:p>
    <w:p w14:paraId="1D598A22" w14:textId="5254F219" w:rsidR="00393CF3" w:rsidRPr="00F844A2" w:rsidRDefault="00393CF3">
      <w:pPr>
        <w:rPr>
          <w:rFonts w:ascii="Times" w:hAnsi="Times"/>
        </w:rPr>
      </w:pPr>
    </w:p>
    <w:p w14:paraId="51489C37" w14:textId="07F49022" w:rsidR="00EC62E8" w:rsidRPr="00F844A2" w:rsidRDefault="00EC62E8" w:rsidP="00EC62E8">
      <w:pPr>
        <w:widowControl w:val="0"/>
        <w:autoSpaceDE w:val="0"/>
        <w:autoSpaceDN w:val="0"/>
        <w:adjustRightInd w:val="0"/>
        <w:rPr>
          <w:rFonts w:ascii="Times" w:hAnsi="Times"/>
        </w:rPr>
      </w:pPr>
      <w:r w:rsidRPr="00F844A2">
        <w:rPr>
          <w:rFonts w:ascii="Times" w:hAnsi="Times"/>
        </w:rPr>
        <w:t xml:space="preserve">On July 1, 2020, the CAEECC hosted the launch meeting of the Underserved Working Group </w:t>
      </w:r>
      <w:r w:rsidR="00FD49D9" w:rsidRPr="00F844A2">
        <w:rPr>
          <w:rFonts w:ascii="Times" w:hAnsi="Times"/>
        </w:rPr>
        <w:t>(UWG</w:t>
      </w:r>
      <w:r w:rsidR="00DA1D5E" w:rsidRPr="00F844A2">
        <w:rPr>
          <w:rFonts w:ascii="Times" w:hAnsi="Times"/>
        </w:rPr>
        <w:t xml:space="preserve"> or WG</w:t>
      </w:r>
      <w:r w:rsidR="00FD49D9" w:rsidRPr="00F844A2">
        <w:rPr>
          <w:rFonts w:ascii="Times" w:hAnsi="Times"/>
        </w:rPr>
        <w:t xml:space="preserve">) </w:t>
      </w:r>
      <w:r w:rsidRPr="00F844A2">
        <w:rPr>
          <w:rFonts w:ascii="Times" w:hAnsi="Times"/>
        </w:rPr>
        <w:t>via WebEx.</w:t>
      </w:r>
      <w:r w:rsidR="00994D4D" w:rsidRPr="00F844A2">
        <w:rPr>
          <w:rFonts w:ascii="Times" w:hAnsi="Times"/>
        </w:rPr>
        <w:t xml:space="preserve"> This sub-group focuses on SMB analysis.</w:t>
      </w:r>
      <w:r w:rsidRPr="00F844A2">
        <w:rPr>
          <w:rFonts w:ascii="Times" w:hAnsi="Times"/>
        </w:rPr>
        <w:t xml:space="preserve"> </w:t>
      </w:r>
      <w:r w:rsidR="00994D4D" w:rsidRPr="00F844A2">
        <w:rPr>
          <w:rFonts w:ascii="Times" w:hAnsi="Times"/>
        </w:rPr>
        <w:t>Seven</w:t>
      </w:r>
      <w:r w:rsidRPr="00F844A2">
        <w:rPr>
          <w:rFonts w:ascii="Times" w:hAnsi="Times"/>
        </w:rPr>
        <w:t xml:space="preserve"> WG Members (including Lead</w:t>
      </w:r>
      <w:r w:rsidR="000A7C4E" w:rsidRPr="00F844A2">
        <w:rPr>
          <w:rFonts w:ascii="Times" w:hAnsi="Times"/>
        </w:rPr>
        <w:t>s, Proxies</w:t>
      </w:r>
      <w:r w:rsidR="00B93358" w:rsidRPr="00F844A2">
        <w:rPr>
          <w:rFonts w:ascii="Times" w:hAnsi="Times"/>
        </w:rPr>
        <w:t xml:space="preserve"> and</w:t>
      </w:r>
      <w:r w:rsidRPr="00F844A2">
        <w:rPr>
          <w:rFonts w:ascii="Times" w:hAnsi="Times"/>
        </w:rPr>
        <w:t xml:space="preserve"> Ex Offici</w:t>
      </w:r>
      <w:r w:rsidR="00B93358" w:rsidRPr="00F844A2">
        <w:rPr>
          <w:rFonts w:ascii="Times" w:hAnsi="Times"/>
        </w:rPr>
        <w:t>o</w:t>
      </w:r>
      <w:r w:rsidRPr="00F844A2">
        <w:rPr>
          <w:rFonts w:ascii="Times" w:hAnsi="Times"/>
        </w:rPr>
        <w:t xml:space="preserve">) participated </w:t>
      </w:r>
      <w:r w:rsidR="00B93358" w:rsidRPr="00F844A2">
        <w:rPr>
          <w:rFonts w:ascii="Times" w:hAnsi="Times"/>
        </w:rPr>
        <w:t>in the meeting as panelists</w:t>
      </w:r>
      <w:r w:rsidRPr="00F844A2">
        <w:rPr>
          <w:rFonts w:ascii="Times" w:hAnsi="Times"/>
        </w:rPr>
        <w:t xml:space="preserve">. </w:t>
      </w:r>
      <w:r w:rsidR="00994D4D" w:rsidRPr="00F844A2">
        <w:rPr>
          <w:rFonts w:ascii="Times" w:hAnsi="Times"/>
        </w:rPr>
        <w:t>Three</w:t>
      </w:r>
      <w:r w:rsidRPr="00F844A2">
        <w:rPr>
          <w:rFonts w:ascii="Times" w:hAnsi="Times"/>
        </w:rPr>
        <w:t xml:space="preserve"> additional members of the public</w:t>
      </w:r>
      <w:r w:rsidR="00994D4D" w:rsidRPr="00F844A2">
        <w:rPr>
          <w:rFonts w:ascii="Times" w:hAnsi="Times"/>
        </w:rPr>
        <w:t xml:space="preserve"> also</w:t>
      </w:r>
      <w:r w:rsidRPr="00F844A2">
        <w:rPr>
          <w:rFonts w:ascii="Times" w:hAnsi="Times"/>
        </w:rPr>
        <w:t xml:space="preserve"> participate</w:t>
      </w:r>
      <w:r w:rsidR="00B93358" w:rsidRPr="00F844A2">
        <w:rPr>
          <w:rFonts w:ascii="Times" w:hAnsi="Times"/>
        </w:rPr>
        <w:t>d</w:t>
      </w:r>
      <w:r w:rsidRPr="00F844A2">
        <w:rPr>
          <w:rFonts w:ascii="Times" w:hAnsi="Times"/>
        </w:rPr>
        <w:t xml:space="preserve">. A full list of meeting registrants is provided in Appendix A. </w:t>
      </w:r>
    </w:p>
    <w:p w14:paraId="699DC504" w14:textId="77777777" w:rsidR="00EC62E8" w:rsidRPr="00F844A2" w:rsidRDefault="00EC62E8" w:rsidP="00EC62E8">
      <w:pPr>
        <w:widowControl w:val="0"/>
        <w:autoSpaceDE w:val="0"/>
        <w:autoSpaceDN w:val="0"/>
        <w:adjustRightInd w:val="0"/>
        <w:rPr>
          <w:rFonts w:ascii="Times" w:hAnsi="Times"/>
        </w:rPr>
      </w:pPr>
    </w:p>
    <w:p w14:paraId="751672FC" w14:textId="203F4967" w:rsidR="00EC62E8" w:rsidRPr="00F844A2" w:rsidRDefault="00EC62E8" w:rsidP="00EC62E8">
      <w:pPr>
        <w:rPr>
          <w:rFonts w:ascii="Times" w:hAnsi="Times"/>
        </w:rPr>
      </w:pPr>
      <w:r w:rsidRPr="00F844A2">
        <w:rPr>
          <w:rFonts w:ascii="Times" w:hAnsi="Times"/>
        </w:rPr>
        <w:t xml:space="preserve">Meeting materials are provided on the CAEECC website at: </w:t>
      </w:r>
      <w:hyperlink r:id="rId8" w:history="1">
        <w:r w:rsidR="00645712" w:rsidRPr="00F844A2">
          <w:rPr>
            <w:rStyle w:val="Hyperlink"/>
            <w:rFonts w:ascii="Times" w:hAnsi="Times"/>
          </w:rPr>
          <w:t>https://www.caeecc.org/9-16-20-mini-sub-uwg-on-smb</w:t>
        </w:r>
      </w:hyperlink>
      <w:r w:rsidR="00645712" w:rsidRPr="00F844A2">
        <w:rPr>
          <w:rFonts w:ascii="Times" w:hAnsi="Times"/>
        </w:rPr>
        <w:t xml:space="preserve"> </w:t>
      </w:r>
    </w:p>
    <w:p w14:paraId="5138210C" w14:textId="77777777" w:rsidR="00EC62E8" w:rsidRPr="00F844A2" w:rsidRDefault="00EC62E8" w:rsidP="00EC62E8">
      <w:pPr>
        <w:rPr>
          <w:rFonts w:ascii="Times" w:hAnsi="Times"/>
        </w:rPr>
      </w:pPr>
    </w:p>
    <w:p w14:paraId="4B3CA845" w14:textId="77777777" w:rsidR="00B93358" w:rsidRPr="00F844A2" w:rsidRDefault="00B93358" w:rsidP="00B93358">
      <w:pPr>
        <w:rPr>
          <w:rFonts w:ascii="Times" w:hAnsi="Times"/>
        </w:rPr>
      </w:pPr>
      <w:r w:rsidRPr="00F844A2">
        <w:rPr>
          <w:rFonts w:ascii="Times" w:hAnsi="Times"/>
        </w:rPr>
        <w:t xml:space="preserve">In this document, the majority of the discussion is captured without attribution. In some cases, the affiliation of the speaker is identified, because their affiliation is relevant to the comment. </w:t>
      </w:r>
    </w:p>
    <w:p w14:paraId="70BBCA39" w14:textId="77777777" w:rsidR="00EC62E8" w:rsidRPr="00F844A2" w:rsidRDefault="00EC62E8" w:rsidP="00EC62E8">
      <w:pPr>
        <w:rPr>
          <w:rFonts w:ascii="Times" w:hAnsi="Times"/>
        </w:rPr>
      </w:pPr>
    </w:p>
    <w:p w14:paraId="6F49DA79" w14:textId="4C9DFDD6" w:rsidR="00EC62E8" w:rsidRPr="00F844A2" w:rsidRDefault="00EC62E8" w:rsidP="00EC62E8">
      <w:pPr>
        <w:rPr>
          <w:rFonts w:ascii="Times" w:hAnsi="Times"/>
        </w:rPr>
      </w:pPr>
      <w:r w:rsidRPr="00F844A2">
        <w:rPr>
          <w:rFonts w:ascii="Times" w:hAnsi="Times"/>
        </w:rPr>
        <w:t xml:space="preserve">For each sub-section below, </w:t>
      </w:r>
      <w:r w:rsidR="00B93358" w:rsidRPr="00F844A2">
        <w:rPr>
          <w:rFonts w:ascii="Times" w:hAnsi="Times"/>
        </w:rPr>
        <w:t>key discussion points and agreements are summarized. Most conversation is captured without attribution, unless the affiliation of the speaker is relevant to the conversation.</w:t>
      </w:r>
    </w:p>
    <w:p w14:paraId="7F4F5834" w14:textId="77777777" w:rsidR="00EC62E8" w:rsidRPr="00F844A2" w:rsidRDefault="00EC62E8" w:rsidP="00EC62E8">
      <w:pPr>
        <w:rPr>
          <w:rFonts w:ascii="Times" w:hAnsi="Times"/>
        </w:rPr>
      </w:pPr>
    </w:p>
    <w:p w14:paraId="21F7B3A9" w14:textId="25680A01" w:rsidR="00EC62E8" w:rsidRPr="00F844A2" w:rsidRDefault="00EC62E8" w:rsidP="00EC62E8">
      <w:pPr>
        <w:rPr>
          <w:rFonts w:ascii="Times" w:hAnsi="Times"/>
        </w:rPr>
      </w:pPr>
      <w:r w:rsidRPr="00F844A2">
        <w:rPr>
          <w:rFonts w:ascii="Times" w:hAnsi="Times"/>
        </w:rPr>
        <w:t xml:space="preserve">Next Steps, at the end of this document, captures next steps discussed throughout the meeting. </w:t>
      </w:r>
    </w:p>
    <w:p w14:paraId="114FF779" w14:textId="77777777" w:rsidR="001760F5" w:rsidRPr="00F844A2" w:rsidRDefault="001760F5" w:rsidP="001760F5">
      <w:pPr>
        <w:rPr>
          <w:rFonts w:ascii="Times" w:hAnsi="Times"/>
        </w:rPr>
      </w:pPr>
    </w:p>
    <w:p w14:paraId="7A7322FE" w14:textId="21BD5A40" w:rsidR="001760F5" w:rsidRPr="00F844A2" w:rsidRDefault="001760F5" w:rsidP="00EC62E8">
      <w:pPr>
        <w:rPr>
          <w:rFonts w:ascii="Times" w:hAnsi="Times"/>
          <w:b/>
          <w:bCs/>
        </w:rPr>
      </w:pPr>
      <w:r w:rsidRPr="00F844A2">
        <w:rPr>
          <w:rFonts w:ascii="Times" w:hAnsi="Times"/>
          <w:b/>
          <w:bCs/>
        </w:rPr>
        <w:t>INTRODUCTIONS</w:t>
      </w:r>
    </w:p>
    <w:p w14:paraId="783C0C02" w14:textId="2450ABCB" w:rsidR="00994D4D" w:rsidRPr="00F844A2" w:rsidRDefault="00994D4D" w:rsidP="00994D4D">
      <w:pPr>
        <w:rPr>
          <w:rFonts w:ascii="Times" w:hAnsi="Times"/>
          <w:b/>
          <w:bCs/>
        </w:rPr>
      </w:pPr>
      <w:r w:rsidRPr="00F844A2">
        <w:rPr>
          <w:rFonts w:ascii="Times" w:hAnsi="Times"/>
        </w:rPr>
        <w:t xml:space="preserve">S. McCreary welcomed participants and introduced </w:t>
      </w:r>
      <w:r w:rsidR="00BB5B34" w:rsidRPr="00F844A2">
        <w:rPr>
          <w:rFonts w:ascii="Times" w:hAnsi="Times"/>
        </w:rPr>
        <w:t>new Associate Facilitator</w:t>
      </w:r>
      <w:r w:rsidRPr="00F844A2">
        <w:rPr>
          <w:rFonts w:ascii="Times" w:hAnsi="Times"/>
        </w:rPr>
        <w:t xml:space="preserve"> K. Abrams</w:t>
      </w:r>
      <w:r w:rsidR="00BB5B34" w:rsidRPr="00F844A2">
        <w:rPr>
          <w:rFonts w:ascii="Times" w:hAnsi="Times"/>
        </w:rPr>
        <w:t xml:space="preserve">. </w:t>
      </w:r>
      <w:r w:rsidRPr="00F844A2">
        <w:rPr>
          <w:rFonts w:ascii="Times" w:hAnsi="Times"/>
        </w:rPr>
        <w:t xml:space="preserve">S. McCreary then welcomed participants to introduce themselves. S. McCreary then reviewed the goals and agenda for the meeting, noting that a key goal is walking through the draft work plan and reviewing the analysis approach and developing a timeline and next steps going forward. </w:t>
      </w:r>
    </w:p>
    <w:p w14:paraId="19706017" w14:textId="07231D5D" w:rsidR="001760F5" w:rsidRPr="00F844A2" w:rsidRDefault="001760F5" w:rsidP="00EC62E8">
      <w:pPr>
        <w:rPr>
          <w:rFonts w:ascii="Times" w:hAnsi="Times"/>
          <w:b/>
          <w:bCs/>
        </w:rPr>
      </w:pPr>
    </w:p>
    <w:p w14:paraId="0284C664" w14:textId="3AB0CD7E" w:rsidR="001760F5" w:rsidRPr="00F844A2" w:rsidRDefault="00994D4D" w:rsidP="001760F5">
      <w:pPr>
        <w:rPr>
          <w:rFonts w:ascii="Times" w:hAnsi="Times"/>
          <w:b/>
          <w:bCs/>
        </w:rPr>
      </w:pPr>
      <w:r w:rsidRPr="00F844A2">
        <w:rPr>
          <w:rFonts w:ascii="Times" w:hAnsi="Times"/>
          <w:b/>
          <w:bCs/>
        </w:rPr>
        <w:t>REVIEW OF DRAFT WORK PLAN</w:t>
      </w:r>
    </w:p>
    <w:p w14:paraId="11471A9D" w14:textId="3006E62D" w:rsidR="008269A9" w:rsidRPr="00F844A2" w:rsidRDefault="00BB6654" w:rsidP="006F577E">
      <w:pPr>
        <w:rPr>
          <w:rFonts w:ascii="Times" w:hAnsi="Times"/>
        </w:rPr>
      </w:pPr>
      <w:r w:rsidRPr="00F844A2">
        <w:rPr>
          <w:rFonts w:ascii="Times" w:hAnsi="Times"/>
        </w:rPr>
        <w:t xml:space="preserve">Before reviewing the work plan in depth, Members discussed data privacy and access issues. </w:t>
      </w:r>
      <w:r w:rsidR="008269A9" w:rsidRPr="00F844A2">
        <w:rPr>
          <w:rFonts w:ascii="Times" w:hAnsi="Times"/>
        </w:rPr>
        <w:t>It was determined that privacy is not a major issue</w:t>
      </w:r>
      <w:r w:rsidRPr="00F844A2">
        <w:rPr>
          <w:rFonts w:ascii="Times" w:hAnsi="Times"/>
        </w:rPr>
        <w:t xml:space="preserve"> for the participant summary data as the</w:t>
      </w:r>
      <w:r w:rsidR="008269A9" w:rsidRPr="00F844A2">
        <w:rPr>
          <w:rFonts w:ascii="Times" w:hAnsi="Times"/>
        </w:rPr>
        <w:t xml:space="preserve"> data is publicly available.</w:t>
      </w:r>
      <w:r w:rsidRPr="00F844A2">
        <w:rPr>
          <w:rFonts w:ascii="Times" w:hAnsi="Times"/>
        </w:rPr>
        <w:t xml:space="preserve"> L. Ettenson noted that the</w:t>
      </w:r>
      <w:r w:rsidR="008269A9" w:rsidRPr="00F844A2">
        <w:rPr>
          <w:rFonts w:ascii="Times" w:hAnsi="Times"/>
        </w:rPr>
        <w:t xml:space="preserve"> CPUC </w:t>
      </w:r>
      <w:r w:rsidR="00CD4508">
        <w:rPr>
          <w:rFonts w:ascii="Times" w:hAnsi="Times"/>
        </w:rPr>
        <w:t>requires a data request for zip code data,</w:t>
      </w:r>
      <w:r w:rsidR="006F577E" w:rsidRPr="00F844A2">
        <w:rPr>
          <w:rFonts w:ascii="Times" w:hAnsi="Times"/>
        </w:rPr>
        <w:t xml:space="preserve"> but no NDA is needed.   </w:t>
      </w:r>
    </w:p>
    <w:p w14:paraId="123C9784" w14:textId="398D5887" w:rsidR="006F577E" w:rsidRPr="00F844A2" w:rsidRDefault="006F577E" w:rsidP="006F577E">
      <w:pPr>
        <w:rPr>
          <w:rFonts w:ascii="Times" w:hAnsi="Times"/>
        </w:rPr>
      </w:pPr>
    </w:p>
    <w:p w14:paraId="7E8A0802" w14:textId="3BF5A14A" w:rsidR="006F577E" w:rsidRPr="00F844A2" w:rsidRDefault="002C40B6" w:rsidP="006F577E">
      <w:pPr>
        <w:rPr>
          <w:rFonts w:ascii="Times" w:hAnsi="Times"/>
        </w:rPr>
      </w:pPr>
      <w:r w:rsidRPr="00F844A2">
        <w:rPr>
          <w:rFonts w:ascii="Times" w:hAnsi="Times"/>
        </w:rPr>
        <w:t>Table 1,</w:t>
      </w:r>
      <w:r w:rsidR="006F577E" w:rsidRPr="00F844A2">
        <w:rPr>
          <w:rFonts w:ascii="Times" w:hAnsi="Times"/>
        </w:rPr>
        <w:t xml:space="preserve"> below</w:t>
      </w:r>
      <w:r w:rsidRPr="00F844A2">
        <w:rPr>
          <w:rFonts w:ascii="Times" w:hAnsi="Times"/>
        </w:rPr>
        <w:t>,</w:t>
      </w:r>
      <w:r w:rsidR="006F577E" w:rsidRPr="00F844A2">
        <w:rPr>
          <w:rFonts w:ascii="Times" w:hAnsi="Times"/>
        </w:rPr>
        <w:t xml:space="preserve"> summarizes </w:t>
      </w:r>
      <w:r w:rsidR="00BB6654" w:rsidRPr="00F844A2">
        <w:rPr>
          <w:rFonts w:ascii="Times" w:hAnsi="Times"/>
        </w:rPr>
        <w:t xml:space="preserve">the type of </w:t>
      </w:r>
      <w:r w:rsidR="006F577E" w:rsidRPr="00F844A2">
        <w:rPr>
          <w:rFonts w:ascii="Times" w:hAnsi="Times"/>
        </w:rPr>
        <w:t>data</w:t>
      </w:r>
      <w:r w:rsidR="00BB6654" w:rsidRPr="00F844A2">
        <w:rPr>
          <w:rFonts w:ascii="Times" w:hAnsi="Times"/>
        </w:rPr>
        <w:t xml:space="preserve"> Members brainstormed would be</w:t>
      </w:r>
      <w:r w:rsidR="006F577E" w:rsidRPr="00F844A2">
        <w:rPr>
          <w:rFonts w:ascii="Times" w:hAnsi="Times"/>
        </w:rPr>
        <w:t xml:space="preserve"> needed,</w:t>
      </w:r>
      <w:r w:rsidR="00BB6654" w:rsidRPr="00F844A2">
        <w:rPr>
          <w:rFonts w:ascii="Times" w:hAnsi="Times"/>
        </w:rPr>
        <w:t xml:space="preserve"> </w:t>
      </w:r>
      <w:r w:rsidR="006F577E" w:rsidRPr="00F844A2">
        <w:rPr>
          <w:rFonts w:ascii="Times" w:hAnsi="Times"/>
        </w:rPr>
        <w:t>who will request it, who they will share it with, and the status.</w:t>
      </w:r>
      <w:r w:rsidR="00BB6654" w:rsidRPr="00F844A2">
        <w:rPr>
          <w:rFonts w:ascii="Times" w:hAnsi="Times"/>
        </w:rPr>
        <w:t xml:space="preserve"> Note that it summarizes data discussed throughout the meeting, not just at the beginning of the discussion. </w:t>
      </w:r>
    </w:p>
    <w:p w14:paraId="2278A181" w14:textId="5F086365" w:rsidR="006F577E" w:rsidRPr="00F844A2" w:rsidRDefault="006F577E" w:rsidP="006F577E">
      <w:pPr>
        <w:rPr>
          <w:rFonts w:ascii="Times" w:hAnsi="Times"/>
        </w:rPr>
      </w:pPr>
    </w:p>
    <w:p w14:paraId="6D39EEDF" w14:textId="77777777" w:rsidR="00C9148C" w:rsidRDefault="00C9148C">
      <w:pPr>
        <w:rPr>
          <w:rFonts w:ascii="Times" w:hAnsi="Times"/>
        </w:rPr>
      </w:pPr>
      <w:r>
        <w:rPr>
          <w:rFonts w:ascii="Times" w:hAnsi="Times"/>
        </w:rPr>
        <w:br w:type="page"/>
      </w:r>
    </w:p>
    <w:p w14:paraId="5FDA0A62" w14:textId="34DF151E" w:rsidR="00735182" w:rsidRPr="00F844A2" w:rsidRDefault="00735182" w:rsidP="006F577E">
      <w:pPr>
        <w:rPr>
          <w:rFonts w:ascii="Times" w:hAnsi="Times"/>
        </w:rPr>
      </w:pPr>
      <w:r w:rsidRPr="00F844A2">
        <w:rPr>
          <w:rFonts w:ascii="Times" w:hAnsi="Times"/>
        </w:rPr>
        <w:lastRenderedPageBreak/>
        <w:t xml:space="preserve">Table 1. Proposed Data </w:t>
      </w:r>
      <w:r w:rsidR="002C40B6" w:rsidRPr="00F844A2">
        <w:rPr>
          <w:rFonts w:ascii="Times" w:hAnsi="Times"/>
        </w:rPr>
        <w:t>type, sources, and status</w:t>
      </w:r>
    </w:p>
    <w:tbl>
      <w:tblPr>
        <w:tblStyle w:val="TableGrid"/>
        <w:tblW w:w="0" w:type="auto"/>
        <w:tblLook w:val="04A0" w:firstRow="1" w:lastRow="0" w:firstColumn="1" w:lastColumn="0" w:noHBand="0" w:noVBand="1"/>
      </w:tblPr>
      <w:tblGrid>
        <w:gridCol w:w="3197"/>
        <w:gridCol w:w="2683"/>
        <w:gridCol w:w="1278"/>
        <w:gridCol w:w="2192"/>
      </w:tblGrid>
      <w:tr w:rsidR="007769D5" w:rsidRPr="00F844A2" w14:paraId="685624B3" w14:textId="77777777" w:rsidTr="00735182">
        <w:tc>
          <w:tcPr>
            <w:tcW w:w="0" w:type="auto"/>
          </w:tcPr>
          <w:p w14:paraId="28CE4B78" w14:textId="241787D8" w:rsidR="00C9148C" w:rsidRPr="000013C0" w:rsidRDefault="00C9148C" w:rsidP="008269A9">
            <w:pPr>
              <w:rPr>
                <w:rFonts w:ascii="Times" w:hAnsi="Times"/>
                <w:b/>
                <w:bCs/>
                <w:sz w:val="20"/>
                <w:szCs w:val="20"/>
              </w:rPr>
            </w:pPr>
            <w:r w:rsidRPr="000013C0">
              <w:rPr>
                <w:rFonts w:ascii="Times" w:hAnsi="Times"/>
                <w:b/>
                <w:bCs/>
                <w:sz w:val="20"/>
                <w:szCs w:val="20"/>
              </w:rPr>
              <w:t>Data type</w:t>
            </w:r>
          </w:p>
        </w:tc>
        <w:tc>
          <w:tcPr>
            <w:tcW w:w="0" w:type="auto"/>
          </w:tcPr>
          <w:p w14:paraId="3D333DF2" w14:textId="43962C7C" w:rsidR="00C9148C" w:rsidRPr="000013C0" w:rsidRDefault="00C9148C" w:rsidP="008269A9">
            <w:pPr>
              <w:rPr>
                <w:rFonts w:ascii="Times" w:hAnsi="Times"/>
                <w:b/>
                <w:bCs/>
                <w:sz w:val="20"/>
                <w:szCs w:val="20"/>
              </w:rPr>
            </w:pPr>
            <w:r w:rsidRPr="000013C0">
              <w:rPr>
                <w:rFonts w:ascii="Times" w:hAnsi="Times"/>
                <w:b/>
                <w:bCs/>
                <w:sz w:val="20"/>
                <w:szCs w:val="20"/>
              </w:rPr>
              <w:t>Data Source</w:t>
            </w:r>
          </w:p>
        </w:tc>
        <w:tc>
          <w:tcPr>
            <w:tcW w:w="0" w:type="auto"/>
          </w:tcPr>
          <w:p w14:paraId="0D31FD5C" w14:textId="5BF94DAF" w:rsidR="00C9148C" w:rsidRPr="000013C0" w:rsidRDefault="00C9148C" w:rsidP="008269A9">
            <w:pPr>
              <w:rPr>
                <w:rFonts w:ascii="Times" w:hAnsi="Times"/>
                <w:b/>
                <w:bCs/>
                <w:sz w:val="20"/>
                <w:szCs w:val="20"/>
              </w:rPr>
            </w:pPr>
            <w:r w:rsidRPr="000013C0">
              <w:rPr>
                <w:rFonts w:ascii="Times" w:hAnsi="Times"/>
                <w:b/>
                <w:bCs/>
                <w:sz w:val="20"/>
                <w:szCs w:val="20"/>
              </w:rPr>
              <w:t>Sub WG Member requesting data</w:t>
            </w:r>
          </w:p>
        </w:tc>
        <w:tc>
          <w:tcPr>
            <w:tcW w:w="0" w:type="auto"/>
          </w:tcPr>
          <w:p w14:paraId="51D15FD4" w14:textId="25A167CB" w:rsidR="00C9148C" w:rsidRPr="000013C0" w:rsidRDefault="00C9148C" w:rsidP="008269A9">
            <w:pPr>
              <w:rPr>
                <w:rFonts w:ascii="Times" w:hAnsi="Times"/>
                <w:b/>
                <w:bCs/>
                <w:sz w:val="20"/>
                <w:szCs w:val="20"/>
              </w:rPr>
            </w:pPr>
            <w:r w:rsidRPr="000013C0">
              <w:rPr>
                <w:rFonts w:ascii="Times" w:hAnsi="Times"/>
                <w:b/>
                <w:bCs/>
                <w:sz w:val="20"/>
                <w:szCs w:val="20"/>
              </w:rPr>
              <w:t>Status</w:t>
            </w:r>
          </w:p>
        </w:tc>
      </w:tr>
      <w:tr w:rsidR="007769D5" w:rsidRPr="00F844A2" w14:paraId="23050784" w14:textId="77777777" w:rsidTr="00735182">
        <w:tc>
          <w:tcPr>
            <w:tcW w:w="0" w:type="auto"/>
          </w:tcPr>
          <w:p w14:paraId="4BCADB51" w14:textId="2E007284" w:rsidR="00C9148C" w:rsidRPr="000013C0" w:rsidRDefault="00C9148C" w:rsidP="008269A9">
            <w:pPr>
              <w:rPr>
                <w:rFonts w:ascii="Times" w:hAnsi="Times"/>
                <w:sz w:val="20"/>
                <w:szCs w:val="20"/>
              </w:rPr>
            </w:pPr>
            <w:r w:rsidRPr="000013C0">
              <w:rPr>
                <w:rFonts w:ascii="Times" w:hAnsi="Times"/>
                <w:b/>
                <w:bCs/>
                <w:sz w:val="20"/>
                <w:szCs w:val="20"/>
              </w:rPr>
              <w:t>Participant summary data</w:t>
            </w:r>
            <w:r w:rsidRPr="000013C0">
              <w:rPr>
                <w:rFonts w:ascii="Times" w:hAnsi="Times"/>
                <w:sz w:val="20"/>
                <w:szCs w:val="20"/>
              </w:rPr>
              <w:t xml:space="preserve"> (showing customer class, total customers, and average usage by zip code; combination of Chris’s CEDARS data with data from Lara’s IOU data request of SMB program IDs)</w:t>
            </w:r>
            <w:r w:rsidRPr="000013C0">
              <w:rPr>
                <w:rStyle w:val="FootnoteReference"/>
                <w:rFonts w:ascii="Times" w:hAnsi="Times"/>
                <w:sz w:val="20"/>
                <w:szCs w:val="20"/>
              </w:rPr>
              <w:footnoteReference w:id="1"/>
            </w:r>
          </w:p>
        </w:tc>
        <w:tc>
          <w:tcPr>
            <w:tcW w:w="0" w:type="auto"/>
          </w:tcPr>
          <w:p w14:paraId="273D7232" w14:textId="44C12DF0" w:rsidR="00C9148C" w:rsidRPr="000013C0" w:rsidRDefault="00C9148C" w:rsidP="008269A9">
            <w:pPr>
              <w:rPr>
                <w:rFonts w:ascii="Times" w:hAnsi="Times"/>
                <w:sz w:val="20"/>
                <w:szCs w:val="20"/>
              </w:rPr>
            </w:pPr>
            <w:r w:rsidRPr="000013C0">
              <w:rPr>
                <w:rFonts w:ascii="Times" w:hAnsi="Times"/>
                <w:sz w:val="20"/>
                <w:szCs w:val="20"/>
              </w:rPr>
              <w:t>CEDARS; IOU data request</w:t>
            </w:r>
          </w:p>
        </w:tc>
        <w:tc>
          <w:tcPr>
            <w:tcW w:w="0" w:type="auto"/>
          </w:tcPr>
          <w:p w14:paraId="404C88AB" w14:textId="71DC307F" w:rsidR="00C9148C" w:rsidRPr="000013C0" w:rsidRDefault="00C9148C" w:rsidP="008269A9">
            <w:pPr>
              <w:rPr>
                <w:rFonts w:ascii="Times" w:hAnsi="Times"/>
                <w:sz w:val="20"/>
                <w:szCs w:val="20"/>
              </w:rPr>
            </w:pPr>
            <w:r w:rsidRPr="000013C0">
              <w:rPr>
                <w:rFonts w:ascii="Times" w:hAnsi="Times"/>
                <w:sz w:val="20"/>
                <w:szCs w:val="20"/>
              </w:rPr>
              <w:t>Lara</w:t>
            </w:r>
          </w:p>
        </w:tc>
        <w:tc>
          <w:tcPr>
            <w:tcW w:w="0" w:type="auto"/>
          </w:tcPr>
          <w:p w14:paraId="5323E495" w14:textId="07770572" w:rsidR="00C9148C" w:rsidRPr="000013C0" w:rsidRDefault="00426BD6" w:rsidP="00215FD3">
            <w:pPr>
              <w:rPr>
                <w:rFonts w:ascii="Times" w:hAnsi="Times"/>
                <w:sz w:val="20"/>
                <w:szCs w:val="20"/>
              </w:rPr>
            </w:pPr>
            <w:r w:rsidRPr="000013C0">
              <w:rPr>
                <w:rFonts w:ascii="Times" w:hAnsi="Times"/>
                <w:sz w:val="20"/>
                <w:szCs w:val="20"/>
              </w:rPr>
              <w:t xml:space="preserve">Chris </w:t>
            </w:r>
            <w:r w:rsidR="00F93A6E">
              <w:rPr>
                <w:rFonts w:ascii="Times" w:hAnsi="Times"/>
                <w:sz w:val="20"/>
                <w:szCs w:val="20"/>
              </w:rPr>
              <w:t>reported that</w:t>
            </w:r>
            <w:r w:rsidRPr="000013C0">
              <w:rPr>
                <w:rFonts w:ascii="Times" w:hAnsi="Times"/>
                <w:sz w:val="20"/>
                <w:szCs w:val="20"/>
              </w:rPr>
              <w:t xml:space="preserve"> Ed has access; Lara sent to Theo; Group to decide participants in data sharing and platform to use with and send via email, Google drive, or Sharepoint</w:t>
            </w:r>
            <w:r w:rsidR="00F54938" w:rsidRPr="00161AF7">
              <w:rPr>
                <w:rStyle w:val="FootnoteReference"/>
                <w:rFonts w:ascii="Times" w:hAnsi="Times"/>
                <w:sz w:val="20"/>
                <w:szCs w:val="20"/>
              </w:rPr>
              <w:footnoteReference w:id="2"/>
            </w:r>
          </w:p>
        </w:tc>
      </w:tr>
      <w:tr w:rsidR="007769D5" w:rsidRPr="00F844A2" w14:paraId="43FD583A" w14:textId="77777777" w:rsidTr="00735182">
        <w:tc>
          <w:tcPr>
            <w:tcW w:w="0" w:type="auto"/>
          </w:tcPr>
          <w:p w14:paraId="07A58FEB" w14:textId="77777777" w:rsidR="00C9148C" w:rsidRPr="000013C0" w:rsidRDefault="00C9148C" w:rsidP="00D972AB">
            <w:pPr>
              <w:rPr>
                <w:rFonts w:ascii="Times" w:hAnsi="Times"/>
                <w:sz w:val="20"/>
                <w:szCs w:val="20"/>
              </w:rPr>
            </w:pPr>
            <w:r w:rsidRPr="000013C0">
              <w:rPr>
                <w:rFonts w:ascii="Times" w:hAnsi="Times"/>
                <w:b/>
                <w:bCs/>
                <w:sz w:val="20"/>
                <w:szCs w:val="20"/>
              </w:rPr>
              <w:t>Participant detailed data:</w:t>
            </w:r>
            <w:r w:rsidRPr="000013C0">
              <w:rPr>
                <w:rFonts w:ascii="Times" w:hAnsi="Times"/>
                <w:sz w:val="20"/>
                <w:szCs w:val="20"/>
              </w:rPr>
              <w:t xml:space="preserve"> above data demarking SMB</w:t>
            </w:r>
          </w:p>
        </w:tc>
        <w:tc>
          <w:tcPr>
            <w:tcW w:w="0" w:type="auto"/>
          </w:tcPr>
          <w:p w14:paraId="304E3905" w14:textId="546D6D2D" w:rsidR="00C9148C" w:rsidRPr="000013C0" w:rsidRDefault="00C9148C" w:rsidP="00D972AB">
            <w:pPr>
              <w:rPr>
                <w:rFonts w:ascii="Times" w:hAnsi="Times"/>
                <w:sz w:val="20"/>
                <w:szCs w:val="20"/>
              </w:rPr>
            </w:pPr>
            <w:r w:rsidRPr="000013C0">
              <w:rPr>
                <w:rFonts w:ascii="Times" w:hAnsi="Times"/>
                <w:sz w:val="20"/>
                <w:szCs w:val="20"/>
              </w:rPr>
              <w:t>IOU data request</w:t>
            </w:r>
          </w:p>
        </w:tc>
        <w:tc>
          <w:tcPr>
            <w:tcW w:w="0" w:type="auto"/>
          </w:tcPr>
          <w:p w14:paraId="02CAF790" w14:textId="7B52BDF4" w:rsidR="00C9148C" w:rsidRPr="000013C0" w:rsidRDefault="00C9148C" w:rsidP="00D972AB">
            <w:pPr>
              <w:rPr>
                <w:rFonts w:ascii="Times" w:hAnsi="Times"/>
                <w:sz w:val="20"/>
                <w:szCs w:val="20"/>
              </w:rPr>
            </w:pPr>
            <w:r w:rsidRPr="000013C0">
              <w:rPr>
                <w:rFonts w:ascii="Times" w:hAnsi="Times"/>
                <w:sz w:val="20"/>
                <w:szCs w:val="20"/>
              </w:rPr>
              <w:t>Lara and Chris</w:t>
            </w:r>
          </w:p>
        </w:tc>
        <w:tc>
          <w:tcPr>
            <w:tcW w:w="0" w:type="auto"/>
          </w:tcPr>
          <w:p w14:paraId="5FB1D320" w14:textId="0502304B" w:rsidR="00C9148C" w:rsidRPr="000013C0" w:rsidRDefault="00C9148C" w:rsidP="00D972AB">
            <w:pPr>
              <w:rPr>
                <w:rFonts w:ascii="Times" w:hAnsi="Times"/>
                <w:sz w:val="20"/>
                <w:szCs w:val="20"/>
              </w:rPr>
            </w:pPr>
            <w:r w:rsidRPr="000013C0">
              <w:rPr>
                <w:rFonts w:ascii="Times" w:hAnsi="Times"/>
                <w:sz w:val="20"/>
                <w:szCs w:val="20"/>
              </w:rPr>
              <w:t>Chris to check whether he can get usage and # accts by zip code (E</w:t>
            </w:r>
            <w:r w:rsidR="007769D5" w:rsidRPr="000013C0">
              <w:rPr>
                <w:rFonts w:ascii="Times" w:hAnsi="Times"/>
                <w:sz w:val="20"/>
                <w:szCs w:val="20"/>
              </w:rPr>
              <w:t>D</w:t>
            </w:r>
            <w:r w:rsidRPr="000013C0">
              <w:rPr>
                <w:rFonts w:ascii="Times" w:hAnsi="Times"/>
                <w:sz w:val="20"/>
                <w:szCs w:val="20"/>
              </w:rPr>
              <w:t>RP process); if not Lara to draft data request, and circulate to team for review</w:t>
            </w:r>
          </w:p>
        </w:tc>
      </w:tr>
      <w:tr w:rsidR="007769D5" w:rsidRPr="00F844A2" w14:paraId="20B3F379" w14:textId="77777777" w:rsidTr="00735182">
        <w:tc>
          <w:tcPr>
            <w:tcW w:w="0" w:type="auto"/>
          </w:tcPr>
          <w:p w14:paraId="12FE0F33" w14:textId="61D5A8CB" w:rsidR="00C9148C" w:rsidRPr="000013C0" w:rsidRDefault="00C9148C" w:rsidP="008269A9">
            <w:pPr>
              <w:rPr>
                <w:rFonts w:ascii="Times" w:hAnsi="Times"/>
                <w:sz w:val="20"/>
                <w:szCs w:val="20"/>
              </w:rPr>
            </w:pPr>
            <w:r w:rsidRPr="000013C0">
              <w:rPr>
                <w:rFonts w:ascii="Times" w:hAnsi="Times"/>
                <w:b/>
                <w:bCs/>
                <w:sz w:val="20"/>
                <w:szCs w:val="20"/>
              </w:rPr>
              <w:t>Participant detailed data:</w:t>
            </w:r>
            <w:r w:rsidRPr="000013C0">
              <w:rPr>
                <w:rFonts w:ascii="Times" w:hAnsi="Times"/>
                <w:sz w:val="20"/>
                <w:szCs w:val="20"/>
              </w:rPr>
              <w:t xml:space="preserve"> Claims data from CEDARS</w:t>
            </w:r>
            <w:r w:rsidR="007769D5" w:rsidRPr="000013C0">
              <w:rPr>
                <w:rFonts w:ascii="Times" w:hAnsi="Times"/>
                <w:sz w:val="20"/>
                <w:szCs w:val="20"/>
              </w:rPr>
              <w:t xml:space="preserve"> (more detailed than “summary” data)</w:t>
            </w:r>
          </w:p>
        </w:tc>
        <w:tc>
          <w:tcPr>
            <w:tcW w:w="0" w:type="auto"/>
          </w:tcPr>
          <w:p w14:paraId="2715E2AC" w14:textId="72B5D216" w:rsidR="00C9148C" w:rsidRPr="000013C0" w:rsidRDefault="00C9148C" w:rsidP="008269A9">
            <w:pPr>
              <w:rPr>
                <w:rFonts w:ascii="Times" w:hAnsi="Times"/>
                <w:sz w:val="20"/>
                <w:szCs w:val="20"/>
              </w:rPr>
            </w:pPr>
            <w:r w:rsidRPr="000013C0">
              <w:rPr>
                <w:rFonts w:ascii="Times" w:hAnsi="Times"/>
                <w:sz w:val="20"/>
                <w:szCs w:val="20"/>
              </w:rPr>
              <w:t>CEDARS</w:t>
            </w:r>
          </w:p>
        </w:tc>
        <w:tc>
          <w:tcPr>
            <w:tcW w:w="0" w:type="auto"/>
          </w:tcPr>
          <w:p w14:paraId="3799CC81" w14:textId="43EE4690" w:rsidR="00C9148C" w:rsidRPr="000013C0" w:rsidRDefault="00C9148C" w:rsidP="008269A9">
            <w:pPr>
              <w:rPr>
                <w:rFonts w:ascii="Times" w:hAnsi="Times"/>
                <w:sz w:val="20"/>
                <w:szCs w:val="20"/>
              </w:rPr>
            </w:pPr>
            <w:r w:rsidRPr="000013C0">
              <w:rPr>
                <w:rFonts w:ascii="Times" w:hAnsi="Times"/>
                <w:sz w:val="20"/>
                <w:szCs w:val="20"/>
              </w:rPr>
              <w:t>Chris</w:t>
            </w:r>
          </w:p>
        </w:tc>
        <w:tc>
          <w:tcPr>
            <w:tcW w:w="0" w:type="auto"/>
          </w:tcPr>
          <w:p w14:paraId="22473473" w14:textId="400351A9" w:rsidR="00C9148C" w:rsidRPr="000013C0" w:rsidRDefault="00C9148C" w:rsidP="008269A9">
            <w:pPr>
              <w:rPr>
                <w:rFonts w:ascii="Times" w:hAnsi="Times"/>
                <w:sz w:val="20"/>
                <w:szCs w:val="20"/>
              </w:rPr>
            </w:pPr>
            <w:r w:rsidRPr="000013C0">
              <w:rPr>
                <w:rFonts w:ascii="Times" w:hAnsi="Times"/>
                <w:sz w:val="20"/>
                <w:szCs w:val="20"/>
              </w:rPr>
              <w:t xml:space="preserve">Ed and Theo </w:t>
            </w:r>
            <w:r w:rsidR="007769D5" w:rsidRPr="000013C0">
              <w:rPr>
                <w:rFonts w:ascii="Times" w:hAnsi="Times"/>
                <w:sz w:val="20"/>
                <w:szCs w:val="20"/>
              </w:rPr>
              <w:t>appear to have access</w:t>
            </w:r>
          </w:p>
        </w:tc>
      </w:tr>
      <w:tr w:rsidR="007769D5" w:rsidRPr="00F844A2" w14:paraId="44CC09F9" w14:textId="77777777" w:rsidTr="00735182">
        <w:tc>
          <w:tcPr>
            <w:tcW w:w="0" w:type="auto"/>
          </w:tcPr>
          <w:p w14:paraId="53B2548C" w14:textId="716E7DFE" w:rsidR="00C9148C" w:rsidRPr="000013C0" w:rsidRDefault="00C9148C" w:rsidP="008269A9">
            <w:pPr>
              <w:rPr>
                <w:rFonts w:ascii="Times" w:hAnsi="Times"/>
                <w:sz w:val="20"/>
                <w:szCs w:val="20"/>
              </w:rPr>
            </w:pPr>
            <w:r w:rsidRPr="000013C0">
              <w:rPr>
                <w:rFonts w:ascii="Times" w:hAnsi="Times"/>
                <w:b/>
                <w:bCs/>
                <w:sz w:val="20"/>
                <w:szCs w:val="20"/>
              </w:rPr>
              <w:t>Participant detailed data</w:t>
            </w:r>
            <w:r w:rsidRPr="000013C0">
              <w:rPr>
                <w:rFonts w:ascii="Times" w:hAnsi="Times"/>
                <w:sz w:val="20"/>
                <w:szCs w:val="20"/>
              </w:rPr>
              <w:t>: Spreadsheet of zip codes and participants</w:t>
            </w:r>
            <w:r w:rsidR="007769D5" w:rsidRPr="000013C0">
              <w:rPr>
                <w:rFonts w:ascii="Times" w:hAnsi="Times"/>
                <w:sz w:val="20"/>
                <w:szCs w:val="20"/>
              </w:rPr>
              <w:t xml:space="preserve"> (publicly available on IOU sites, or more detailed if request through EDRP)</w:t>
            </w:r>
          </w:p>
        </w:tc>
        <w:tc>
          <w:tcPr>
            <w:tcW w:w="0" w:type="auto"/>
          </w:tcPr>
          <w:p w14:paraId="278E2EFC" w14:textId="2D031C12" w:rsidR="00C9148C" w:rsidRPr="000013C0" w:rsidRDefault="00C9148C" w:rsidP="008269A9">
            <w:pPr>
              <w:rPr>
                <w:rFonts w:ascii="Times" w:hAnsi="Times"/>
                <w:sz w:val="20"/>
                <w:szCs w:val="20"/>
              </w:rPr>
            </w:pPr>
            <w:r w:rsidRPr="000013C0">
              <w:rPr>
                <w:rFonts w:ascii="Times" w:hAnsi="Times"/>
                <w:sz w:val="20"/>
                <w:szCs w:val="20"/>
              </w:rPr>
              <w:t>IOU Websites</w:t>
            </w:r>
          </w:p>
        </w:tc>
        <w:tc>
          <w:tcPr>
            <w:tcW w:w="0" w:type="auto"/>
          </w:tcPr>
          <w:p w14:paraId="7B6256E6" w14:textId="0DA5AA98" w:rsidR="00C9148C" w:rsidRPr="000013C0" w:rsidRDefault="00C9148C" w:rsidP="008269A9">
            <w:pPr>
              <w:rPr>
                <w:rFonts w:ascii="Times" w:hAnsi="Times"/>
                <w:sz w:val="20"/>
                <w:szCs w:val="20"/>
              </w:rPr>
            </w:pPr>
            <w:r w:rsidRPr="000013C0">
              <w:rPr>
                <w:rFonts w:ascii="Times" w:hAnsi="Times"/>
                <w:sz w:val="20"/>
                <w:szCs w:val="20"/>
              </w:rPr>
              <w:t>Lara</w:t>
            </w:r>
          </w:p>
        </w:tc>
        <w:tc>
          <w:tcPr>
            <w:tcW w:w="0" w:type="auto"/>
          </w:tcPr>
          <w:p w14:paraId="277B6B31" w14:textId="5A60A4DF" w:rsidR="00C9148C" w:rsidRPr="000013C0" w:rsidRDefault="007769D5" w:rsidP="00215FD3">
            <w:pPr>
              <w:rPr>
                <w:rFonts w:ascii="Times" w:hAnsi="Times"/>
                <w:sz w:val="20"/>
                <w:szCs w:val="20"/>
              </w:rPr>
            </w:pPr>
            <w:commentRangeStart w:id="0"/>
            <w:r w:rsidRPr="00161AF7">
              <w:rPr>
                <w:rFonts w:ascii="Times" w:hAnsi="Times"/>
                <w:sz w:val="20"/>
                <w:szCs w:val="20"/>
              </w:rPr>
              <w:t xml:space="preserve">Is the data accessible and does it show a breakdown across commercial categories? </w:t>
            </w:r>
            <w:commentRangeEnd w:id="0"/>
            <w:r w:rsidRPr="00161AF7">
              <w:rPr>
                <w:rStyle w:val="CommentReference"/>
                <w:rFonts w:ascii="Times" w:eastAsiaTheme="minorEastAsia" w:hAnsi="Times" w:cstheme="minorBidi"/>
                <w:sz w:val="20"/>
                <w:szCs w:val="20"/>
              </w:rPr>
              <w:commentReference w:id="0"/>
            </w:r>
          </w:p>
        </w:tc>
      </w:tr>
      <w:tr w:rsidR="007769D5" w:rsidRPr="00F844A2" w14:paraId="4889DA03" w14:textId="77777777" w:rsidTr="00735182">
        <w:tc>
          <w:tcPr>
            <w:tcW w:w="0" w:type="auto"/>
          </w:tcPr>
          <w:p w14:paraId="46BB8DB3" w14:textId="48A1EF1B" w:rsidR="00C9148C" w:rsidRPr="000013C0" w:rsidRDefault="00C9148C" w:rsidP="008269A9">
            <w:pPr>
              <w:rPr>
                <w:rFonts w:ascii="Times" w:hAnsi="Times"/>
                <w:sz w:val="20"/>
                <w:szCs w:val="20"/>
              </w:rPr>
            </w:pPr>
            <w:r w:rsidRPr="000013C0">
              <w:rPr>
                <w:rFonts w:ascii="Times" w:hAnsi="Times"/>
                <w:b/>
                <w:bCs/>
                <w:sz w:val="20"/>
                <w:szCs w:val="20"/>
              </w:rPr>
              <w:t>Total population data to show penetration/adoption (including large commercial)</w:t>
            </w:r>
            <w:r w:rsidRPr="000013C0">
              <w:rPr>
                <w:rFonts w:ascii="Times" w:hAnsi="Times"/>
                <w:sz w:val="20"/>
                <w:szCs w:val="20"/>
              </w:rPr>
              <w:t>: Census data: American Community Service (by census track and zip code) and County Business Patterns</w:t>
            </w:r>
            <w:r w:rsidR="00F54938" w:rsidRPr="000013C0">
              <w:rPr>
                <w:rStyle w:val="FootnoteReference"/>
                <w:rFonts w:ascii="Times" w:hAnsi="Times"/>
                <w:sz w:val="20"/>
                <w:szCs w:val="20"/>
              </w:rPr>
              <w:footnoteReference w:id="3"/>
            </w:r>
          </w:p>
        </w:tc>
        <w:tc>
          <w:tcPr>
            <w:tcW w:w="0" w:type="auto"/>
          </w:tcPr>
          <w:p w14:paraId="55C9ECA4" w14:textId="7F8DEF98" w:rsidR="00C9148C" w:rsidRPr="00161AF7" w:rsidRDefault="00C9148C" w:rsidP="008269A9">
            <w:pPr>
              <w:rPr>
                <w:rFonts w:ascii="Times" w:hAnsi="Times"/>
                <w:sz w:val="20"/>
                <w:szCs w:val="20"/>
              </w:rPr>
            </w:pPr>
            <w:r w:rsidRPr="000013C0">
              <w:rPr>
                <w:rFonts w:ascii="Times" w:hAnsi="Times"/>
                <w:sz w:val="20"/>
                <w:szCs w:val="20"/>
              </w:rPr>
              <w:t>Census Bureau</w:t>
            </w:r>
          </w:p>
        </w:tc>
        <w:tc>
          <w:tcPr>
            <w:tcW w:w="0" w:type="auto"/>
          </w:tcPr>
          <w:p w14:paraId="11EA0B42" w14:textId="075EAE76" w:rsidR="00C9148C" w:rsidRPr="000013C0" w:rsidRDefault="007769D5" w:rsidP="008269A9">
            <w:pPr>
              <w:rPr>
                <w:rFonts w:ascii="Times" w:hAnsi="Times"/>
                <w:sz w:val="20"/>
                <w:szCs w:val="20"/>
              </w:rPr>
            </w:pPr>
            <w:r w:rsidRPr="00161AF7">
              <w:rPr>
                <w:rFonts w:ascii="Times" w:hAnsi="Times"/>
                <w:sz w:val="20"/>
                <w:szCs w:val="20"/>
              </w:rPr>
              <w:t>n/a</w:t>
            </w:r>
          </w:p>
        </w:tc>
        <w:tc>
          <w:tcPr>
            <w:tcW w:w="0" w:type="auto"/>
          </w:tcPr>
          <w:p w14:paraId="608424EF" w14:textId="05034F11" w:rsidR="00C9148C" w:rsidRPr="000013C0" w:rsidRDefault="00C9148C" w:rsidP="008269A9">
            <w:pPr>
              <w:rPr>
                <w:rFonts w:ascii="Times" w:hAnsi="Times"/>
                <w:sz w:val="20"/>
                <w:szCs w:val="20"/>
              </w:rPr>
            </w:pPr>
            <w:r w:rsidRPr="00161AF7">
              <w:rPr>
                <w:rFonts w:ascii="Times" w:hAnsi="Times"/>
                <w:sz w:val="20"/>
                <w:szCs w:val="20"/>
              </w:rPr>
              <w:t>UCI research team to gather</w:t>
            </w:r>
          </w:p>
        </w:tc>
      </w:tr>
      <w:tr w:rsidR="007769D5" w:rsidRPr="00F844A2" w14:paraId="67BAA476" w14:textId="77777777" w:rsidTr="00735182">
        <w:tc>
          <w:tcPr>
            <w:tcW w:w="0" w:type="auto"/>
          </w:tcPr>
          <w:p w14:paraId="4C152CE9" w14:textId="79F7D414" w:rsidR="00C9148C" w:rsidRPr="000013C0" w:rsidRDefault="00C9148C" w:rsidP="008269A9">
            <w:pPr>
              <w:rPr>
                <w:rFonts w:ascii="Times" w:hAnsi="Times"/>
                <w:b/>
                <w:bCs/>
                <w:sz w:val="20"/>
                <w:szCs w:val="20"/>
              </w:rPr>
            </w:pPr>
            <w:r w:rsidRPr="000013C0">
              <w:rPr>
                <w:rFonts w:ascii="Times" w:hAnsi="Times"/>
                <w:b/>
                <w:bCs/>
                <w:sz w:val="20"/>
                <w:szCs w:val="20"/>
              </w:rPr>
              <w:t>NAICS code</w:t>
            </w:r>
            <w:r w:rsidR="007769D5" w:rsidRPr="00161AF7">
              <w:rPr>
                <w:rFonts w:ascii="Times" w:hAnsi="Times"/>
                <w:b/>
                <w:bCs/>
                <w:sz w:val="20"/>
                <w:szCs w:val="20"/>
              </w:rPr>
              <w:t>s</w:t>
            </w:r>
          </w:p>
        </w:tc>
        <w:tc>
          <w:tcPr>
            <w:tcW w:w="0" w:type="auto"/>
          </w:tcPr>
          <w:p w14:paraId="0825857F" w14:textId="338FEB44" w:rsidR="00C9148C" w:rsidRPr="00161AF7" w:rsidRDefault="007769D5" w:rsidP="008269A9">
            <w:pPr>
              <w:rPr>
                <w:rFonts w:ascii="Times" w:hAnsi="Times"/>
                <w:sz w:val="20"/>
                <w:szCs w:val="20"/>
              </w:rPr>
            </w:pPr>
            <w:r w:rsidRPr="000013C0">
              <w:rPr>
                <w:rFonts w:ascii="Times" w:hAnsi="Times"/>
                <w:sz w:val="20"/>
                <w:szCs w:val="20"/>
              </w:rPr>
              <w:t>https://www.naics.com/search/</w:t>
            </w:r>
          </w:p>
        </w:tc>
        <w:tc>
          <w:tcPr>
            <w:tcW w:w="0" w:type="auto"/>
          </w:tcPr>
          <w:p w14:paraId="42BEBCF7" w14:textId="33416E0A" w:rsidR="00C9148C" w:rsidRPr="00161AF7" w:rsidRDefault="007769D5" w:rsidP="008269A9">
            <w:pPr>
              <w:rPr>
                <w:rFonts w:ascii="Times" w:hAnsi="Times"/>
                <w:sz w:val="20"/>
                <w:szCs w:val="20"/>
              </w:rPr>
            </w:pPr>
            <w:r w:rsidRPr="00161AF7">
              <w:rPr>
                <w:rFonts w:ascii="Times" w:hAnsi="Times"/>
                <w:sz w:val="20"/>
                <w:szCs w:val="20"/>
              </w:rPr>
              <w:t>n/a</w:t>
            </w:r>
          </w:p>
        </w:tc>
        <w:tc>
          <w:tcPr>
            <w:tcW w:w="0" w:type="auto"/>
          </w:tcPr>
          <w:p w14:paraId="5C87FB25" w14:textId="70274368" w:rsidR="00C9148C" w:rsidRPr="00161AF7" w:rsidRDefault="007769D5" w:rsidP="008269A9">
            <w:pPr>
              <w:rPr>
                <w:rFonts w:ascii="Times" w:hAnsi="Times"/>
                <w:sz w:val="20"/>
                <w:szCs w:val="20"/>
              </w:rPr>
            </w:pPr>
            <w:r w:rsidRPr="000013C0">
              <w:rPr>
                <w:rFonts w:ascii="Times" w:hAnsi="Times"/>
                <w:sz w:val="20"/>
                <w:szCs w:val="20"/>
              </w:rPr>
              <w:t>UCI research team to gather and define which codes are SMB; cross-reference w/ NAICS used in CEDARS for SMB</w:t>
            </w:r>
          </w:p>
        </w:tc>
      </w:tr>
      <w:tr w:rsidR="007769D5" w:rsidRPr="00F844A2" w14:paraId="096FD8BA" w14:textId="77777777" w:rsidTr="00735182">
        <w:tc>
          <w:tcPr>
            <w:tcW w:w="0" w:type="auto"/>
          </w:tcPr>
          <w:p w14:paraId="573765BB" w14:textId="56C7C030" w:rsidR="00C9148C" w:rsidRPr="000013C0" w:rsidRDefault="00F54938" w:rsidP="008269A9">
            <w:pPr>
              <w:rPr>
                <w:rFonts w:ascii="Times" w:hAnsi="Times"/>
                <w:b/>
                <w:bCs/>
                <w:sz w:val="20"/>
                <w:szCs w:val="20"/>
              </w:rPr>
            </w:pPr>
            <w:r w:rsidRPr="000013C0">
              <w:rPr>
                <w:rFonts w:ascii="Times" w:hAnsi="Times"/>
                <w:b/>
                <w:bCs/>
                <w:sz w:val="20"/>
                <w:szCs w:val="20"/>
              </w:rPr>
              <w:t>IOU categorizations for small, medium, and large commercial</w:t>
            </w:r>
          </w:p>
        </w:tc>
        <w:tc>
          <w:tcPr>
            <w:tcW w:w="0" w:type="auto"/>
          </w:tcPr>
          <w:p w14:paraId="7EAC395C" w14:textId="0F7843D2" w:rsidR="00C9148C" w:rsidRPr="00161AF7" w:rsidRDefault="00C9148C" w:rsidP="008269A9">
            <w:pPr>
              <w:rPr>
                <w:rFonts w:ascii="Times" w:hAnsi="Times"/>
                <w:sz w:val="20"/>
                <w:szCs w:val="20"/>
              </w:rPr>
            </w:pPr>
            <w:r w:rsidRPr="000013C0">
              <w:rPr>
                <w:rFonts w:ascii="Times" w:hAnsi="Times"/>
                <w:sz w:val="20"/>
                <w:szCs w:val="20"/>
              </w:rPr>
              <w:t>IOUs</w:t>
            </w:r>
          </w:p>
        </w:tc>
        <w:tc>
          <w:tcPr>
            <w:tcW w:w="0" w:type="auto"/>
          </w:tcPr>
          <w:p w14:paraId="48C4A438" w14:textId="4824D6F7" w:rsidR="00C9148C" w:rsidRPr="00161AF7" w:rsidRDefault="00C9148C" w:rsidP="008269A9">
            <w:pPr>
              <w:rPr>
                <w:rFonts w:ascii="Times" w:hAnsi="Times"/>
                <w:sz w:val="20"/>
                <w:szCs w:val="20"/>
              </w:rPr>
            </w:pPr>
            <w:r w:rsidRPr="00161AF7">
              <w:rPr>
                <w:rFonts w:ascii="Times" w:hAnsi="Times"/>
                <w:sz w:val="20"/>
                <w:szCs w:val="20"/>
              </w:rPr>
              <w:t>Lara</w:t>
            </w:r>
          </w:p>
        </w:tc>
        <w:tc>
          <w:tcPr>
            <w:tcW w:w="0" w:type="auto"/>
          </w:tcPr>
          <w:p w14:paraId="423F175B" w14:textId="4857A04A" w:rsidR="00C9148C" w:rsidRPr="00161AF7" w:rsidRDefault="00C9148C" w:rsidP="008269A9">
            <w:pPr>
              <w:rPr>
                <w:rFonts w:ascii="Times" w:hAnsi="Times"/>
                <w:sz w:val="20"/>
                <w:szCs w:val="20"/>
              </w:rPr>
            </w:pPr>
            <w:r w:rsidRPr="000013C0">
              <w:rPr>
                <w:rFonts w:ascii="Times" w:hAnsi="Times"/>
                <w:sz w:val="20"/>
                <w:szCs w:val="20"/>
              </w:rPr>
              <w:t>Completed</w:t>
            </w:r>
          </w:p>
        </w:tc>
      </w:tr>
    </w:tbl>
    <w:p w14:paraId="2A510EDA" w14:textId="77A467B7" w:rsidR="00BB6654" w:rsidRDefault="00BB6654" w:rsidP="008269A9">
      <w:pPr>
        <w:rPr>
          <w:rFonts w:ascii="Times" w:hAnsi="Times"/>
          <w:b/>
          <w:bCs/>
        </w:rPr>
      </w:pPr>
    </w:p>
    <w:p w14:paraId="792BCDB7" w14:textId="04E093AF" w:rsidR="0016007C" w:rsidRPr="00161AF7" w:rsidRDefault="0016007C" w:rsidP="008269A9">
      <w:pPr>
        <w:rPr>
          <w:rFonts w:ascii="Times" w:hAnsi="Times"/>
          <w:i/>
          <w:iCs/>
        </w:rPr>
      </w:pPr>
      <w:r w:rsidRPr="00161AF7">
        <w:rPr>
          <w:rFonts w:ascii="Times" w:hAnsi="Times"/>
          <w:i/>
          <w:iCs/>
        </w:rPr>
        <w:t>Note: Table 1 was updated based on feedback on a call with C. Malotte held September 30</w:t>
      </w:r>
      <w:r w:rsidRPr="00161AF7">
        <w:rPr>
          <w:rFonts w:ascii="Times" w:hAnsi="Times"/>
          <w:i/>
          <w:iCs/>
          <w:vertAlign w:val="superscript"/>
        </w:rPr>
        <w:t>th</w:t>
      </w:r>
      <w:r w:rsidRPr="00161AF7">
        <w:rPr>
          <w:rFonts w:ascii="Times" w:hAnsi="Times"/>
          <w:i/>
          <w:iCs/>
        </w:rPr>
        <w:t>.</w:t>
      </w:r>
    </w:p>
    <w:p w14:paraId="3660C860" w14:textId="77777777" w:rsidR="0016007C" w:rsidRPr="00F844A2" w:rsidRDefault="0016007C" w:rsidP="008269A9">
      <w:pPr>
        <w:rPr>
          <w:rFonts w:ascii="Times" w:hAnsi="Times"/>
          <w:b/>
          <w:bCs/>
        </w:rPr>
      </w:pPr>
    </w:p>
    <w:p w14:paraId="0E5570F6" w14:textId="46B23D5B" w:rsidR="00BB6654" w:rsidRPr="00F844A2" w:rsidRDefault="00BB6654" w:rsidP="008269A9">
      <w:pPr>
        <w:rPr>
          <w:rFonts w:ascii="Times" w:hAnsi="Times"/>
        </w:rPr>
      </w:pPr>
      <w:r w:rsidRPr="00F844A2">
        <w:rPr>
          <w:rFonts w:ascii="Times" w:hAnsi="Times"/>
        </w:rPr>
        <w:t xml:space="preserve">An outstanding question is how to share the data and with whom. Members discussed the merits of sending it all to T. Love and E. Coulson vs. creating a shared document repository for all Members to access. </w:t>
      </w:r>
      <w:r w:rsidR="00143B7C">
        <w:rPr>
          <w:rFonts w:ascii="Times" w:hAnsi="Times"/>
        </w:rPr>
        <w:t xml:space="preserve">In post-meeting email exchange, T. Love created a </w:t>
      </w:r>
      <w:r w:rsidR="00215FD3">
        <w:rPr>
          <w:rFonts w:ascii="Times" w:hAnsi="Times"/>
        </w:rPr>
        <w:t>G</w:t>
      </w:r>
      <w:r w:rsidR="00143B7C">
        <w:rPr>
          <w:rFonts w:ascii="Times" w:hAnsi="Times"/>
        </w:rPr>
        <w:t xml:space="preserve">oogle drive repository </w:t>
      </w:r>
      <w:r w:rsidR="00143B7C">
        <w:rPr>
          <w:rFonts w:ascii="Times" w:hAnsi="Times"/>
        </w:rPr>
        <w:lastRenderedPageBreak/>
        <w:t xml:space="preserve">for members and participants (and presumably the future UCI research team) to post </w:t>
      </w:r>
      <w:r w:rsidR="00C9148C">
        <w:rPr>
          <w:rFonts w:ascii="Times" w:hAnsi="Times"/>
        </w:rPr>
        <w:t xml:space="preserve">publicly available </w:t>
      </w:r>
      <w:r w:rsidR="00143B7C">
        <w:rPr>
          <w:rFonts w:ascii="Times" w:hAnsi="Times"/>
        </w:rPr>
        <w:t xml:space="preserve">data, review the work plan, etc. </w:t>
      </w:r>
      <w:r w:rsidR="00C9148C">
        <w:rPr>
          <w:rFonts w:ascii="Times" w:hAnsi="Times"/>
        </w:rPr>
        <w:t xml:space="preserve">NRDC proposed that </w:t>
      </w:r>
      <w:r w:rsidR="00C9148C" w:rsidRPr="00161AF7">
        <w:rPr>
          <w:rFonts w:ascii="Times" w:hAnsi="Times"/>
        </w:rPr>
        <w:t xml:space="preserve">the analysis team (the UCI research team) be the primary data recipient but that data be available to UWG members by request – this can be confirmed at the next UWG. </w:t>
      </w:r>
    </w:p>
    <w:p w14:paraId="3EBD7456" w14:textId="77777777" w:rsidR="00BB6654" w:rsidRPr="00F844A2" w:rsidRDefault="00BB6654" w:rsidP="008269A9">
      <w:pPr>
        <w:rPr>
          <w:rFonts w:ascii="Times" w:hAnsi="Times"/>
          <w:b/>
          <w:bCs/>
        </w:rPr>
      </w:pPr>
    </w:p>
    <w:p w14:paraId="4C2738D6" w14:textId="76427604" w:rsidR="00BB6654" w:rsidRPr="00F844A2" w:rsidRDefault="00BB6654" w:rsidP="00BB6654">
      <w:pPr>
        <w:rPr>
          <w:rFonts w:ascii="Times" w:hAnsi="Times"/>
        </w:rPr>
      </w:pPr>
      <w:r w:rsidRPr="00F844A2">
        <w:rPr>
          <w:rFonts w:ascii="Times" w:hAnsi="Times"/>
        </w:rPr>
        <w:t>T. Love then provided an overview of his proposed work plan. Key points and discussion are summarized here; see the document for details.</w:t>
      </w:r>
    </w:p>
    <w:p w14:paraId="3B1C6A4F" w14:textId="77777777" w:rsidR="00BB6654" w:rsidRPr="00F844A2" w:rsidRDefault="00BB6654" w:rsidP="008269A9">
      <w:pPr>
        <w:rPr>
          <w:rFonts w:ascii="Times" w:hAnsi="Times"/>
          <w:b/>
          <w:bCs/>
        </w:rPr>
      </w:pPr>
    </w:p>
    <w:p w14:paraId="31E5C214" w14:textId="6A385F4F" w:rsidR="004A56C5" w:rsidRPr="00F844A2" w:rsidRDefault="00BB6654" w:rsidP="00BB6654">
      <w:pPr>
        <w:rPr>
          <w:rFonts w:ascii="Times" w:hAnsi="Times"/>
        </w:rPr>
      </w:pPr>
      <w:r w:rsidRPr="00F844A2">
        <w:rPr>
          <w:rFonts w:ascii="Times" w:hAnsi="Times"/>
        </w:rPr>
        <w:t>A few Members agr</w:t>
      </w:r>
      <w:r w:rsidR="00735182" w:rsidRPr="00F844A2">
        <w:rPr>
          <w:rFonts w:ascii="Times" w:hAnsi="Times"/>
        </w:rPr>
        <w:t xml:space="preserve">eed that the </w:t>
      </w:r>
      <w:r w:rsidR="004A56C5" w:rsidRPr="00F844A2">
        <w:rPr>
          <w:rFonts w:ascii="Times" w:hAnsi="Times"/>
        </w:rPr>
        <w:t xml:space="preserve">USC </w:t>
      </w:r>
      <w:r w:rsidR="00A66D40">
        <w:rPr>
          <w:rFonts w:ascii="Times" w:hAnsi="Times"/>
        </w:rPr>
        <w:t xml:space="preserve">analysis and </w:t>
      </w:r>
      <w:r w:rsidR="004A56C5" w:rsidRPr="00F844A2">
        <w:rPr>
          <w:rFonts w:ascii="Times" w:hAnsi="Times"/>
        </w:rPr>
        <w:t xml:space="preserve">report </w:t>
      </w:r>
      <w:r w:rsidR="00A66D40">
        <w:rPr>
          <w:rFonts w:ascii="Times" w:hAnsi="Times"/>
        </w:rPr>
        <w:t xml:space="preserve">had </w:t>
      </w:r>
      <w:r w:rsidR="004A56C5" w:rsidRPr="00F844A2">
        <w:rPr>
          <w:rFonts w:ascii="Times" w:hAnsi="Times"/>
        </w:rPr>
        <w:t>provided</w:t>
      </w:r>
      <w:r w:rsidR="00735182" w:rsidRPr="00F844A2">
        <w:rPr>
          <w:rFonts w:ascii="Times" w:hAnsi="Times"/>
        </w:rPr>
        <w:t xml:space="preserve"> a</w:t>
      </w:r>
      <w:r w:rsidR="004A56C5" w:rsidRPr="00F844A2">
        <w:rPr>
          <w:rFonts w:ascii="Times" w:hAnsi="Times"/>
        </w:rPr>
        <w:t xml:space="preserve"> </w:t>
      </w:r>
      <w:r w:rsidR="00A66D40">
        <w:rPr>
          <w:rFonts w:ascii="Times" w:hAnsi="Times"/>
        </w:rPr>
        <w:t xml:space="preserve">useful </w:t>
      </w:r>
      <w:r w:rsidR="004A56C5" w:rsidRPr="00F844A2">
        <w:rPr>
          <w:rFonts w:ascii="Times" w:hAnsi="Times"/>
        </w:rPr>
        <w:t xml:space="preserve">foundation but </w:t>
      </w:r>
      <w:r w:rsidR="00735182" w:rsidRPr="00F844A2">
        <w:rPr>
          <w:rFonts w:ascii="Times" w:hAnsi="Times"/>
        </w:rPr>
        <w:t xml:space="preserve">that we </w:t>
      </w:r>
      <w:r w:rsidR="004A56C5" w:rsidRPr="00F844A2">
        <w:rPr>
          <w:rFonts w:ascii="Times" w:hAnsi="Times"/>
        </w:rPr>
        <w:t>need to dive deeper</w:t>
      </w:r>
      <w:r w:rsidR="00735182" w:rsidRPr="00F844A2">
        <w:rPr>
          <w:rFonts w:ascii="Times" w:hAnsi="Times"/>
        </w:rPr>
        <w:t xml:space="preserve"> for the SMB analysis to </w:t>
      </w:r>
      <w:r w:rsidR="00A66D40">
        <w:rPr>
          <w:rFonts w:ascii="Times" w:hAnsi="Times"/>
        </w:rPr>
        <w:t xml:space="preserve">carry greater explanatory power and serve as the basis for development of </w:t>
      </w:r>
      <w:r w:rsidR="00735182" w:rsidRPr="00F844A2">
        <w:rPr>
          <w:rFonts w:ascii="Times" w:hAnsi="Times"/>
        </w:rPr>
        <w:t>concrete policy recommendations.</w:t>
      </w:r>
    </w:p>
    <w:p w14:paraId="5611EF06" w14:textId="090B8F47" w:rsidR="00735182" w:rsidRPr="00F844A2" w:rsidRDefault="00735182" w:rsidP="00BB6654">
      <w:pPr>
        <w:rPr>
          <w:rFonts w:ascii="Times" w:hAnsi="Times"/>
        </w:rPr>
      </w:pPr>
    </w:p>
    <w:p w14:paraId="49BA815A" w14:textId="741144A9" w:rsidR="00E86831" w:rsidRPr="00F844A2" w:rsidRDefault="00735182" w:rsidP="00735182">
      <w:pPr>
        <w:rPr>
          <w:rFonts w:ascii="Times" w:hAnsi="Times"/>
        </w:rPr>
      </w:pPr>
      <w:r w:rsidRPr="00F844A2">
        <w:rPr>
          <w:rFonts w:ascii="Times" w:hAnsi="Times"/>
        </w:rPr>
        <w:t>T. Love presented his proposed m</w:t>
      </w:r>
      <w:r w:rsidR="00E86831" w:rsidRPr="00F844A2">
        <w:rPr>
          <w:rFonts w:ascii="Times" w:hAnsi="Times"/>
        </w:rPr>
        <w:t>ethodological overview</w:t>
      </w:r>
      <w:r w:rsidRPr="00F844A2">
        <w:rPr>
          <w:rFonts w:ascii="Times" w:hAnsi="Times"/>
        </w:rPr>
        <w:t>, which includes an e</w:t>
      </w:r>
      <w:r w:rsidR="00E86831" w:rsidRPr="00F844A2">
        <w:rPr>
          <w:rFonts w:ascii="Times" w:hAnsi="Times"/>
        </w:rPr>
        <w:t>xploration of participation data (including explanatory variables, SMB definition), spatial analysis for gaps by geographic area, and spatial analysis for gaps by socio-demographic and geographic area</w:t>
      </w:r>
      <w:r w:rsidRPr="00F844A2">
        <w:rPr>
          <w:rFonts w:ascii="Times" w:hAnsi="Times"/>
        </w:rPr>
        <w:t xml:space="preserve">. </w:t>
      </w:r>
    </w:p>
    <w:p w14:paraId="5584104A" w14:textId="4671BB54" w:rsidR="00735182" w:rsidRPr="00F844A2" w:rsidRDefault="00735182" w:rsidP="00735182">
      <w:pPr>
        <w:rPr>
          <w:rFonts w:ascii="Times" w:hAnsi="Times"/>
        </w:rPr>
      </w:pPr>
    </w:p>
    <w:p w14:paraId="3C088BD3" w14:textId="01903286" w:rsidR="00E86831" w:rsidRPr="00F844A2" w:rsidRDefault="00735182" w:rsidP="00735182">
      <w:pPr>
        <w:rPr>
          <w:rFonts w:ascii="Times" w:hAnsi="Times"/>
        </w:rPr>
      </w:pPr>
      <w:r w:rsidRPr="00F844A2">
        <w:rPr>
          <w:rFonts w:ascii="Times" w:hAnsi="Times"/>
        </w:rPr>
        <w:t xml:space="preserve">J. Dodenhoff asked if the analysis should use </w:t>
      </w:r>
      <w:r w:rsidR="00E86831" w:rsidRPr="00F844A2">
        <w:rPr>
          <w:rFonts w:ascii="Times" w:hAnsi="Times"/>
        </w:rPr>
        <w:t xml:space="preserve">CEI or claims metadata? </w:t>
      </w:r>
      <w:r w:rsidRPr="00F844A2">
        <w:rPr>
          <w:rFonts w:ascii="Times" w:hAnsi="Times"/>
        </w:rPr>
        <w:t>T. Love responded that he believes CEI data is</w:t>
      </w:r>
      <w:r w:rsidR="00E86831" w:rsidRPr="00F844A2">
        <w:rPr>
          <w:rFonts w:ascii="Times" w:hAnsi="Times"/>
        </w:rPr>
        <w:t xml:space="preserve"> quarterly or monthly </w:t>
      </w:r>
      <w:r w:rsidR="006F577E" w:rsidRPr="00F844A2">
        <w:rPr>
          <w:rFonts w:ascii="Times" w:hAnsi="Times"/>
        </w:rPr>
        <w:t>reporting</w:t>
      </w:r>
      <w:r w:rsidR="00E86831" w:rsidRPr="00F844A2">
        <w:rPr>
          <w:rFonts w:ascii="Times" w:hAnsi="Times"/>
        </w:rPr>
        <w:t xml:space="preserve"> data, </w:t>
      </w:r>
      <w:r w:rsidRPr="00F844A2">
        <w:rPr>
          <w:rFonts w:ascii="Times" w:hAnsi="Times"/>
        </w:rPr>
        <w:t xml:space="preserve">and that therefore </w:t>
      </w:r>
      <w:r w:rsidR="00E86831" w:rsidRPr="00F844A2">
        <w:rPr>
          <w:rFonts w:ascii="Times" w:hAnsi="Times"/>
        </w:rPr>
        <w:t>we</w:t>
      </w:r>
      <w:r w:rsidRPr="00F844A2">
        <w:rPr>
          <w:rFonts w:ascii="Times" w:hAnsi="Times"/>
        </w:rPr>
        <w:t xml:space="preserve"> a</w:t>
      </w:r>
      <w:r w:rsidR="00E86831" w:rsidRPr="00F844A2">
        <w:rPr>
          <w:rFonts w:ascii="Times" w:hAnsi="Times"/>
        </w:rPr>
        <w:t xml:space="preserve">re interested in claim-level </w:t>
      </w:r>
      <w:commentRangeStart w:id="1"/>
      <w:r w:rsidR="00E86831" w:rsidRPr="00F844A2">
        <w:rPr>
          <w:rFonts w:ascii="Times" w:hAnsi="Times"/>
        </w:rPr>
        <w:t>data</w:t>
      </w:r>
      <w:commentRangeEnd w:id="1"/>
      <w:r w:rsidR="00751461">
        <w:rPr>
          <w:rStyle w:val="CommentReference"/>
          <w:rFonts w:asciiTheme="minorHAnsi" w:eastAsiaTheme="minorEastAsia" w:hAnsiTheme="minorHAnsi" w:cstheme="minorBidi"/>
        </w:rPr>
        <w:commentReference w:id="1"/>
      </w:r>
      <w:r w:rsidR="00E86831" w:rsidRPr="00F844A2">
        <w:rPr>
          <w:rFonts w:ascii="Times" w:hAnsi="Times"/>
        </w:rPr>
        <w:t>.</w:t>
      </w:r>
    </w:p>
    <w:p w14:paraId="13EF0198" w14:textId="531CDF90" w:rsidR="00735182" w:rsidRPr="00F844A2" w:rsidRDefault="00735182" w:rsidP="00735182">
      <w:pPr>
        <w:rPr>
          <w:rFonts w:ascii="Times" w:hAnsi="Times"/>
        </w:rPr>
      </w:pPr>
    </w:p>
    <w:p w14:paraId="27900EE3" w14:textId="77777777" w:rsidR="00735182" w:rsidRPr="00F844A2" w:rsidRDefault="00735182" w:rsidP="00735182">
      <w:pPr>
        <w:rPr>
          <w:rFonts w:ascii="Times" w:hAnsi="Times"/>
        </w:rPr>
      </w:pPr>
      <w:r w:rsidRPr="00F844A2">
        <w:rPr>
          <w:rFonts w:ascii="Times" w:hAnsi="Times"/>
        </w:rPr>
        <w:t xml:space="preserve">Members discussed whether SBUA data would be relevant, but decided that since it caps out at 20 kW, the data would not correspond to the IOU data, which varies by utility and is sometimes larger than the SBUA threshold. </w:t>
      </w:r>
    </w:p>
    <w:p w14:paraId="49B86636" w14:textId="77777777" w:rsidR="00735182" w:rsidRPr="00F844A2" w:rsidRDefault="00735182" w:rsidP="00735182">
      <w:pPr>
        <w:rPr>
          <w:rFonts w:ascii="Times" w:hAnsi="Times"/>
        </w:rPr>
      </w:pPr>
    </w:p>
    <w:p w14:paraId="15B97743" w14:textId="4EBFAE85" w:rsidR="00735182" w:rsidRPr="00F844A2" w:rsidRDefault="002C40B6" w:rsidP="00735182">
      <w:pPr>
        <w:rPr>
          <w:rFonts w:ascii="Times" w:hAnsi="Times"/>
        </w:rPr>
      </w:pPr>
      <w:r w:rsidRPr="00F844A2">
        <w:rPr>
          <w:rFonts w:ascii="Times" w:hAnsi="Times"/>
        </w:rPr>
        <w:t>Table 2,</w:t>
      </w:r>
      <w:r w:rsidR="00735182" w:rsidRPr="00F844A2">
        <w:rPr>
          <w:rFonts w:ascii="Times" w:hAnsi="Times"/>
        </w:rPr>
        <w:t xml:space="preserve"> below</w:t>
      </w:r>
      <w:r w:rsidRPr="00F844A2">
        <w:rPr>
          <w:rFonts w:ascii="Times" w:hAnsi="Times"/>
        </w:rPr>
        <w:t>,</w:t>
      </w:r>
      <w:r w:rsidR="00735182" w:rsidRPr="00F844A2">
        <w:rPr>
          <w:rFonts w:ascii="Times" w:hAnsi="Times"/>
        </w:rPr>
        <w:t xml:space="preserve"> summarizes each IOU’s definition of small, medium, and large commercial customer class, per their 2017 Business Plan, which L. Ettenson looked up live during the meeting</w:t>
      </w:r>
      <w:r w:rsidR="00BB5B34" w:rsidRPr="00F844A2">
        <w:rPr>
          <w:rFonts w:ascii="Times" w:hAnsi="Times"/>
        </w:rPr>
        <w:t xml:space="preserve"> and followed up with K. Abrams via email.</w:t>
      </w:r>
      <w:r w:rsidR="00CA390F">
        <w:rPr>
          <w:rFonts w:ascii="Times" w:hAnsi="Times"/>
        </w:rPr>
        <w:t xml:space="preserve"> L. Ettenson also data requested SDG&amp;E for their therms categorization, which led to further details as defined in E-4939.</w:t>
      </w:r>
    </w:p>
    <w:p w14:paraId="4CDB3C14" w14:textId="4D477372" w:rsidR="006E13EA" w:rsidRPr="00F844A2" w:rsidRDefault="006E13EA" w:rsidP="006E13EA">
      <w:pPr>
        <w:rPr>
          <w:rFonts w:ascii="Times" w:hAnsi="Times"/>
        </w:rPr>
      </w:pPr>
    </w:p>
    <w:p w14:paraId="4924BC66" w14:textId="4108B4F2" w:rsidR="002C40B6" w:rsidRPr="00F844A2" w:rsidRDefault="002C40B6" w:rsidP="006E13EA">
      <w:pPr>
        <w:rPr>
          <w:rFonts w:ascii="Times" w:hAnsi="Times"/>
        </w:rPr>
      </w:pPr>
      <w:r w:rsidRPr="00F844A2">
        <w:rPr>
          <w:rFonts w:ascii="Times" w:hAnsi="Times"/>
        </w:rPr>
        <w:t xml:space="preserve">Table 2. IOU definition of commercial customer </w:t>
      </w:r>
      <w:commentRangeStart w:id="2"/>
      <w:commentRangeStart w:id="3"/>
      <w:r w:rsidRPr="00F844A2">
        <w:rPr>
          <w:rFonts w:ascii="Times" w:hAnsi="Times"/>
        </w:rPr>
        <w:t>classes</w:t>
      </w:r>
      <w:commentRangeEnd w:id="2"/>
      <w:r w:rsidR="00751461">
        <w:rPr>
          <w:rStyle w:val="CommentReference"/>
          <w:rFonts w:asciiTheme="minorHAnsi" w:eastAsiaTheme="minorEastAsia" w:hAnsiTheme="minorHAnsi" w:cstheme="minorBidi"/>
        </w:rPr>
        <w:commentReference w:id="2"/>
      </w:r>
      <w:commentRangeEnd w:id="3"/>
      <w:r w:rsidR="00CA390F">
        <w:rPr>
          <w:rStyle w:val="CommentReference"/>
          <w:rFonts w:asciiTheme="minorHAnsi" w:eastAsiaTheme="minorEastAsia" w:hAnsiTheme="minorHAnsi" w:cstheme="minorBidi"/>
        </w:rPr>
        <w:commentReference w:id="3"/>
      </w:r>
    </w:p>
    <w:tbl>
      <w:tblPr>
        <w:tblStyle w:val="TableGrid"/>
        <w:tblW w:w="0" w:type="auto"/>
        <w:tblLook w:val="04A0" w:firstRow="1" w:lastRow="0" w:firstColumn="1" w:lastColumn="0" w:noHBand="0" w:noVBand="1"/>
      </w:tblPr>
      <w:tblGrid>
        <w:gridCol w:w="2337"/>
        <w:gridCol w:w="2337"/>
        <w:gridCol w:w="2338"/>
        <w:gridCol w:w="2338"/>
      </w:tblGrid>
      <w:tr w:rsidR="00993895" w:rsidRPr="00F844A2" w14:paraId="114FEA60" w14:textId="77777777" w:rsidTr="00993895">
        <w:tc>
          <w:tcPr>
            <w:tcW w:w="2337" w:type="dxa"/>
          </w:tcPr>
          <w:p w14:paraId="05C96278" w14:textId="0729F9AF" w:rsidR="00993895" w:rsidRPr="00F844A2" w:rsidRDefault="00993895" w:rsidP="00993895">
            <w:pPr>
              <w:rPr>
                <w:rFonts w:ascii="Times" w:hAnsi="Times"/>
                <w:b/>
                <w:bCs/>
                <w:sz w:val="20"/>
                <w:szCs w:val="20"/>
              </w:rPr>
            </w:pPr>
            <w:r w:rsidRPr="00F844A2">
              <w:rPr>
                <w:rFonts w:ascii="Times" w:hAnsi="Times"/>
                <w:b/>
                <w:bCs/>
                <w:sz w:val="20"/>
                <w:szCs w:val="20"/>
              </w:rPr>
              <w:t>Utility</w:t>
            </w:r>
          </w:p>
        </w:tc>
        <w:tc>
          <w:tcPr>
            <w:tcW w:w="2337" w:type="dxa"/>
          </w:tcPr>
          <w:p w14:paraId="19D34999" w14:textId="43AB0221" w:rsidR="00993895" w:rsidRPr="00F844A2" w:rsidRDefault="00993895" w:rsidP="00993895">
            <w:pPr>
              <w:rPr>
                <w:rFonts w:ascii="Times" w:hAnsi="Times"/>
                <w:b/>
                <w:bCs/>
                <w:sz w:val="20"/>
                <w:szCs w:val="20"/>
              </w:rPr>
            </w:pPr>
            <w:r w:rsidRPr="00F844A2">
              <w:rPr>
                <w:rFonts w:ascii="Times" w:hAnsi="Times"/>
                <w:b/>
                <w:bCs/>
                <w:sz w:val="20"/>
                <w:szCs w:val="20"/>
              </w:rPr>
              <w:t>Small</w:t>
            </w:r>
          </w:p>
        </w:tc>
        <w:tc>
          <w:tcPr>
            <w:tcW w:w="2338" w:type="dxa"/>
          </w:tcPr>
          <w:p w14:paraId="59BB284E" w14:textId="72C960BB" w:rsidR="00993895" w:rsidRPr="00F844A2" w:rsidRDefault="00735182" w:rsidP="00993895">
            <w:pPr>
              <w:rPr>
                <w:rFonts w:ascii="Times" w:hAnsi="Times"/>
                <w:b/>
                <w:bCs/>
                <w:sz w:val="20"/>
                <w:szCs w:val="20"/>
              </w:rPr>
            </w:pPr>
            <w:r w:rsidRPr="00F844A2">
              <w:rPr>
                <w:rFonts w:ascii="Times" w:hAnsi="Times"/>
                <w:b/>
                <w:bCs/>
                <w:sz w:val="20"/>
                <w:szCs w:val="20"/>
              </w:rPr>
              <w:t>Medium</w:t>
            </w:r>
          </w:p>
        </w:tc>
        <w:tc>
          <w:tcPr>
            <w:tcW w:w="2338" w:type="dxa"/>
          </w:tcPr>
          <w:p w14:paraId="7C061B3D" w14:textId="2A88F80C" w:rsidR="00993895" w:rsidRPr="00F844A2" w:rsidRDefault="00993895" w:rsidP="00993895">
            <w:pPr>
              <w:rPr>
                <w:rFonts w:ascii="Times" w:hAnsi="Times"/>
                <w:b/>
                <w:bCs/>
                <w:sz w:val="20"/>
                <w:szCs w:val="20"/>
              </w:rPr>
            </w:pPr>
            <w:r w:rsidRPr="00F844A2">
              <w:rPr>
                <w:rFonts w:ascii="Times" w:hAnsi="Times"/>
                <w:b/>
                <w:bCs/>
                <w:sz w:val="20"/>
                <w:szCs w:val="20"/>
              </w:rPr>
              <w:t>Large</w:t>
            </w:r>
          </w:p>
        </w:tc>
      </w:tr>
      <w:tr w:rsidR="00993895" w:rsidRPr="00F844A2" w14:paraId="380008B3" w14:textId="77777777" w:rsidTr="00993895">
        <w:tc>
          <w:tcPr>
            <w:tcW w:w="2337" w:type="dxa"/>
          </w:tcPr>
          <w:p w14:paraId="41DF180D" w14:textId="5C378ABF" w:rsidR="00993895" w:rsidRPr="00F844A2" w:rsidRDefault="00993895" w:rsidP="00993895">
            <w:pPr>
              <w:rPr>
                <w:rFonts w:ascii="Times" w:hAnsi="Times"/>
                <w:sz w:val="20"/>
                <w:szCs w:val="20"/>
              </w:rPr>
            </w:pPr>
            <w:r w:rsidRPr="00F844A2">
              <w:rPr>
                <w:rFonts w:ascii="Times" w:hAnsi="Times"/>
                <w:sz w:val="20"/>
                <w:szCs w:val="20"/>
              </w:rPr>
              <w:t>SCE</w:t>
            </w:r>
          </w:p>
        </w:tc>
        <w:tc>
          <w:tcPr>
            <w:tcW w:w="2337" w:type="dxa"/>
          </w:tcPr>
          <w:p w14:paraId="26AA86E3" w14:textId="05E21B08" w:rsidR="00993895" w:rsidRPr="00F844A2" w:rsidRDefault="00543748" w:rsidP="00993895">
            <w:pPr>
              <w:rPr>
                <w:rFonts w:ascii="Times" w:hAnsi="Times"/>
                <w:sz w:val="20"/>
                <w:szCs w:val="20"/>
              </w:rPr>
            </w:pPr>
            <w:r w:rsidRPr="00F844A2">
              <w:rPr>
                <w:rFonts w:ascii="Times" w:hAnsi="Times"/>
                <w:spacing w:val="-1"/>
                <w:sz w:val="20"/>
                <w:szCs w:val="20"/>
              </w:rPr>
              <w:t>&lt;</w:t>
            </w:r>
            <w:r w:rsidR="00993895" w:rsidRPr="00F844A2">
              <w:rPr>
                <w:rFonts w:ascii="Times" w:hAnsi="Times"/>
                <w:spacing w:val="-1"/>
                <w:sz w:val="20"/>
                <w:szCs w:val="20"/>
              </w:rPr>
              <w:t>5</w:t>
            </w:r>
            <w:r w:rsidR="00993895" w:rsidRPr="00F844A2">
              <w:rPr>
                <w:rFonts w:ascii="Times" w:hAnsi="Times"/>
                <w:sz w:val="20"/>
                <w:szCs w:val="20"/>
              </w:rPr>
              <w:t xml:space="preserve">0 </w:t>
            </w:r>
            <w:r w:rsidR="00993895" w:rsidRPr="00F844A2">
              <w:rPr>
                <w:rFonts w:ascii="Times" w:hAnsi="Times"/>
                <w:spacing w:val="-1"/>
                <w:sz w:val="20"/>
                <w:szCs w:val="20"/>
              </w:rPr>
              <w:t xml:space="preserve">kW; </w:t>
            </w:r>
            <w:r w:rsidRPr="00F844A2">
              <w:rPr>
                <w:rFonts w:ascii="Times" w:hAnsi="Times"/>
                <w:spacing w:val="-1"/>
                <w:sz w:val="20"/>
                <w:szCs w:val="20"/>
              </w:rPr>
              <w:t xml:space="preserve">7,000 </w:t>
            </w:r>
            <w:r w:rsidR="00993895" w:rsidRPr="00F844A2">
              <w:rPr>
                <w:rFonts w:ascii="Times" w:hAnsi="Times"/>
                <w:spacing w:val="-1"/>
                <w:sz w:val="20"/>
                <w:szCs w:val="20"/>
              </w:rPr>
              <w:t>accounts</w:t>
            </w:r>
          </w:p>
        </w:tc>
        <w:tc>
          <w:tcPr>
            <w:tcW w:w="2338" w:type="dxa"/>
          </w:tcPr>
          <w:p w14:paraId="770575F9" w14:textId="0176FB36" w:rsidR="00993895" w:rsidRPr="00F844A2" w:rsidRDefault="00617CF2" w:rsidP="00993895">
            <w:pPr>
              <w:rPr>
                <w:rFonts w:ascii="Times" w:hAnsi="Times"/>
                <w:sz w:val="20"/>
                <w:szCs w:val="20"/>
              </w:rPr>
            </w:pPr>
            <w:r w:rsidRPr="00F844A2">
              <w:rPr>
                <w:rFonts w:ascii="Times" w:hAnsi="Times"/>
                <w:sz w:val="20"/>
                <w:szCs w:val="20"/>
              </w:rPr>
              <w:t>≥</w:t>
            </w:r>
            <w:r w:rsidRPr="00F844A2">
              <w:rPr>
                <w:rFonts w:ascii="Times" w:hAnsi="Times"/>
                <w:spacing w:val="-1"/>
                <w:sz w:val="20"/>
                <w:szCs w:val="20"/>
              </w:rPr>
              <w:t>5</w:t>
            </w:r>
            <w:r w:rsidRPr="00F844A2">
              <w:rPr>
                <w:rFonts w:ascii="Times" w:hAnsi="Times"/>
                <w:sz w:val="20"/>
                <w:szCs w:val="20"/>
              </w:rPr>
              <w:t xml:space="preserve">0 </w:t>
            </w:r>
            <w:r w:rsidRPr="00F844A2">
              <w:rPr>
                <w:rFonts w:ascii="Times" w:hAnsi="Times"/>
                <w:spacing w:val="-1"/>
                <w:sz w:val="20"/>
                <w:szCs w:val="20"/>
              </w:rPr>
              <w:t>k</w:t>
            </w:r>
            <w:r w:rsidRPr="00F844A2">
              <w:rPr>
                <w:rFonts w:ascii="Times" w:hAnsi="Times"/>
                <w:sz w:val="20"/>
                <w:szCs w:val="20"/>
              </w:rPr>
              <w:t xml:space="preserve">W, &lt; </w:t>
            </w:r>
            <w:r w:rsidRPr="00F844A2">
              <w:rPr>
                <w:rFonts w:ascii="Times" w:hAnsi="Times"/>
                <w:spacing w:val="-1"/>
                <w:sz w:val="20"/>
                <w:szCs w:val="20"/>
              </w:rPr>
              <w:t>25</w:t>
            </w:r>
            <w:r w:rsidRPr="00F844A2">
              <w:rPr>
                <w:rFonts w:ascii="Times" w:hAnsi="Times"/>
                <w:sz w:val="20"/>
                <w:szCs w:val="20"/>
              </w:rPr>
              <w:t xml:space="preserve">0 </w:t>
            </w:r>
            <w:r w:rsidRPr="00F844A2">
              <w:rPr>
                <w:rFonts w:ascii="Times" w:hAnsi="Times"/>
                <w:spacing w:val="-1"/>
                <w:sz w:val="20"/>
                <w:szCs w:val="20"/>
              </w:rPr>
              <w:t>kW; 33,000 accounts</w:t>
            </w:r>
          </w:p>
        </w:tc>
        <w:tc>
          <w:tcPr>
            <w:tcW w:w="2338" w:type="dxa"/>
          </w:tcPr>
          <w:p w14:paraId="4079EC73" w14:textId="18DF4B20" w:rsidR="00617CF2" w:rsidRPr="00F844A2" w:rsidRDefault="00617CF2" w:rsidP="00617CF2">
            <w:pPr>
              <w:rPr>
                <w:rFonts w:ascii="Times" w:hAnsi="Times"/>
                <w:sz w:val="20"/>
                <w:szCs w:val="20"/>
              </w:rPr>
            </w:pPr>
            <w:r w:rsidRPr="00F844A2">
              <w:rPr>
                <w:rFonts w:ascii="Times" w:hAnsi="Times"/>
                <w:sz w:val="20"/>
                <w:szCs w:val="20"/>
              </w:rPr>
              <w:t>≥</w:t>
            </w:r>
            <w:r w:rsidRPr="00F844A2">
              <w:rPr>
                <w:rFonts w:ascii="Times" w:hAnsi="Times"/>
                <w:spacing w:val="-1"/>
                <w:sz w:val="20"/>
                <w:szCs w:val="20"/>
              </w:rPr>
              <w:t>25</w:t>
            </w:r>
            <w:r w:rsidRPr="00F844A2">
              <w:rPr>
                <w:rFonts w:ascii="Times" w:hAnsi="Times"/>
                <w:sz w:val="20"/>
                <w:szCs w:val="20"/>
              </w:rPr>
              <w:t xml:space="preserve">0 </w:t>
            </w:r>
            <w:r w:rsidRPr="00F844A2">
              <w:rPr>
                <w:rFonts w:ascii="Times" w:hAnsi="Times"/>
                <w:spacing w:val="-1"/>
                <w:sz w:val="20"/>
                <w:szCs w:val="20"/>
              </w:rPr>
              <w:t xml:space="preserve">kW; </w:t>
            </w:r>
            <w:r w:rsidR="00543748" w:rsidRPr="00F844A2">
              <w:rPr>
                <w:rFonts w:ascii="Times" w:hAnsi="Times"/>
                <w:spacing w:val="-1"/>
                <w:sz w:val="20"/>
                <w:szCs w:val="20"/>
              </w:rPr>
              <w:t xml:space="preserve">478,000 </w:t>
            </w:r>
            <w:r w:rsidRPr="00F844A2">
              <w:rPr>
                <w:rFonts w:ascii="Times" w:hAnsi="Times"/>
                <w:spacing w:val="-1"/>
                <w:sz w:val="20"/>
                <w:szCs w:val="20"/>
              </w:rPr>
              <w:t>accounts</w:t>
            </w:r>
          </w:p>
          <w:p w14:paraId="278BC48C" w14:textId="77777777" w:rsidR="00993895" w:rsidRPr="00F844A2" w:rsidRDefault="00993895" w:rsidP="00993895">
            <w:pPr>
              <w:rPr>
                <w:rFonts w:ascii="Times" w:hAnsi="Times"/>
                <w:sz w:val="20"/>
                <w:szCs w:val="20"/>
              </w:rPr>
            </w:pPr>
          </w:p>
        </w:tc>
      </w:tr>
      <w:tr w:rsidR="00993895" w:rsidRPr="00F844A2" w14:paraId="06B7E09D" w14:textId="77777777" w:rsidTr="00993895">
        <w:tc>
          <w:tcPr>
            <w:tcW w:w="2337" w:type="dxa"/>
          </w:tcPr>
          <w:p w14:paraId="745A8CB2" w14:textId="3387D222" w:rsidR="00993895" w:rsidRPr="00F844A2" w:rsidRDefault="00993895" w:rsidP="00993895">
            <w:pPr>
              <w:rPr>
                <w:rFonts w:ascii="Times" w:hAnsi="Times"/>
                <w:sz w:val="20"/>
                <w:szCs w:val="20"/>
              </w:rPr>
            </w:pPr>
            <w:r w:rsidRPr="00F844A2">
              <w:rPr>
                <w:rFonts w:ascii="Times" w:hAnsi="Times"/>
                <w:sz w:val="20"/>
                <w:szCs w:val="20"/>
              </w:rPr>
              <w:t>PG&amp;E</w:t>
            </w:r>
          </w:p>
        </w:tc>
        <w:tc>
          <w:tcPr>
            <w:tcW w:w="2337" w:type="dxa"/>
          </w:tcPr>
          <w:p w14:paraId="50D4886B" w14:textId="6FA747E6" w:rsidR="00993895" w:rsidRPr="00F844A2" w:rsidRDefault="00993895" w:rsidP="00993895">
            <w:pPr>
              <w:rPr>
                <w:rFonts w:ascii="Times" w:hAnsi="Times"/>
                <w:sz w:val="20"/>
                <w:szCs w:val="20"/>
              </w:rPr>
            </w:pPr>
            <w:r w:rsidRPr="00F844A2">
              <w:rPr>
                <w:rFonts w:ascii="Times" w:hAnsi="Times"/>
                <w:sz w:val="20"/>
                <w:szCs w:val="20"/>
              </w:rPr>
              <w:t>&lt;40,000 kWh; &lt;10,000 therms</w:t>
            </w:r>
          </w:p>
        </w:tc>
        <w:tc>
          <w:tcPr>
            <w:tcW w:w="2338" w:type="dxa"/>
          </w:tcPr>
          <w:p w14:paraId="04823F2D" w14:textId="200B1DE3" w:rsidR="00993895" w:rsidRPr="00F844A2" w:rsidRDefault="00993895" w:rsidP="00993895">
            <w:pPr>
              <w:rPr>
                <w:rFonts w:ascii="Times" w:hAnsi="Times"/>
                <w:sz w:val="20"/>
                <w:szCs w:val="20"/>
              </w:rPr>
            </w:pPr>
            <w:r w:rsidRPr="00F844A2">
              <w:rPr>
                <w:rFonts w:ascii="Times" w:hAnsi="Times"/>
                <w:sz w:val="20"/>
                <w:szCs w:val="20"/>
              </w:rPr>
              <w:t>40,000-500,000 kWh; 10,000-250,000 therms</w:t>
            </w:r>
          </w:p>
        </w:tc>
        <w:tc>
          <w:tcPr>
            <w:tcW w:w="2338" w:type="dxa"/>
          </w:tcPr>
          <w:p w14:paraId="13BE4DB5" w14:textId="027E0787" w:rsidR="00993895" w:rsidRPr="00F844A2" w:rsidRDefault="00617CF2" w:rsidP="00993895">
            <w:pPr>
              <w:rPr>
                <w:rFonts w:ascii="Times" w:hAnsi="Times"/>
                <w:sz w:val="20"/>
                <w:szCs w:val="20"/>
              </w:rPr>
            </w:pPr>
            <w:r w:rsidRPr="00F844A2">
              <w:rPr>
                <w:rFonts w:ascii="Times" w:hAnsi="Times"/>
                <w:sz w:val="20"/>
                <w:szCs w:val="20"/>
              </w:rPr>
              <w:t>≥500,000 kWh; ≥250,000 therms</w:t>
            </w:r>
          </w:p>
        </w:tc>
      </w:tr>
      <w:tr w:rsidR="00993895" w:rsidRPr="00F844A2" w14:paraId="4740722D" w14:textId="77777777" w:rsidTr="00993895">
        <w:tc>
          <w:tcPr>
            <w:tcW w:w="2337" w:type="dxa"/>
          </w:tcPr>
          <w:p w14:paraId="5730A1ED" w14:textId="0DBBD7AE" w:rsidR="00993895" w:rsidRPr="00F844A2" w:rsidRDefault="00993895" w:rsidP="00993895">
            <w:pPr>
              <w:rPr>
                <w:rFonts w:ascii="Times" w:hAnsi="Times"/>
                <w:sz w:val="20"/>
                <w:szCs w:val="20"/>
              </w:rPr>
            </w:pPr>
            <w:r w:rsidRPr="00F844A2">
              <w:rPr>
                <w:rFonts w:ascii="Times" w:hAnsi="Times"/>
                <w:sz w:val="20"/>
                <w:szCs w:val="20"/>
              </w:rPr>
              <w:t>SDG&amp;E</w:t>
            </w:r>
            <w:r w:rsidR="00AD6813" w:rsidRPr="00F844A2">
              <w:rPr>
                <w:rStyle w:val="FootnoteReference"/>
                <w:rFonts w:ascii="Times" w:hAnsi="Times"/>
                <w:sz w:val="20"/>
                <w:szCs w:val="20"/>
              </w:rPr>
              <w:footnoteReference w:id="4"/>
            </w:r>
          </w:p>
        </w:tc>
        <w:tc>
          <w:tcPr>
            <w:tcW w:w="2337" w:type="dxa"/>
          </w:tcPr>
          <w:p w14:paraId="7FC0F874" w14:textId="25E4D077" w:rsidR="00993895" w:rsidRPr="00F844A2" w:rsidRDefault="006E13EA" w:rsidP="00993895">
            <w:pPr>
              <w:rPr>
                <w:rFonts w:ascii="Times" w:hAnsi="Times"/>
                <w:sz w:val="20"/>
                <w:szCs w:val="20"/>
              </w:rPr>
            </w:pPr>
            <w:r w:rsidRPr="00F844A2">
              <w:rPr>
                <w:rFonts w:ascii="Times" w:hAnsi="Times"/>
                <w:sz w:val="20"/>
                <w:szCs w:val="20"/>
              </w:rPr>
              <w:t>&lt;20 kW</w:t>
            </w:r>
            <w:r w:rsidR="00AD6813" w:rsidRPr="00F844A2">
              <w:rPr>
                <w:rFonts w:ascii="Times" w:hAnsi="Times"/>
                <w:sz w:val="20"/>
                <w:szCs w:val="20"/>
              </w:rPr>
              <w:t>; &lt;10,000 therms</w:t>
            </w:r>
          </w:p>
        </w:tc>
        <w:tc>
          <w:tcPr>
            <w:tcW w:w="2338" w:type="dxa"/>
          </w:tcPr>
          <w:p w14:paraId="290887E8" w14:textId="59E7FFC3" w:rsidR="00993895" w:rsidRPr="00F844A2" w:rsidRDefault="006E13EA" w:rsidP="00993895">
            <w:pPr>
              <w:rPr>
                <w:rFonts w:ascii="Times" w:hAnsi="Times"/>
                <w:sz w:val="20"/>
                <w:szCs w:val="20"/>
              </w:rPr>
            </w:pPr>
            <w:r w:rsidRPr="00F844A2">
              <w:rPr>
                <w:rFonts w:ascii="Times" w:hAnsi="Times"/>
                <w:sz w:val="20"/>
                <w:szCs w:val="20"/>
              </w:rPr>
              <w:t>20-199 kW</w:t>
            </w:r>
          </w:p>
        </w:tc>
        <w:tc>
          <w:tcPr>
            <w:tcW w:w="2338" w:type="dxa"/>
          </w:tcPr>
          <w:p w14:paraId="47529C3C" w14:textId="2500331C" w:rsidR="00993895" w:rsidRPr="00F844A2" w:rsidRDefault="006E13EA" w:rsidP="00993895">
            <w:pPr>
              <w:rPr>
                <w:rFonts w:ascii="Times" w:hAnsi="Times"/>
                <w:sz w:val="20"/>
                <w:szCs w:val="20"/>
              </w:rPr>
            </w:pPr>
            <w:r w:rsidRPr="00F844A2">
              <w:rPr>
                <w:rFonts w:ascii="Times" w:hAnsi="Times"/>
                <w:sz w:val="20"/>
                <w:szCs w:val="20"/>
              </w:rPr>
              <w:t>&gt;200 kW</w:t>
            </w:r>
            <w:r w:rsidR="00AD6813" w:rsidRPr="00F844A2">
              <w:rPr>
                <w:rFonts w:ascii="Times" w:hAnsi="Times"/>
                <w:sz w:val="20"/>
                <w:szCs w:val="20"/>
              </w:rPr>
              <w:t>; &gt;10,000 therms</w:t>
            </w:r>
          </w:p>
        </w:tc>
      </w:tr>
      <w:tr w:rsidR="00543748" w:rsidRPr="00F844A2" w14:paraId="7671CF06" w14:textId="77777777" w:rsidTr="00D972AB">
        <w:tc>
          <w:tcPr>
            <w:tcW w:w="2337" w:type="dxa"/>
          </w:tcPr>
          <w:p w14:paraId="63A55F4E" w14:textId="38289BD5" w:rsidR="00543748" w:rsidRPr="00F844A2" w:rsidRDefault="00543748" w:rsidP="00993895">
            <w:pPr>
              <w:rPr>
                <w:rFonts w:ascii="Times" w:hAnsi="Times"/>
                <w:sz w:val="20"/>
                <w:szCs w:val="20"/>
              </w:rPr>
            </w:pPr>
            <w:r w:rsidRPr="00F844A2">
              <w:rPr>
                <w:rFonts w:ascii="Times" w:hAnsi="Times"/>
                <w:sz w:val="20"/>
                <w:szCs w:val="20"/>
              </w:rPr>
              <w:t>SCG</w:t>
            </w:r>
          </w:p>
        </w:tc>
        <w:tc>
          <w:tcPr>
            <w:tcW w:w="2337" w:type="dxa"/>
          </w:tcPr>
          <w:p w14:paraId="38335CCD" w14:textId="43983DAD" w:rsidR="00543748" w:rsidRPr="00F844A2" w:rsidRDefault="00543748" w:rsidP="00993895">
            <w:pPr>
              <w:rPr>
                <w:rFonts w:ascii="Times" w:hAnsi="Times"/>
                <w:sz w:val="20"/>
                <w:szCs w:val="20"/>
              </w:rPr>
            </w:pPr>
            <w:r w:rsidRPr="00F844A2">
              <w:rPr>
                <w:rFonts w:ascii="Times" w:hAnsi="Times"/>
                <w:sz w:val="20"/>
                <w:szCs w:val="20"/>
              </w:rPr>
              <w:t>&lt;10,000 therms</w:t>
            </w:r>
          </w:p>
        </w:tc>
        <w:tc>
          <w:tcPr>
            <w:tcW w:w="2338" w:type="dxa"/>
          </w:tcPr>
          <w:p w14:paraId="5A461D0F" w14:textId="01E9BC04" w:rsidR="00543748" w:rsidRPr="00F844A2" w:rsidRDefault="00543748" w:rsidP="00993895">
            <w:pPr>
              <w:rPr>
                <w:rFonts w:ascii="Times" w:hAnsi="Times"/>
                <w:sz w:val="20"/>
                <w:szCs w:val="20"/>
              </w:rPr>
            </w:pPr>
            <w:r w:rsidRPr="00F844A2">
              <w:rPr>
                <w:rFonts w:ascii="Times" w:hAnsi="Times"/>
                <w:sz w:val="20"/>
                <w:szCs w:val="20"/>
              </w:rPr>
              <w:t>10,000-50,000 therms</w:t>
            </w:r>
          </w:p>
        </w:tc>
        <w:tc>
          <w:tcPr>
            <w:tcW w:w="2338" w:type="dxa"/>
          </w:tcPr>
          <w:p w14:paraId="4ED5AD9A" w14:textId="3E542397" w:rsidR="00543748" w:rsidRPr="00F844A2" w:rsidRDefault="00543748" w:rsidP="00993895">
            <w:pPr>
              <w:rPr>
                <w:rFonts w:ascii="Times" w:hAnsi="Times"/>
                <w:sz w:val="20"/>
                <w:szCs w:val="20"/>
              </w:rPr>
            </w:pPr>
            <w:r w:rsidRPr="00F844A2">
              <w:rPr>
                <w:rFonts w:ascii="Times" w:hAnsi="Times"/>
                <w:sz w:val="20"/>
                <w:szCs w:val="20"/>
              </w:rPr>
              <w:t>&gt;50,000 therms</w:t>
            </w:r>
          </w:p>
        </w:tc>
      </w:tr>
      <w:tr w:rsidR="00AD6813" w:rsidRPr="00F844A2" w14:paraId="2DABB076" w14:textId="77777777" w:rsidTr="00D972AB">
        <w:tc>
          <w:tcPr>
            <w:tcW w:w="2337" w:type="dxa"/>
          </w:tcPr>
          <w:p w14:paraId="1A870D06" w14:textId="0968FFF1" w:rsidR="00AD6813" w:rsidRPr="00F844A2" w:rsidRDefault="00AD6813" w:rsidP="00993895">
            <w:pPr>
              <w:rPr>
                <w:rFonts w:ascii="Times" w:hAnsi="Times"/>
                <w:sz w:val="20"/>
                <w:szCs w:val="20"/>
              </w:rPr>
            </w:pPr>
            <w:r w:rsidRPr="00F844A2">
              <w:rPr>
                <w:rFonts w:ascii="Times" w:hAnsi="Times"/>
                <w:sz w:val="20"/>
                <w:szCs w:val="20"/>
              </w:rPr>
              <w:t>Official adopted definition per Resolution E-4939</w:t>
            </w:r>
            <w:r w:rsidRPr="00F844A2">
              <w:rPr>
                <w:rStyle w:val="FootnoteReference"/>
                <w:rFonts w:ascii="Times" w:hAnsi="Times"/>
                <w:sz w:val="20"/>
                <w:szCs w:val="20"/>
              </w:rPr>
              <w:footnoteReference w:id="5"/>
            </w:r>
          </w:p>
        </w:tc>
        <w:tc>
          <w:tcPr>
            <w:tcW w:w="4675" w:type="dxa"/>
            <w:gridSpan w:val="2"/>
          </w:tcPr>
          <w:p w14:paraId="33657B0D" w14:textId="0E5D98CF" w:rsidR="00AD6813" w:rsidRPr="00C01B6C" w:rsidRDefault="00C01B6C" w:rsidP="00993895">
            <w:pPr>
              <w:rPr>
                <w:rFonts w:ascii="Times" w:hAnsi="Times"/>
                <w:sz w:val="20"/>
                <w:szCs w:val="20"/>
              </w:rPr>
            </w:pPr>
            <w:r w:rsidRPr="00C01B6C">
              <w:rPr>
                <w:rFonts w:ascii="Times" w:hAnsi="Times"/>
                <w:sz w:val="20"/>
                <w:szCs w:val="20"/>
              </w:rPr>
              <w:t>≤</w:t>
            </w:r>
            <w:r w:rsidR="00AD6813" w:rsidRPr="00C01B6C">
              <w:rPr>
                <w:rFonts w:ascii="Times" w:hAnsi="Times"/>
                <w:sz w:val="20"/>
                <w:szCs w:val="20"/>
              </w:rPr>
              <w:t xml:space="preserve">40,000 kWh; </w:t>
            </w:r>
            <w:r w:rsidRPr="00C01B6C">
              <w:rPr>
                <w:rFonts w:ascii="Times" w:hAnsi="Times"/>
                <w:sz w:val="20"/>
                <w:szCs w:val="20"/>
              </w:rPr>
              <w:t>≤</w:t>
            </w:r>
            <w:r w:rsidR="00AD6813" w:rsidRPr="00C01B6C">
              <w:rPr>
                <w:rFonts w:ascii="Times" w:hAnsi="Times"/>
                <w:sz w:val="20"/>
                <w:szCs w:val="20"/>
              </w:rPr>
              <w:t xml:space="preserve">20 kW; </w:t>
            </w:r>
            <w:r w:rsidRPr="00C01B6C">
              <w:rPr>
                <w:rFonts w:ascii="Times" w:hAnsi="Times"/>
                <w:sz w:val="20"/>
                <w:szCs w:val="20"/>
              </w:rPr>
              <w:t>≤</w:t>
            </w:r>
            <w:r w:rsidR="00AD6813" w:rsidRPr="00C01B6C">
              <w:rPr>
                <w:rFonts w:ascii="Times" w:hAnsi="Times"/>
                <w:sz w:val="20"/>
                <w:szCs w:val="20"/>
              </w:rPr>
              <w:t>10,000 therms</w:t>
            </w:r>
          </w:p>
        </w:tc>
        <w:tc>
          <w:tcPr>
            <w:tcW w:w="2338" w:type="dxa"/>
          </w:tcPr>
          <w:p w14:paraId="572E7E2F" w14:textId="77777777" w:rsidR="00AD6813" w:rsidRPr="00F844A2" w:rsidRDefault="00AD6813" w:rsidP="00993895">
            <w:pPr>
              <w:rPr>
                <w:rFonts w:ascii="Times" w:hAnsi="Times"/>
                <w:sz w:val="20"/>
                <w:szCs w:val="20"/>
              </w:rPr>
            </w:pPr>
          </w:p>
        </w:tc>
      </w:tr>
    </w:tbl>
    <w:p w14:paraId="26CD8231" w14:textId="764F6607" w:rsidR="00993895" w:rsidRPr="00F844A2" w:rsidRDefault="00993895" w:rsidP="00993895">
      <w:pPr>
        <w:rPr>
          <w:rFonts w:ascii="Times" w:hAnsi="Times"/>
        </w:rPr>
      </w:pPr>
    </w:p>
    <w:p w14:paraId="7C32F460" w14:textId="14A7106E" w:rsidR="00235243" w:rsidRPr="00F844A2" w:rsidRDefault="00235243" w:rsidP="00735182">
      <w:pPr>
        <w:rPr>
          <w:rFonts w:ascii="Times" w:hAnsi="Times"/>
        </w:rPr>
      </w:pPr>
      <w:r w:rsidRPr="00F844A2">
        <w:rPr>
          <w:rFonts w:ascii="Times" w:hAnsi="Times"/>
        </w:rPr>
        <w:t xml:space="preserve">Given the </w:t>
      </w:r>
      <w:r w:rsidR="003A2D01">
        <w:rPr>
          <w:rFonts w:ascii="Times" w:hAnsi="Times"/>
        </w:rPr>
        <w:t xml:space="preserve">apparent </w:t>
      </w:r>
      <w:r w:rsidRPr="00F844A2">
        <w:rPr>
          <w:rFonts w:ascii="Times" w:hAnsi="Times"/>
        </w:rPr>
        <w:t xml:space="preserve">inconsistencies across IOUs and other data sources, the </w:t>
      </w:r>
      <w:r w:rsidR="00193ED3">
        <w:rPr>
          <w:rFonts w:ascii="Times" w:hAnsi="Times"/>
        </w:rPr>
        <w:t>group</w:t>
      </w:r>
      <w:r w:rsidRPr="00F844A2">
        <w:rPr>
          <w:rFonts w:ascii="Times" w:hAnsi="Times"/>
        </w:rPr>
        <w:t xml:space="preserve"> </w:t>
      </w:r>
      <w:r w:rsidR="00BB5B34" w:rsidRPr="00F844A2">
        <w:rPr>
          <w:rFonts w:ascii="Times" w:hAnsi="Times"/>
        </w:rPr>
        <w:t>may</w:t>
      </w:r>
      <w:r w:rsidRPr="00F844A2">
        <w:rPr>
          <w:rFonts w:ascii="Times" w:hAnsi="Times"/>
        </w:rPr>
        <w:t xml:space="preserve"> need to </w:t>
      </w:r>
      <w:r w:rsidR="003A2D01">
        <w:rPr>
          <w:rFonts w:ascii="Times" w:hAnsi="Times"/>
        </w:rPr>
        <w:t>establish its own working definition of</w:t>
      </w:r>
      <w:r w:rsidRPr="00F844A2">
        <w:rPr>
          <w:rFonts w:ascii="Times" w:hAnsi="Times"/>
        </w:rPr>
        <w:t xml:space="preserve"> SMB</w:t>
      </w:r>
      <w:r w:rsidR="00BB5B34" w:rsidRPr="00F844A2">
        <w:rPr>
          <w:rFonts w:ascii="Times" w:hAnsi="Times"/>
        </w:rPr>
        <w:t xml:space="preserve"> or </w:t>
      </w:r>
      <w:r w:rsidR="003A2D01">
        <w:rPr>
          <w:rFonts w:ascii="Times" w:hAnsi="Times"/>
        </w:rPr>
        <w:t>chose</w:t>
      </w:r>
      <w:r w:rsidR="00BB5B34" w:rsidRPr="00F844A2">
        <w:rPr>
          <w:rFonts w:ascii="Times" w:hAnsi="Times"/>
        </w:rPr>
        <w:t xml:space="preserve"> to use the official</w:t>
      </w:r>
      <w:r w:rsidR="003A2D01">
        <w:rPr>
          <w:rFonts w:ascii="Times" w:hAnsi="Times"/>
        </w:rPr>
        <w:t>ly</w:t>
      </w:r>
      <w:r w:rsidR="00BB5B34" w:rsidRPr="00F844A2">
        <w:rPr>
          <w:rFonts w:ascii="Times" w:hAnsi="Times"/>
        </w:rPr>
        <w:t xml:space="preserve"> adopt</w:t>
      </w:r>
      <w:r w:rsidR="003A2D01">
        <w:rPr>
          <w:rFonts w:ascii="Times" w:hAnsi="Times"/>
        </w:rPr>
        <w:t>ed</w:t>
      </w:r>
      <w:r w:rsidR="00BB5B34" w:rsidRPr="00F844A2">
        <w:rPr>
          <w:rFonts w:ascii="Times" w:hAnsi="Times"/>
        </w:rPr>
        <w:t xml:space="preserve"> definition per Resolution E-4939. In addition, the group will need to determine an approach for reconciling various definitions of SMB (Table 2) with </w:t>
      </w:r>
      <w:r w:rsidR="004A158E">
        <w:rPr>
          <w:rFonts w:ascii="Times" w:hAnsi="Times"/>
        </w:rPr>
        <w:t xml:space="preserve">thresholds used in the data sources identified in </w:t>
      </w:r>
      <w:r w:rsidR="00BB5B34" w:rsidRPr="00F844A2">
        <w:rPr>
          <w:rFonts w:ascii="Times" w:hAnsi="Times"/>
        </w:rPr>
        <w:t>Table 1 – this may need to evolve as more data is uncovered.</w:t>
      </w:r>
    </w:p>
    <w:p w14:paraId="30DD92FB" w14:textId="77777777" w:rsidR="00235243" w:rsidRPr="00F844A2" w:rsidRDefault="00235243" w:rsidP="00735182">
      <w:pPr>
        <w:rPr>
          <w:rFonts w:ascii="Times" w:hAnsi="Times"/>
        </w:rPr>
      </w:pPr>
    </w:p>
    <w:p w14:paraId="0D456618" w14:textId="682E0009" w:rsidR="002C40B6" w:rsidRPr="00F844A2" w:rsidRDefault="00735182" w:rsidP="00735182">
      <w:pPr>
        <w:rPr>
          <w:rFonts w:ascii="Times" w:hAnsi="Times"/>
        </w:rPr>
      </w:pPr>
      <w:r w:rsidRPr="00F844A2">
        <w:rPr>
          <w:rFonts w:ascii="Times" w:hAnsi="Times"/>
        </w:rPr>
        <w:t xml:space="preserve">L. Ettenson noted that it might be possible to obtain usage and number of accounts outside of utilities. </w:t>
      </w:r>
      <w:r w:rsidR="007763EF" w:rsidRPr="00F844A2">
        <w:rPr>
          <w:rFonts w:ascii="Times" w:hAnsi="Times"/>
        </w:rPr>
        <w:t>E</w:t>
      </w:r>
      <w:r w:rsidRPr="00F844A2">
        <w:rPr>
          <w:rFonts w:ascii="Times" w:hAnsi="Times"/>
        </w:rPr>
        <w:t xml:space="preserve">. Coulson </w:t>
      </w:r>
      <w:r w:rsidR="007763EF" w:rsidRPr="00F844A2">
        <w:rPr>
          <w:rFonts w:ascii="Times" w:hAnsi="Times"/>
        </w:rPr>
        <w:t>suggest</w:t>
      </w:r>
      <w:r w:rsidRPr="00F844A2">
        <w:rPr>
          <w:rFonts w:ascii="Times" w:hAnsi="Times"/>
        </w:rPr>
        <w:t>ed</w:t>
      </w:r>
      <w:r w:rsidR="007763EF" w:rsidRPr="00F844A2">
        <w:rPr>
          <w:rFonts w:ascii="Times" w:hAnsi="Times"/>
        </w:rPr>
        <w:t xml:space="preserve"> keeping </w:t>
      </w:r>
      <w:r w:rsidR="007763EF" w:rsidRPr="002A3828">
        <w:rPr>
          <w:rFonts w:ascii="Times" w:hAnsi="Times"/>
        </w:rPr>
        <w:t xml:space="preserve">large commercial </w:t>
      </w:r>
      <w:r w:rsidR="00B44D92" w:rsidRPr="002A3828">
        <w:rPr>
          <w:rFonts w:ascii="Times" w:hAnsi="Times"/>
        </w:rPr>
        <w:t xml:space="preserve">data in the analysis </w:t>
      </w:r>
      <w:r w:rsidRPr="002A3828">
        <w:rPr>
          <w:rFonts w:ascii="Times" w:hAnsi="Times"/>
        </w:rPr>
        <w:t>to</w:t>
      </w:r>
      <w:r w:rsidR="007763EF" w:rsidRPr="002A3828">
        <w:rPr>
          <w:rFonts w:ascii="Times" w:hAnsi="Times"/>
        </w:rPr>
        <w:t xml:space="preserve"> </w:t>
      </w:r>
      <w:r w:rsidR="00B44D92" w:rsidRPr="002A3828">
        <w:rPr>
          <w:rFonts w:ascii="Times" w:hAnsi="Times"/>
        </w:rPr>
        <w:t xml:space="preserve">enable comparison </w:t>
      </w:r>
      <w:r w:rsidR="00CF2A86" w:rsidRPr="002A3828">
        <w:rPr>
          <w:rFonts w:ascii="Times" w:hAnsi="Times"/>
        </w:rPr>
        <w:t xml:space="preserve">of </w:t>
      </w:r>
      <w:r w:rsidR="007763EF" w:rsidRPr="002A3828">
        <w:rPr>
          <w:rFonts w:ascii="Times" w:hAnsi="Times"/>
        </w:rPr>
        <w:t xml:space="preserve">penetration of large </w:t>
      </w:r>
      <w:r w:rsidRPr="002A3828">
        <w:rPr>
          <w:rFonts w:ascii="Times" w:hAnsi="Times"/>
        </w:rPr>
        <w:t xml:space="preserve">commercial </w:t>
      </w:r>
      <w:r w:rsidR="007763EF" w:rsidRPr="002A3828">
        <w:rPr>
          <w:rFonts w:ascii="Times" w:hAnsi="Times"/>
        </w:rPr>
        <w:t xml:space="preserve">to SMB. </w:t>
      </w:r>
      <w:r w:rsidRPr="002A3828">
        <w:rPr>
          <w:rFonts w:ascii="Times" w:hAnsi="Times"/>
        </w:rPr>
        <w:t>To that end, he suggested additional data sources from the Census Bureau (see data sources table</w:t>
      </w:r>
      <w:r w:rsidRPr="00F844A2">
        <w:rPr>
          <w:rFonts w:ascii="Times" w:hAnsi="Times"/>
        </w:rPr>
        <w:t xml:space="preserve"> above). </w:t>
      </w:r>
      <w:r w:rsidR="002C40B6" w:rsidRPr="00F844A2">
        <w:rPr>
          <w:rFonts w:ascii="Times" w:hAnsi="Times"/>
        </w:rPr>
        <w:t xml:space="preserve">Those data sources can be cross-referenced with NAICS code data to show usage by business type. </w:t>
      </w:r>
    </w:p>
    <w:p w14:paraId="6AA33D03" w14:textId="136898D9" w:rsidR="002C40B6" w:rsidRPr="00F844A2" w:rsidRDefault="002C40B6" w:rsidP="00735182">
      <w:pPr>
        <w:rPr>
          <w:rFonts w:ascii="Times" w:hAnsi="Times"/>
        </w:rPr>
      </w:pPr>
    </w:p>
    <w:p w14:paraId="0566D7C0" w14:textId="69C5119E" w:rsidR="002C40B6" w:rsidRPr="00F844A2" w:rsidRDefault="002C40B6" w:rsidP="002C40B6">
      <w:pPr>
        <w:rPr>
          <w:rFonts w:ascii="Times" w:hAnsi="Times"/>
        </w:rPr>
      </w:pPr>
      <w:r w:rsidRPr="00F844A2">
        <w:rPr>
          <w:rFonts w:ascii="Times" w:hAnsi="Times"/>
        </w:rPr>
        <w:t xml:space="preserve">T. Love presented his proposal for </w:t>
      </w:r>
      <w:r w:rsidR="00CF2A86" w:rsidRPr="004A158E">
        <w:rPr>
          <w:rFonts w:ascii="Times" w:hAnsi="Times"/>
        </w:rPr>
        <w:t xml:space="preserve">key </w:t>
      </w:r>
      <w:r w:rsidRPr="004A158E">
        <w:rPr>
          <w:rFonts w:ascii="Times" w:hAnsi="Times"/>
        </w:rPr>
        <w:t>variables</w:t>
      </w:r>
      <w:r w:rsidR="00CF2A86" w:rsidRPr="004A158E">
        <w:rPr>
          <w:rFonts w:ascii="Times" w:hAnsi="Times"/>
        </w:rPr>
        <w:t xml:space="preserve"> to structure the analysis</w:t>
      </w:r>
      <w:r w:rsidRPr="00F844A2">
        <w:rPr>
          <w:rFonts w:ascii="Times" w:hAnsi="Times"/>
        </w:rPr>
        <w:t xml:space="preserve">. In summary, he proposed </w:t>
      </w:r>
    </w:p>
    <w:p w14:paraId="0D7340AD" w14:textId="77777777" w:rsidR="002C40B6" w:rsidRPr="00F844A2" w:rsidRDefault="002C40B6" w:rsidP="002C40B6">
      <w:pPr>
        <w:pStyle w:val="ListParagraph"/>
        <w:numPr>
          <w:ilvl w:val="0"/>
          <w:numId w:val="10"/>
        </w:numPr>
        <w:rPr>
          <w:rFonts w:ascii="Times" w:hAnsi="Times"/>
        </w:rPr>
      </w:pPr>
      <w:r w:rsidRPr="00F844A2">
        <w:rPr>
          <w:rFonts w:ascii="Times" w:hAnsi="Times"/>
          <w:i/>
          <w:iCs/>
        </w:rPr>
        <w:t>Participation</w:t>
      </w:r>
      <w:r w:rsidRPr="00F844A2">
        <w:rPr>
          <w:rFonts w:ascii="Times" w:hAnsi="Times"/>
        </w:rPr>
        <w:t xml:space="preserve"> (suggest starting with count of unique participants divided by a count of all unique accounts in that area)</w:t>
      </w:r>
    </w:p>
    <w:p w14:paraId="5B3CED38" w14:textId="46D7A20B" w:rsidR="002C40B6" w:rsidRPr="00F844A2" w:rsidRDefault="002C40B6" w:rsidP="002C40B6">
      <w:pPr>
        <w:pStyle w:val="ListParagraph"/>
        <w:numPr>
          <w:ilvl w:val="0"/>
          <w:numId w:val="10"/>
        </w:numPr>
        <w:rPr>
          <w:rFonts w:ascii="Times" w:hAnsi="Times"/>
        </w:rPr>
      </w:pPr>
      <w:r w:rsidRPr="00F844A2">
        <w:rPr>
          <w:rFonts w:ascii="Times" w:hAnsi="Times"/>
          <w:i/>
          <w:iCs/>
        </w:rPr>
        <w:t>Savings</w:t>
      </w:r>
      <w:r w:rsidRPr="00F844A2">
        <w:rPr>
          <w:rFonts w:ascii="Times" w:hAnsi="Times"/>
        </w:rPr>
        <w:t xml:space="preserve"> (kWh, therms)</w:t>
      </w:r>
    </w:p>
    <w:p w14:paraId="597066CC" w14:textId="356A208D" w:rsidR="002C40B6" w:rsidRPr="00F844A2" w:rsidRDefault="002C40B6" w:rsidP="002C40B6">
      <w:pPr>
        <w:pStyle w:val="ListParagraph"/>
        <w:numPr>
          <w:ilvl w:val="0"/>
          <w:numId w:val="10"/>
        </w:numPr>
        <w:rPr>
          <w:rFonts w:ascii="Times" w:hAnsi="Times"/>
        </w:rPr>
      </w:pPr>
      <w:r w:rsidRPr="00F844A2">
        <w:rPr>
          <w:rFonts w:ascii="Times" w:hAnsi="Times"/>
          <w:i/>
          <w:iCs/>
        </w:rPr>
        <w:t>Investments</w:t>
      </w:r>
      <w:r w:rsidRPr="00F844A2">
        <w:rPr>
          <w:rFonts w:ascii="Times" w:hAnsi="Times"/>
        </w:rPr>
        <w:t xml:space="preserve"> ($ incentives / count of participants; cost/kWh and therm; % of all investment going to SMB; % of cost covered by incentive)</w:t>
      </w:r>
    </w:p>
    <w:p w14:paraId="28EC8D22" w14:textId="6138CDD2" w:rsidR="002C40B6" w:rsidRPr="00F844A2" w:rsidRDefault="002C40B6" w:rsidP="002C40B6">
      <w:pPr>
        <w:pStyle w:val="ListParagraph"/>
        <w:numPr>
          <w:ilvl w:val="0"/>
          <w:numId w:val="10"/>
        </w:numPr>
        <w:rPr>
          <w:rFonts w:ascii="Times" w:hAnsi="Times"/>
        </w:rPr>
      </w:pPr>
      <w:r w:rsidRPr="00F844A2">
        <w:rPr>
          <w:rFonts w:ascii="Times" w:hAnsi="Times"/>
          <w:i/>
          <w:iCs/>
        </w:rPr>
        <w:t>Savings depth</w:t>
      </w:r>
      <w:r w:rsidRPr="00F844A2">
        <w:rPr>
          <w:rFonts w:ascii="Times" w:hAnsi="Times"/>
        </w:rPr>
        <w:t xml:space="preserve"> (using overall usage and savings from potential studies on technical and achievable savings) </w:t>
      </w:r>
    </w:p>
    <w:p w14:paraId="2966B254" w14:textId="4B6567D1" w:rsidR="002C40B6" w:rsidRPr="00F844A2" w:rsidRDefault="002C40B6" w:rsidP="002C40B6">
      <w:pPr>
        <w:pStyle w:val="ListParagraph"/>
        <w:numPr>
          <w:ilvl w:val="0"/>
          <w:numId w:val="10"/>
        </w:numPr>
        <w:rPr>
          <w:rFonts w:ascii="Times" w:hAnsi="Times"/>
        </w:rPr>
      </w:pPr>
      <w:r w:rsidRPr="00F844A2">
        <w:rPr>
          <w:rFonts w:ascii="Times" w:hAnsi="Times"/>
          <w:i/>
          <w:iCs/>
        </w:rPr>
        <w:t>See draft work plan for additional details</w:t>
      </w:r>
    </w:p>
    <w:p w14:paraId="0C4C9B0A" w14:textId="0BD86A99" w:rsidR="002C40B6" w:rsidRPr="00F844A2" w:rsidRDefault="002C40B6" w:rsidP="002C40B6">
      <w:pPr>
        <w:rPr>
          <w:rFonts w:ascii="Times" w:hAnsi="Times"/>
        </w:rPr>
      </w:pPr>
    </w:p>
    <w:p w14:paraId="15EF0E59" w14:textId="47C43C53" w:rsidR="002C40B6" w:rsidRPr="00F844A2" w:rsidRDefault="002C40B6" w:rsidP="002C40B6">
      <w:pPr>
        <w:rPr>
          <w:rFonts w:ascii="Times" w:hAnsi="Times"/>
        </w:rPr>
      </w:pPr>
      <w:r w:rsidRPr="00F844A2">
        <w:rPr>
          <w:rFonts w:ascii="Times" w:hAnsi="Times"/>
        </w:rPr>
        <w:t xml:space="preserve">T. Love briefly discussed proposed methodologies, including cluster analysis and heat maps </w:t>
      </w:r>
      <w:r w:rsidR="00CF2A86">
        <w:rPr>
          <w:rFonts w:ascii="Times" w:hAnsi="Times"/>
        </w:rPr>
        <w:t xml:space="preserve">to </w:t>
      </w:r>
      <w:r w:rsidRPr="00F844A2">
        <w:rPr>
          <w:rFonts w:ascii="Times" w:hAnsi="Times"/>
        </w:rPr>
        <w:t>prioritize participation then savings.</w:t>
      </w:r>
    </w:p>
    <w:p w14:paraId="177E7405" w14:textId="77777777" w:rsidR="002C40B6" w:rsidRPr="00F844A2" w:rsidRDefault="002C40B6" w:rsidP="002C40B6">
      <w:pPr>
        <w:rPr>
          <w:rFonts w:ascii="Times" w:hAnsi="Times"/>
        </w:rPr>
      </w:pPr>
    </w:p>
    <w:p w14:paraId="388536D6" w14:textId="128B123B" w:rsidR="00235243" w:rsidRPr="00F844A2" w:rsidRDefault="002C40B6" w:rsidP="00235243">
      <w:pPr>
        <w:rPr>
          <w:rFonts w:ascii="Times" w:hAnsi="Times"/>
        </w:rPr>
      </w:pPr>
      <w:r w:rsidRPr="00F844A2">
        <w:rPr>
          <w:rFonts w:ascii="Times" w:hAnsi="Times"/>
        </w:rPr>
        <w:t xml:space="preserve">E. Coulson asked about program differences across IOUs and between SMB and other customer classes, and how it varies over time. T. Love noted it may be challenging to do a time series analysis, though </w:t>
      </w:r>
      <w:r w:rsidR="00235243" w:rsidRPr="00F844A2">
        <w:rPr>
          <w:rFonts w:ascii="Times" w:hAnsi="Times"/>
        </w:rPr>
        <w:t>C. Malotte</w:t>
      </w:r>
      <w:r w:rsidRPr="00F844A2">
        <w:rPr>
          <w:rFonts w:ascii="Times" w:hAnsi="Times"/>
        </w:rPr>
        <w:t xml:space="preserve"> affirmed </w:t>
      </w:r>
      <w:r w:rsidR="00235243" w:rsidRPr="00F844A2">
        <w:rPr>
          <w:rFonts w:ascii="Times" w:hAnsi="Times"/>
        </w:rPr>
        <w:t>time series analysis</w:t>
      </w:r>
      <w:r w:rsidRPr="00F844A2">
        <w:rPr>
          <w:rFonts w:ascii="Times" w:hAnsi="Times"/>
        </w:rPr>
        <w:t xml:space="preserve"> would be interesting</w:t>
      </w:r>
      <w:r w:rsidR="00235243" w:rsidRPr="00F844A2">
        <w:rPr>
          <w:rFonts w:ascii="Times" w:hAnsi="Times"/>
        </w:rPr>
        <w:t xml:space="preserve"> given program changes year to year</w:t>
      </w:r>
      <w:r w:rsidRPr="00F844A2">
        <w:rPr>
          <w:rFonts w:ascii="Times" w:hAnsi="Times"/>
        </w:rPr>
        <w:t>.</w:t>
      </w:r>
      <w:r w:rsidR="00235243" w:rsidRPr="00F844A2">
        <w:rPr>
          <w:rFonts w:ascii="Times" w:hAnsi="Times"/>
        </w:rPr>
        <w:t xml:space="preserve"> C. Malotte explained there is not a significant difference in incentives across SMB and large commercial, although the IOUs </w:t>
      </w:r>
      <w:r w:rsidR="00426BD6">
        <w:rPr>
          <w:rFonts w:ascii="Times" w:hAnsi="Times"/>
        </w:rPr>
        <w:t>run</w:t>
      </w:r>
      <w:r w:rsidR="00235243" w:rsidRPr="00F844A2">
        <w:rPr>
          <w:rFonts w:ascii="Times" w:hAnsi="Times"/>
        </w:rPr>
        <w:t xml:space="preserve"> special direct install for the SMB sector. E. Coulson p</w:t>
      </w:r>
      <w:r w:rsidRPr="00F844A2">
        <w:rPr>
          <w:rFonts w:ascii="Times" w:hAnsi="Times"/>
        </w:rPr>
        <w:t>ropose</w:t>
      </w:r>
      <w:r w:rsidR="00235243" w:rsidRPr="00F844A2">
        <w:rPr>
          <w:rFonts w:ascii="Times" w:hAnsi="Times"/>
        </w:rPr>
        <w:t>d</w:t>
      </w:r>
      <w:r w:rsidRPr="00F844A2">
        <w:rPr>
          <w:rFonts w:ascii="Times" w:hAnsi="Times"/>
        </w:rPr>
        <w:t xml:space="preserve"> </w:t>
      </w:r>
      <w:r w:rsidR="00CF2A86" w:rsidRPr="002A3828">
        <w:rPr>
          <w:rFonts w:ascii="Times" w:hAnsi="Times"/>
        </w:rPr>
        <w:t>that one useful metric would be</w:t>
      </w:r>
      <w:r w:rsidR="00CF2A86">
        <w:rPr>
          <w:rFonts w:ascii="Times" w:hAnsi="Times"/>
        </w:rPr>
        <w:t xml:space="preserve"> </w:t>
      </w:r>
      <w:r w:rsidRPr="00F844A2">
        <w:rPr>
          <w:rFonts w:ascii="Times" w:hAnsi="Times"/>
        </w:rPr>
        <w:t>response rate as function of incentive</w:t>
      </w:r>
      <w:r w:rsidR="00235243" w:rsidRPr="00F844A2">
        <w:rPr>
          <w:rFonts w:ascii="Times" w:hAnsi="Times"/>
        </w:rPr>
        <w:t xml:space="preserve"> depth. E. Coulson requested samples of similar previous analysis T. Love has </w:t>
      </w:r>
      <w:r w:rsidR="00B44D92">
        <w:rPr>
          <w:rFonts w:ascii="Times" w:hAnsi="Times"/>
        </w:rPr>
        <w:t>conducted</w:t>
      </w:r>
      <w:r w:rsidR="00235243" w:rsidRPr="00F844A2">
        <w:rPr>
          <w:rFonts w:ascii="Times" w:hAnsi="Times"/>
        </w:rPr>
        <w:t xml:space="preserve"> for additional ideas of variables with explanatory power, and T. Love agreed to share examples offline with him. Some variables with explanatory power that T. Love mentioned on the call included % of cost covered by incentive and savings depth; he also suggested the appendix has additional variables to consider.</w:t>
      </w:r>
    </w:p>
    <w:p w14:paraId="25B56E5E" w14:textId="3ACB2AA0" w:rsidR="00235243" w:rsidRPr="00F844A2" w:rsidRDefault="00235243" w:rsidP="00235243">
      <w:pPr>
        <w:rPr>
          <w:rFonts w:ascii="Times" w:hAnsi="Times"/>
        </w:rPr>
      </w:pPr>
    </w:p>
    <w:p w14:paraId="071C183D" w14:textId="398CAE22" w:rsidR="002C40B6" w:rsidRDefault="00235243" w:rsidP="00235243">
      <w:pPr>
        <w:rPr>
          <w:rFonts w:ascii="Times" w:hAnsi="Times"/>
        </w:rPr>
      </w:pPr>
      <w:r w:rsidRPr="00F844A2">
        <w:rPr>
          <w:rFonts w:ascii="Times" w:hAnsi="Times"/>
        </w:rPr>
        <w:lastRenderedPageBreak/>
        <w:t xml:space="preserve">L. Ettenson explained that the scope </w:t>
      </w:r>
      <w:r w:rsidR="00B44D92">
        <w:rPr>
          <w:rFonts w:ascii="Times" w:hAnsi="Times"/>
        </w:rPr>
        <w:t xml:space="preserve">of this inquiry </w:t>
      </w:r>
      <w:r w:rsidRPr="00F844A2">
        <w:rPr>
          <w:rFonts w:ascii="Times" w:hAnsi="Times"/>
        </w:rPr>
        <w:t xml:space="preserve">is focused </w:t>
      </w:r>
      <w:r w:rsidRPr="002A3828">
        <w:rPr>
          <w:rFonts w:ascii="Times" w:hAnsi="Times"/>
        </w:rPr>
        <w:t>on IOUs and not all PAs because RENs don’t have SMB programs, and according to Alice Stove</w:t>
      </w:r>
      <w:r w:rsidR="00B44D92" w:rsidRPr="002A3828">
        <w:rPr>
          <w:rFonts w:ascii="Times" w:hAnsi="Times"/>
        </w:rPr>
        <w:t>r</w:t>
      </w:r>
      <w:r w:rsidRPr="002A3828">
        <w:rPr>
          <w:rFonts w:ascii="Times" w:hAnsi="Times"/>
        </w:rPr>
        <w:t xml:space="preserve">, </w:t>
      </w:r>
      <w:r w:rsidR="002C40B6" w:rsidRPr="002A3828">
        <w:rPr>
          <w:rFonts w:ascii="Times" w:hAnsi="Times"/>
        </w:rPr>
        <w:t xml:space="preserve">MCE </w:t>
      </w:r>
      <w:r w:rsidR="00B44D92" w:rsidRPr="002A3828">
        <w:rPr>
          <w:rFonts w:ascii="Times" w:hAnsi="Times"/>
        </w:rPr>
        <w:t xml:space="preserve">had </w:t>
      </w:r>
      <w:r w:rsidR="002C40B6" w:rsidRPr="002A3828">
        <w:rPr>
          <w:rFonts w:ascii="Times" w:hAnsi="Times"/>
        </w:rPr>
        <w:t>onl</w:t>
      </w:r>
      <w:r w:rsidR="00B44D92" w:rsidRPr="002A3828">
        <w:rPr>
          <w:rFonts w:ascii="Times" w:hAnsi="Times"/>
        </w:rPr>
        <w:t>y</w:t>
      </w:r>
      <w:r w:rsidR="002C40B6" w:rsidRPr="002A3828">
        <w:rPr>
          <w:rFonts w:ascii="Times" w:hAnsi="Times"/>
        </w:rPr>
        <w:t xml:space="preserve"> </w:t>
      </w:r>
      <w:r w:rsidR="00B44D92" w:rsidRPr="002A3828">
        <w:rPr>
          <w:rFonts w:ascii="Times" w:hAnsi="Times"/>
        </w:rPr>
        <w:t xml:space="preserve">generated </w:t>
      </w:r>
      <w:r w:rsidR="002C40B6" w:rsidRPr="002A3828">
        <w:rPr>
          <w:rFonts w:ascii="Times" w:hAnsi="Times"/>
        </w:rPr>
        <w:t>2019</w:t>
      </w:r>
      <w:r w:rsidR="002C40B6" w:rsidRPr="00F844A2">
        <w:rPr>
          <w:rFonts w:ascii="Times" w:hAnsi="Times"/>
        </w:rPr>
        <w:t xml:space="preserve"> data</w:t>
      </w:r>
      <w:r w:rsidRPr="00F844A2">
        <w:rPr>
          <w:rFonts w:ascii="Times" w:hAnsi="Times"/>
        </w:rPr>
        <w:t xml:space="preserve">, which would create an </w:t>
      </w:r>
      <w:r w:rsidR="002C40B6" w:rsidRPr="00F844A2">
        <w:rPr>
          <w:rFonts w:ascii="Times" w:hAnsi="Times"/>
        </w:rPr>
        <w:t>inconsistent data set.</w:t>
      </w:r>
      <w:r w:rsidR="00EF473B">
        <w:rPr>
          <w:rFonts w:ascii="Times" w:hAnsi="Times"/>
        </w:rPr>
        <w:t xml:space="preserve"> You can see all SMB Program IDs here (note: the public partnership program IDs were removed from the data request because of inconsistencies across utilities and also due to challenges culling only small business programs from a broader public program</w:t>
      </w:r>
      <w:proofErr w:type="gramStart"/>
      <w:r w:rsidR="00EF473B">
        <w:rPr>
          <w:rFonts w:ascii="Times" w:hAnsi="Times"/>
        </w:rPr>
        <w:t>) :</w:t>
      </w:r>
      <w:proofErr w:type="gramEnd"/>
    </w:p>
    <w:p w14:paraId="14D7B341" w14:textId="77777777" w:rsidR="00EF473B" w:rsidRPr="00EF473B" w:rsidRDefault="00EF473B" w:rsidP="00EF473B">
      <w:pPr>
        <w:pStyle w:val="font8"/>
        <w:numPr>
          <w:ilvl w:val="0"/>
          <w:numId w:val="13"/>
        </w:numPr>
        <w:spacing w:before="0" w:beforeAutospacing="0" w:after="0" w:afterAutospacing="0"/>
        <w:textAlignment w:val="baseline"/>
        <w:rPr>
          <w:rFonts w:asciiTheme="majorBidi" w:hAnsiTheme="majorBidi" w:cstheme="majorBidi"/>
          <w:color w:val="FFFFFF"/>
        </w:rPr>
      </w:pPr>
      <w:hyperlink r:id="rId13" w:tgtFrame="_blank" w:history="1">
        <w:r w:rsidRPr="00EF473B">
          <w:rPr>
            <w:rStyle w:val="Hyperlink"/>
            <w:rFonts w:asciiTheme="majorBidi" w:hAnsiTheme="majorBidi" w:cstheme="majorBidi"/>
            <w:bdr w:val="none" w:sz="0" w:space="0" w:color="auto" w:frame="1"/>
          </w:rPr>
          <w:t>PG&amp;E's SMB programs July 2020</w:t>
        </w:r>
      </w:hyperlink>
      <w:r w:rsidRPr="00EF473B">
        <w:rPr>
          <w:rFonts w:asciiTheme="majorBidi" w:hAnsiTheme="majorBidi" w:cstheme="majorBidi"/>
          <w:color w:val="000000"/>
          <w:bdr w:val="none" w:sz="0" w:space="0" w:color="auto" w:frame="1"/>
        </w:rPr>
        <w:t> (7.29.20)</w:t>
      </w:r>
    </w:p>
    <w:p w14:paraId="320489B3" w14:textId="77777777" w:rsidR="00EF473B" w:rsidRPr="00EF473B" w:rsidRDefault="00EF473B" w:rsidP="00EF473B">
      <w:pPr>
        <w:pStyle w:val="font8"/>
        <w:numPr>
          <w:ilvl w:val="0"/>
          <w:numId w:val="13"/>
        </w:numPr>
        <w:spacing w:before="0" w:beforeAutospacing="0" w:after="0" w:afterAutospacing="0"/>
        <w:textAlignment w:val="baseline"/>
        <w:rPr>
          <w:rFonts w:asciiTheme="majorBidi" w:hAnsiTheme="majorBidi" w:cstheme="majorBidi"/>
          <w:color w:val="FFFFFF"/>
        </w:rPr>
      </w:pPr>
      <w:hyperlink r:id="rId14" w:tgtFrame="_blank" w:history="1">
        <w:r w:rsidRPr="00EF473B">
          <w:rPr>
            <w:rStyle w:val="Hyperlink"/>
            <w:rFonts w:asciiTheme="majorBidi" w:hAnsiTheme="majorBidi" w:cstheme="majorBidi"/>
            <w:bdr w:val="none" w:sz="0" w:space="0" w:color="auto" w:frame="1"/>
          </w:rPr>
          <w:t>SCE's SMB programs July 2020 </w:t>
        </w:r>
      </w:hyperlink>
      <w:r w:rsidRPr="00EF473B">
        <w:rPr>
          <w:rFonts w:asciiTheme="majorBidi" w:hAnsiTheme="majorBidi" w:cstheme="majorBidi"/>
          <w:color w:val="000000"/>
          <w:bdr w:val="none" w:sz="0" w:space="0" w:color="auto" w:frame="1"/>
        </w:rPr>
        <w:t>(7.29.20)</w:t>
      </w:r>
    </w:p>
    <w:p w14:paraId="73235DA2" w14:textId="77777777" w:rsidR="00EF473B" w:rsidRPr="00EF473B" w:rsidRDefault="00EF473B" w:rsidP="00EF473B">
      <w:pPr>
        <w:pStyle w:val="font8"/>
        <w:numPr>
          <w:ilvl w:val="0"/>
          <w:numId w:val="13"/>
        </w:numPr>
        <w:spacing w:before="0" w:beforeAutospacing="0" w:after="0" w:afterAutospacing="0"/>
        <w:textAlignment w:val="baseline"/>
        <w:rPr>
          <w:rFonts w:asciiTheme="majorBidi" w:hAnsiTheme="majorBidi" w:cstheme="majorBidi"/>
          <w:color w:val="FFFFFF"/>
        </w:rPr>
      </w:pPr>
      <w:hyperlink r:id="rId15" w:tgtFrame="_blank" w:history="1">
        <w:r w:rsidRPr="00EF473B">
          <w:rPr>
            <w:rStyle w:val="Hyperlink"/>
            <w:rFonts w:asciiTheme="majorBidi" w:hAnsiTheme="majorBidi" w:cstheme="majorBidi"/>
            <w:bdr w:val="none" w:sz="0" w:space="0" w:color="auto" w:frame="1"/>
          </w:rPr>
          <w:t>SCG SMB programs July 2020 </w:t>
        </w:r>
      </w:hyperlink>
      <w:r w:rsidRPr="00EF473B">
        <w:rPr>
          <w:rFonts w:asciiTheme="majorBidi" w:hAnsiTheme="majorBidi" w:cstheme="majorBidi"/>
          <w:color w:val="000000"/>
          <w:bdr w:val="none" w:sz="0" w:space="0" w:color="auto" w:frame="1"/>
        </w:rPr>
        <w:t>(7.29.20)</w:t>
      </w:r>
    </w:p>
    <w:p w14:paraId="2ECC063D" w14:textId="77777777" w:rsidR="00EF473B" w:rsidRPr="00EF473B" w:rsidRDefault="00EF473B" w:rsidP="00EF473B">
      <w:pPr>
        <w:pStyle w:val="font8"/>
        <w:numPr>
          <w:ilvl w:val="0"/>
          <w:numId w:val="13"/>
        </w:numPr>
        <w:spacing w:before="0" w:beforeAutospacing="0" w:after="0" w:afterAutospacing="0"/>
        <w:textAlignment w:val="baseline"/>
        <w:rPr>
          <w:rFonts w:asciiTheme="majorBidi" w:hAnsiTheme="majorBidi" w:cstheme="majorBidi"/>
          <w:color w:val="FFFFFF"/>
        </w:rPr>
      </w:pPr>
      <w:hyperlink r:id="rId16" w:tgtFrame="_blank" w:history="1">
        <w:r w:rsidRPr="00EF473B">
          <w:rPr>
            <w:rStyle w:val="Hyperlink"/>
            <w:rFonts w:asciiTheme="majorBidi" w:hAnsiTheme="majorBidi" w:cstheme="majorBidi"/>
            <w:bdr w:val="none" w:sz="0" w:space="0" w:color="auto" w:frame="1"/>
          </w:rPr>
          <w:t>SDG&amp;E SMB programs July 2020</w:t>
        </w:r>
      </w:hyperlink>
      <w:r w:rsidRPr="00EF473B">
        <w:rPr>
          <w:rFonts w:asciiTheme="majorBidi" w:hAnsiTheme="majorBidi" w:cstheme="majorBidi"/>
          <w:color w:val="000000"/>
          <w:bdr w:val="none" w:sz="0" w:space="0" w:color="auto" w:frame="1"/>
        </w:rPr>
        <w:t> (8.10.20)</w:t>
      </w:r>
    </w:p>
    <w:p w14:paraId="0E514E31" w14:textId="77777777" w:rsidR="00EF473B" w:rsidRPr="00EF473B" w:rsidRDefault="00EF473B" w:rsidP="00EF473B">
      <w:pPr>
        <w:pStyle w:val="font8"/>
        <w:numPr>
          <w:ilvl w:val="0"/>
          <w:numId w:val="13"/>
        </w:numPr>
        <w:spacing w:before="0" w:beforeAutospacing="0" w:after="0" w:afterAutospacing="0"/>
        <w:textAlignment w:val="baseline"/>
        <w:rPr>
          <w:rFonts w:asciiTheme="majorBidi" w:hAnsiTheme="majorBidi" w:cstheme="majorBidi"/>
          <w:color w:val="FFFFFF"/>
        </w:rPr>
      </w:pPr>
      <w:hyperlink r:id="rId17" w:tgtFrame="_blank" w:history="1">
        <w:r w:rsidRPr="00EF473B">
          <w:rPr>
            <w:rStyle w:val="Hyperlink"/>
            <w:rFonts w:asciiTheme="majorBidi" w:hAnsiTheme="majorBidi" w:cstheme="majorBidi"/>
            <w:bdr w:val="none" w:sz="0" w:space="0" w:color="auto" w:frame="1"/>
          </w:rPr>
          <w:t>MCE Small Commercial Implementation Plan</w:t>
        </w:r>
      </w:hyperlink>
      <w:r w:rsidRPr="00EF473B">
        <w:rPr>
          <w:rFonts w:asciiTheme="majorBidi" w:hAnsiTheme="majorBidi" w:cstheme="majorBidi"/>
          <w:color w:val="000000"/>
          <w:bdr w:val="none" w:sz="0" w:space="0" w:color="auto" w:frame="1"/>
        </w:rPr>
        <w:t> (8.11.20)</w:t>
      </w:r>
    </w:p>
    <w:p w14:paraId="227F0EC8" w14:textId="77777777" w:rsidR="00EF473B" w:rsidRPr="00F844A2" w:rsidRDefault="00EF473B" w:rsidP="00235243">
      <w:pPr>
        <w:rPr>
          <w:rFonts w:ascii="Times" w:hAnsi="Times"/>
        </w:rPr>
      </w:pPr>
    </w:p>
    <w:p w14:paraId="18631A56" w14:textId="2CF601FA" w:rsidR="002C40B6" w:rsidRPr="00F844A2" w:rsidRDefault="002C40B6" w:rsidP="00735182">
      <w:pPr>
        <w:rPr>
          <w:rFonts w:ascii="Times" w:hAnsi="Times"/>
        </w:rPr>
      </w:pPr>
    </w:p>
    <w:p w14:paraId="5477585D" w14:textId="782E36AA" w:rsidR="00235243" w:rsidRPr="00F844A2" w:rsidRDefault="002C40B6" w:rsidP="00235243">
      <w:pPr>
        <w:rPr>
          <w:rFonts w:ascii="Times" w:hAnsi="Times"/>
          <w:highlight w:val="yellow"/>
        </w:rPr>
      </w:pPr>
      <w:r w:rsidRPr="00F844A2">
        <w:rPr>
          <w:rFonts w:ascii="Times" w:hAnsi="Times"/>
        </w:rPr>
        <w:t>E. Coulson explained the timeline, needs, and objectives of recruiting students. Classes commence 10/1</w:t>
      </w:r>
      <w:r w:rsidR="00BB5B34" w:rsidRPr="00F844A2">
        <w:rPr>
          <w:rFonts w:ascii="Times" w:hAnsi="Times"/>
        </w:rPr>
        <w:t>/2020</w:t>
      </w:r>
      <w:r w:rsidRPr="00F844A2">
        <w:rPr>
          <w:rFonts w:ascii="Times" w:hAnsi="Times"/>
        </w:rPr>
        <w:t>. His motivation is to bring students into the Center’s workload; he will offer them class credit to do this analysis.</w:t>
      </w:r>
      <w:r w:rsidR="00235243" w:rsidRPr="00F844A2">
        <w:rPr>
          <w:rFonts w:ascii="Times" w:hAnsi="Times"/>
        </w:rPr>
        <w:t xml:space="preserve"> </w:t>
      </w:r>
      <w:r w:rsidR="004772DE" w:rsidRPr="00F844A2">
        <w:rPr>
          <w:rFonts w:ascii="Times" w:hAnsi="Times"/>
        </w:rPr>
        <w:t>E. Coulson and T. Love agreed</w:t>
      </w:r>
      <w:r w:rsidR="00235243" w:rsidRPr="00F844A2">
        <w:rPr>
          <w:rFonts w:ascii="Times" w:hAnsi="Times"/>
        </w:rPr>
        <w:t xml:space="preserve"> to work </w:t>
      </w:r>
      <w:r w:rsidR="004772DE" w:rsidRPr="00F844A2">
        <w:rPr>
          <w:rFonts w:ascii="Times" w:hAnsi="Times"/>
        </w:rPr>
        <w:t>offline</w:t>
      </w:r>
      <w:r w:rsidR="00235243" w:rsidRPr="00F844A2">
        <w:rPr>
          <w:rFonts w:ascii="Times" w:hAnsi="Times"/>
        </w:rPr>
        <w:t xml:space="preserve"> on analysis framing, then reach out to </w:t>
      </w:r>
      <w:r w:rsidR="004772DE" w:rsidRPr="00F844A2">
        <w:rPr>
          <w:rFonts w:ascii="Times" w:hAnsi="Times"/>
        </w:rPr>
        <w:t xml:space="preserve">E. Coulson’s </w:t>
      </w:r>
      <w:r w:rsidR="00235243" w:rsidRPr="00F844A2">
        <w:rPr>
          <w:rFonts w:ascii="Times" w:hAnsi="Times"/>
        </w:rPr>
        <w:t xml:space="preserve">MBA and </w:t>
      </w:r>
      <w:r w:rsidR="004772DE" w:rsidRPr="00F844A2">
        <w:rPr>
          <w:rFonts w:ascii="Times" w:hAnsi="Times"/>
        </w:rPr>
        <w:t>U</w:t>
      </w:r>
      <w:r w:rsidR="00235243" w:rsidRPr="00F844A2">
        <w:rPr>
          <w:rFonts w:ascii="Times" w:hAnsi="Times"/>
        </w:rPr>
        <w:t>ndergrad</w:t>
      </w:r>
      <w:r w:rsidR="004772DE" w:rsidRPr="00F844A2">
        <w:rPr>
          <w:rFonts w:ascii="Times" w:hAnsi="Times"/>
        </w:rPr>
        <w:t>uate</w:t>
      </w:r>
      <w:r w:rsidR="00235243" w:rsidRPr="00F844A2">
        <w:rPr>
          <w:rFonts w:ascii="Times" w:hAnsi="Times"/>
        </w:rPr>
        <w:t xml:space="preserve"> students to recruit </w:t>
      </w:r>
      <w:r w:rsidR="004772DE" w:rsidRPr="00F844A2">
        <w:rPr>
          <w:rFonts w:ascii="Times" w:hAnsi="Times"/>
        </w:rPr>
        <w:t xml:space="preserve">students </w:t>
      </w:r>
      <w:r w:rsidR="00235243" w:rsidRPr="00F844A2">
        <w:rPr>
          <w:rFonts w:ascii="Times" w:hAnsi="Times"/>
        </w:rPr>
        <w:t>before classes start.</w:t>
      </w:r>
    </w:p>
    <w:p w14:paraId="74B69827" w14:textId="65805F37" w:rsidR="002C40B6" w:rsidRPr="00F844A2" w:rsidRDefault="002C40B6" w:rsidP="00735182">
      <w:pPr>
        <w:rPr>
          <w:rFonts w:ascii="Times" w:hAnsi="Times"/>
        </w:rPr>
      </w:pPr>
    </w:p>
    <w:p w14:paraId="6E56E266" w14:textId="683EB9CE" w:rsidR="00091B5F" w:rsidRPr="00F844A2" w:rsidRDefault="004772DE" w:rsidP="004772DE">
      <w:pPr>
        <w:rPr>
          <w:rFonts w:ascii="Times" w:hAnsi="Times"/>
          <w:b/>
          <w:bCs/>
        </w:rPr>
      </w:pPr>
      <w:r w:rsidRPr="00F844A2">
        <w:rPr>
          <w:rFonts w:ascii="Times" w:hAnsi="Times"/>
          <w:b/>
          <w:bCs/>
        </w:rPr>
        <w:t>TIMELINE AND NEXT STEPS</w:t>
      </w:r>
    </w:p>
    <w:p w14:paraId="0E7100D3" w14:textId="76006C68" w:rsidR="004772DE" w:rsidRPr="00F844A2" w:rsidRDefault="004772DE" w:rsidP="004772DE">
      <w:pPr>
        <w:rPr>
          <w:rFonts w:ascii="Times" w:hAnsi="Times"/>
        </w:rPr>
      </w:pPr>
      <w:r w:rsidRPr="00F844A2">
        <w:rPr>
          <w:rFonts w:ascii="Times" w:hAnsi="Times"/>
        </w:rPr>
        <w:t xml:space="preserve">For context on how this subgroup fits into the larger </w:t>
      </w:r>
      <w:r w:rsidR="00CD2B66" w:rsidRPr="00F844A2">
        <w:rPr>
          <w:rFonts w:ascii="Times" w:hAnsi="Times"/>
        </w:rPr>
        <w:t>goal</w:t>
      </w:r>
      <w:r w:rsidRPr="00F844A2">
        <w:rPr>
          <w:rFonts w:ascii="Times" w:hAnsi="Times"/>
        </w:rPr>
        <w:t xml:space="preserve">, L. Ettenson explained that </w:t>
      </w:r>
      <w:r w:rsidR="00091B5F" w:rsidRPr="00F844A2">
        <w:rPr>
          <w:rFonts w:ascii="Times" w:hAnsi="Times"/>
        </w:rPr>
        <w:t>t</w:t>
      </w:r>
      <w:r w:rsidR="0012055B" w:rsidRPr="00F844A2">
        <w:rPr>
          <w:rFonts w:ascii="Times" w:hAnsi="Times"/>
        </w:rPr>
        <w:t xml:space="preserve">his </w:t>
      </w:r>
      <w:r w:rsidRPr="00F844A2">
        <w:rPr>
          <w:rFonts w:ascii="Times" w:hAnsi="Times"/>
        </w:rPr>
        <w:t xml:space="preserve">working group </w:t>
      </w:r>
      <w:r w:rsidR="0012055B" w:rsidRPr="00F844A2">
        <w:rPr>
          <w:rFonts w:ascii="Times" w:hAnsi="Times"/>
        </w:rPr>
        <w:t>process was determined by CAEECC</w:t>
      </w:r>
      <w:r w:rsidR="00EF473B">
        <w:rPr>
          <w:rFonts w:ascii="Times" w:hAnsi="Times"/>
        </w:rPr>
        <w:t xml:space="preserve">. She also noted </w:t>
      </w:r>
      <w:r w:rsidRPr="00F844A2">
        <w:rPr>
          <w:rFonts w:ascii="Times" w:hAnsi="Times"/>
        </w:rPr>
        <w:t>that it’s important to</w:t>
      </w:r>
      <w:r w:rsidR="00EF473B">
        <w:rPr>
          <w:rFonts w:ascii="Times" w:hAnsi="Times"/>
        </w:rPr>
        <w:t xml:space="preserve"> first conduct a data analysis to determine if there is in fact a gap in service for certain customers before moving to the next phase of the project, which would look at potential </w:t>
      </w:r>
      <w:r w:rsidRPr="00F844A2">
        <w:rPr>
          <w:rFonts w:ascii="Times" w:hAnsi="Times"/>
        </w:rPr>
        <w:t xml:space="preserve">recommendations about what may need to change to enable greater inclusion and equity for SMB customers. She explained the goal of this </w:t>
      </w:r>
      <w:r w:rsidR="0012055B" w:rsidRPr="00F844A2">
        <w:rPr>
          <w:rFonts w:ascii="Times" w:hAnsi="Times"/>
        </w:rPr>
        <w:t xml:space="preserve">first </w:t>
      </w:r>
      <w:r w:rsidRPr="00F844A2">
        <w:rPr>
          <w:rFonts w:ascii="Times" w:hAnsi="Times"/>
        </w:rPr>
        <w:t xml:space="preserve">phase </w:t>
      </w:r>
      <w:r w:rsidR="0012055B" w:rsidRPr="00F844A2">
        <w:rPr>
          <w:rFonts w:ascii="Times" w:hAnsi="Times"/>
        </w:rPr>
        <w:t xml:space="preserve">is </w:t>
      </w:r>
      <w:r w:rsidRPr="00F844A2">
        <w:rPr>
          <w:rFonts w:ascii="Times" w:hAnsi="Times"/>
        </w:rPr>
        <w:t>to analyze</w:t>
      </w:r>
      <w:r w:rsidR="0012055B" w:rsidRPr="00F844A2">
        <w:rPr>
          <w:rFonts w:ascii="Times" w:hAnsi="Times"/>
        </w:rPr>
        <w:t xml:space="preserve"> whether</w:t>
      </w:r>
      <w:r w:rsidRPr="00F844A2">
        <w:rPr>
          <w:rFonts w:ascii="Times" w:hAnsi="Times"/>
        </w:rPr>
        <w:t xml:space="preserve"> the group’s</w:t>
      </w:r>
      <w:r w:rsidR="0012055B" w:rsidRPr="00F844A2">
        <w:rPr>
          <w:rFonts w:ascii="Times" w:hAnsi="Times"/>
        </w:rPr>
        <w:t xml:space="preserve"> hypothesis about underserved</w:t>
      </w:r>
      <w:r w:rsidR="00C1182E" w:rsidRPr="00F844A2">
        <w:rPr>
          <w:rFonts w:ascii="Times" w:hAnsi="Times"/>
        </w:rPr>
        <w:t xml:space="preserve"> customers left behind</w:t>
      </w:r>
      <w:r w:rsidR="0012055B" w:rsidRPr="00F844A2">
        <w:rPr>
          <w:rFonts w:ascii="Times" w:hAnsi="Times"/>
        </w:rPr>
        <w:t xml:space="preserve"> is correct.</w:t>
      </w:r>
      <w:r w:rsidR="00EF473B">
        <w:rPr>
          <w:rFonts w:ascii="Times" w:hAnsi="Times"/>
        </w:rPr>
        <w:t xml:space="preserve"> The second phase is yet to be determined as it is dependent on the data analysis.</w:t>
      </w:r>
      <w:r w:rsidRPr="00F844A2">
        <w:rPr>
          <w:rFonts w:ascii="Times" w:hAnsi="Times"/>
        </w:rPr>
        <w:t xml:space="preserve"> </w:t>
      </w:r>
    </w:p>
    <w:p w14:paraId="18A43418" w14:textId="6E6F48C5" w:rsidR="004772DE" w:rsidRPr="00F844A2" w:rsidRDefault="004772DE" w:rsidP="004772DE">
      <w:pPr>
        <w:rPr>
          <w:rFonts w:ascii="Times" w:hAnsi="Times"/>
        </w:rPr>
      </w:pPr>
    </w:p>
    <w:p w14:paraId="3E47956B" w14:textId="370BEB17" w:rsidR="004772DE" w:rsidRPr="00F844A2" w:rsidRDefault="004772DE" w:rsidP="004772DE">
      <w:pPr>
        <w:rPr>
          <w:rFonts w:ascii="Times" w:hAnsi="Times"/>
        </w:rPr>
      </w:pPr>
      <w:r w:rsidRPr="00F844A2">
        <w:rPr>
          <w:rFonts w:ascii="Times" w:hAnsi="Times"/>
        </w:rPr>
        <w:t>T. Love proposed that the end of the semester (mid-December) seems like a reasonable goal, though he would like to confer with E. Coulson.</w:t>
      </w:r>
    </w:p>
    <w:p w14:paraId="249ECF6D" w14:textId="77777777" w:rsidR="004772DE" w:rsidRPr="00F844A2" w:rsidRDefault="004772DE" w:rsidP="004772DE">
      <w:pPr>
        <w:rPr>
          <w:rFonts w:ascii="Times" w:hAnsi="Times"/>
        </w:rPr>
      </w:pPr>
    </w:p>
    <w:p w14:paraId="62CF68B4" w14:textId="4AB41601" w:rsidR="0012055B" w:rsidRPr="00F844A2" w:rsidRDefault="00D26790" w:rsidP="004772DE">
      <w:pPr>
        <w:rPr>
          <w:rFonts w:ascii="Times" w:hAnsi="Times"/>
          <w:b/>
          <w:bCs/>
          <w:u w:val="single"/>
        </w:rPr>
      </w:pPr>
      <w:r w:rsidRPr="00F844A2">
        <w:rPr>
          <w:rFonts w:ascii="Times" w:hAnsi="Times"/>
          <w:b/>
          <w:bCs/>
          <w:u w:val="single"/>
        </w:rPr>
        <w:t>Next steps</w:t>
      </w:r>
      <w:r w:rsidR="00CD3524" w:rsidRPr="00F844A2">
        <w:rPr>
          <w:rFonts w:ascii="Times" w:hAnsi="Times"/>
          <w:b/>
          <w:bCs/>
          <w:u w:val="single"/>
        </w:rPr>
        <w:t xml:space="preserve"> and deadlines</w:t>
      </w:r>
    </w:p>
    <w:p w14:paraId="3266AC00" w14:textId="77777777" w:rsidR="00F844A2" w:rsidRDefault="00CD3524" w:rsidP="00F844A2">
      <w:pPr>
        <w:pStyle w:val="ListParagraph"/>
        <w:numPr>
          <w:ilvl w:val="0"/>
          <w:numId w:val="12"/>
        </w:numPr>
        <w:rPr>
          <w:rFonts w:ascii="Times" w:hAnsi="Times"/>
          <w:b/>
          <w:bCs/>
        </w:rPr>
      </w:pPr>
      <w:r w:rsidRPr="00F844A2">
        <w:rPr>
          <w:rFonts w:ascii="Times" w:hAnsi="Times"/>
          <w:b/>
          <w:bCs/>
        </w:rPr>
        <w:t>Update d</w:t>
      </w:r>
      <w:r w:rsidR="004772DE" w:rsidRPr="00F844A2">
        <w:rPr>
          <w:rFonts w:ascii="Times" w:hAnsi="Times"/>
          <w:b/>
          <w:bCs/>
        </w:rPr>
        <w:t>raft work plan</w:t>
      </w:r>
      <w:r w:rsidRPr="00F844A2">
        <w:rPr>
          <w:rFonts w:ascii="Times" w:hAnsi="Times"/>
          <w:b/>
          <w:bCs/>
        </w:rPr>
        <w:t xml:space="preserve"> – by 9/</w:t>
      </w:r>
      <w:r w:rsidR="00F844A2" w:rsidRPr="00F844A2">
        <w:rPr>
          <w:rFonts w:ascii="Times" w:hAnsi="Times"/>
          <w:b/>
          <w:bCs/>
        </w:rPr>
        <w:t>30</w:t>
      </w:r>
    </w:p>
    <w:p w14:paraId="6D19A0DD" w14:textId="7A1315E7" w:rsidR="00F844A2" w:rsidRPr="00F844A2" w:rsidRDefault="00CD3524" w:rsidP="00F844A2">
      <w:pPr>
        <w:pStyle w:val="ListParagraph"/>
        <w:numPr>
          <w:ilvl w:val="1"/>
          <w:numId w:val="12"/>
        </w:numPr>
        <w:rPr>
          <w:rFonts w:ascii="Times" w:hAnsi="Times"/>
          <w:b/>
          <w:bCs/>
        </w:rPr>
      </w:pPr>
      <w:r w:rsidRPr="00F844A2">
        <w:rPr>
          <w:rFonts w:ascii="Times" w:hAnsi="Times"/>
          <w:b/>
          <w:bCs/>
        </w:rPr>
        <w:t>T. Love to upload draft work plan to google drive</w:t>
      </w:r>
      <w:r w:rsidR="00F844A2">
        <w:rPr>
          <w:rFonts w:ascii="Times" w:hAnsi="Times"/>
          <w:b/>
          <w:bCs/>
        </w:rPr>
        <w:t xml:space="preserve"> (done)</w:t>
      </w:r>
      <w:r w:rsidRPr="00F844A2">
        <w:rPr>
          <w:rFonts w:ascii="Times" w:hAnsi="Times"/>
          <w:b/>
          <w:bCs/>
        </w:rPr>
        <w:t xml:space="preserve"> and </w:t>
      </w:r>
      <w:r w:rsidR="00F844A2">
        <w:rPr>
          <w:rFonts w:ascii="Times" w:hAnsi="Times"/>
          <w:b/>
          <w:bCs/>
        </w:rPr>
        <w:t xml:space="preserve">CAEECC to </w:t>
      </w:r>
      <w:r w:rsidRPr="00F844A2">
        <w:rPr>
          <w:rFonts w:ascii="Times" w:hAnsi="Times"/>
          <w:b/>
          <w:bCs/>
        </w:rPr>
        <w:t>circulate the link to all subgroup Members.</w:t>
      </w:r>
      <w:r w:rsidR="00F844A2" w:rsidRPr="00F844A2">
        <w:rPr>
          <w:rFonts w:ascii="Times" w:hAnsi="Times"/>
          <w:b/>
          <w:bCs/>
        </w:rPr>
        <w:t xml:space="preserve"> </w:t>
      </w:r>
      <w:hyperlink r:id="rId18" w:tgtFrame="_blank" w:history="1">
        <w:r w:rsidR="00F844A2" w:rsidRPr="00F844A2">
          <w:rPr>
            <w:rStyle w:val="Hyperlink"/>
            <w:rFonts w:ascii="Times" w:hAnsi="Times" w:cs="Arial"/>
            <w:b/>
            <w:bCs/>
          </w:rPr>
          <w:t>SMB Analysis Link in Google Drive</w:t>
        </w:r>
      </w:hyperlink>
    </w:p>
    <w:p w14:paraId="65AE1E2B" w14:textId="1D074C5F" w:rsidR="00D26790" w:rsidRPr="00F844A2" w:rsidRDefault="00F844A2" w:rsidP="00F844A2">
      <w:pPr>
        <w:pStyle w:val="ListParagraph"/>
        <w:numPr>
          <w:ilvl w:val="1"/>
          <w:numId w:val="12"/>
        </w:numPr>
        <w:rPr>
          <w:rFonts w:ascii="Times" w:hAnsi="Times"/>
        </w:rPr>
      </w:pPr>
      <w:r w:rsidRPr="00F844A2">
        <w:rPr>
          <w:rFonts w:ascii="Times" w:hAnsi="Times"/>
          <w:b/>
          <w:bCs/>
        </w:rPr>
        <w:t>Members to provide f</w:t>
      </w:r>
      <w:r w:rsidR="00CD3524" w:rsidRPr="00F844A2">
        <w:rPr>
          <w:rFonts w:ascii="Times" w:hAnsi="Times"/>
          <w:b/>
          <w:bCs/>
        </w:rPr>
        <w:t>eedback by 9/</w:t>
      </w:r>
      <w:r w:rsidRPr="00F844A2">
        <w:rPr>
          <w:rFonts w:ascii="Times" w:hAnsi="Times"/>
          <w:b/>
          <w:bCs/>
        </w:rPr>
        <w:t>30</w:t>
      </w:r>
      <w:r w:rsidR="00CD3524" w:rsidRPr="00F844A2">
        <w:rPr>
          <w:rFonts w:ascii="Times" w:hAnsi="Times"/>
        </w:rPr>
        <w:t xml:space="preserve"> in preparation for next UWG meeting. Reminder to technical and non-technical participants alike that the goal is to ensure the work plan moves us towards being able to provide s</w:t>
      </w:r>
      <w:r w:rsidR="004A56C5" w:rsidRPr="00F844A2">
        <w:rPr>
          <w:rFonts w:ascii="Times" w:hAnsi="Times"/>
        </w:rPr>
        <w:t xml:space="preserve">pecific recommendations about what may need to change </w:t>
      </w:r>
      <w:r w:rsidR="00CD3524" w:rsidRPr="00F844A2">
        <w:rPr>
          <w:rFonts w:ascii="Times" w:hAnsi="Times"/>
        </w:rPr>
        <w:t xml:space="preserve">to enable greater inclusion and equity for </w:t>
      </w:r>
      <w:r w:rsidR="004A56C5" w:rsidRPr="00F844A2">
        <w:rPr>
          <w:rFonts w:ascii="Times" w:hAnsi="Times"/>
        </w:rPr>
        <w:t xml:space="preserve">SMB customers. </w:t>
      </w:r>
    </w:p>
    <w:p w14:paraId="3E6A42DC" w14:textId="59FE07E9" w:rsidR="00CD3524" w:rsidRDefault="00CD3524" w:rsidP="00F844A2">
      <w:pPr>
        <w:pStyle w:val="ListParagraph"/>
        <w:numPr>
          <w:ilvl w:val="1"/>
          <w:numId w:val="12"/>
        </w:numPr>
        <w:rPr>
          <w:rFonts w:ascii="Times" w:hAnsi="Times"/>
          <w:b/>
          <w:bCs/>
        </w:rPr>
      </w:pPr>
      <w:r w:rsidRPr="00F844A2">
        <w:rPr>
          <w:rFonts w:ascii="Times" w:hAnsi="Times"/>
          <w:b/>
          <w:bCs/>
        </w:rPr>
        <w:t xml:space="preserve">T. Love to provide E. Coulson samples of previous analyses </w:t>
      </w:r>
    </w:p>
    <w:p w14:paraId="01826478" w14:textId="77777777" w:rsidR="00F844A2" w:rsidRPr="00F844A2" w:rsidRDefault="00F844A2" w:rsidP="00F844A2">
      <w:pPr>
        <w:rPr>
          <w:rFonts w:ascii="Times" w:hAnsi="Times"/>
          <w:b/>
          <w:bCs/>
        </w:rPr>
      </w:pPr>
    </w:p>
    <w:p w14:paraId="3A408242" w14:textId="1155A291" w:rsidR="004772DE" w:rsidRPr="00F844A2" w:rsidRDefault="004772DE" w:rsidP="00F844A2">
      <w:pPr>
        <w:pStyle w:val="ListParagraph"/>
        <w:numPr>
          <w:ilvl w:val="0"/>
          <w:numId w:val="12"/>
        </w:numPr>
        <w:rPr>
          <w:rFonts w:ascii="Times" w:hAnsi="Times"/>
          <w:b/>
          <w:bCs/>
        </w:rPr>
      </w:pPr>
      <w:r w:rsidRPr="00F844A2">
        <w:rPr>
          <w:rFonts w:ascii="Times" w:hAnsi="Times"/>
          <w:b/>
          <w:bCs/>
        </w:rPr>
        <w:t>Data gathering</w:t>
      </w:r>
      <w:r w:rsidR="00CD3524" w:rsidRPr="00F844A2">
        <w:rPr>
          <w:rFonts w:ascii="Times" w:hAnsi="Times"/>
          <w:b/>
          <w:bCs/>
        </w:rPr>
        <w:t xml:space="preserve"> – by 10/</w:t>
      </w:r>
      <w:commentRangeStart w:id="4"/>
      <w:commentRangeStart w:id="5"/>
      <w:r w:rsidR="00CD3524" w:rsidRPr="00F844A2">
        <w:rPr>
          <w:rFonts w:ascii="Times" w:hAnsi="Times"/>
          <w:b/>
          <w:bCs/>
        </w:rPr>
        <w:t>15</w:t>
      </w:r>
      <w:commentRangeEnd w:id="4"/>
      <w:r w:rsidR="00EF473B">
        <w:rPr>
          <w:rStyle w:val="CommentReference"/>
        </w:rPr>
        <w:commentReference w:id="4"/>
      </w:r>
      <w:commentRangeEnd w:id="5"/>
      <w:r w:rsidR="00426BD6">
        <w:rPr>
          <w:rStyle w:val="CommentReference"/>
        </w:rPr>
        <w:commentReference w:id="5"/>
      </w:r>
    </w:p>
    <w:p w14:paraId="79C61E7C" w14:textId="747AA28C" w:rsidR="00BB6654" w:rsidRPr="00F844A2" w:rsidRDefault="00F844A2" w:rsidP="00F844A2">
      <w:pPr>
        <w:pStyle w:val="ListParagraph"/>
        <w:numPr>
          <w:ilvl w:val="1"/>
          <w:numId w:val="12"/>
        </w:numPr>
        <w:rPr>
          <w:rFonts w:ascii="Times" w:hAnsi="Times"/>
        </w:rPr>
      </w:pPr>
      <w:r>
        <w:rPr>
          <w:rFonts w:ascii="Times" w:hAnsi="Times"/>
          <w:b/>
          <w:bCs/>
        </w:rPr>
        <w:lastRenderedPageBreak/>
        <w:t>M</w:t>
      </w:r>
      <w:r w:rsidRPr="00F844A2">
        <w:rPr>
          <w:rFonts w:ascii="Times" w:hAnsi="Times"/>
          <w:b/>
          <w:bCs/>
        </w:rPr>
        <w:t xml:space="preserve">embers to </w:t>
      </w:r>
      <w:r w:rsidR="002A3828">
        <w:rPr>
          <w:rFonts w:ascii="Times" w:hAnsi="Times"/>
          <w:b/>
          <w:bCs/>
        </w:rPr>
        <w:t xml:space="preserve">confirm </w:t>
      </w:r>
      <w:r w:rsidR="00EC4F65">
        <w:rPr>
          <w:rFonts w:ascii="Times" w:hAnsi="Times"/>
          <w:b/>
          <w:bCs/>
        </w:rPr>
        <w:t xml:space="preserve">data </w:t>
      </w:r>
      <w:r w:rsidR="002A3828">
        <w:rPr>
          <w:rFonts w:ascii="Times" w:hAnsi="Times"/>
          <w:b/>
          <w:bCs/>
        </w:rPr>
        <w:t>shar</w:t>
      </w:r>
      <w:r w:rsidR="00EC4F65">
        <w:rPr>
          <w:rFonts w:ascii="Times" w:hAnsi="Times"/>
          <w:b/>
          <w:bCs/>
        </w:rPr>
        <w:t>ing</w:t>
      </w:r>
      <w:r w:rsidR="002A3828">
        <w:rPr>
          <w:rFonts w:ascii="Times" w:hAnsi="Times"/>
          <w:b/>
          <w:bCs/>
        </w:rPr>
        <w:t xml:space="preserve"> using the </w:t>
      </w:r>
      <w:hyperlink r:id="rId19" w:tgtFrame="_blank" w:history="1">
        <w:r w:rsidR="002A3828" w:rsidRPr="00F844A2">
          <w:rPr>
            <w:rStyle w:val="Hyperlink"/>
            <w:rFonts w:ascii="Times" w:hAnsi="Times" w:cs="Arial"/>
            <w:b/>
            <w:bCs/>
          </w:rPr>
          <w:t>SMB Analysis Link in Google Drive</w:t>
        </w:r>
      </w:hyperlink>
      <w:r w:rsidR="002A3828">
        <w:rPr>
          <w:rFonts w:ascii="Times" w:hAnsi="Times"/>
          <w:b/>
          <w:bCs/>
        </w:rPr>
        <w:t xml:space="preserve"> </w:t>
      </w:r>
    </w:p>
    <w:p w14:paraId="1A405DD2" w14:textId="7CD45FDB" w:rsidR="00CD3524" w:rsidRDefault="006A2DCB" w:rsidP="00F844A2">
      <w:pPr>
        <w:pStyle w:val="ListParagraph"/>
        <w:numPr>
          <w:ilvl w:val="1"/>
          <w:numId w:val="12"/>
        </w:numPr>
        <w:rPr>
          <w:rFonts w:ascii="Times" w:hAnsi="Times"/>
        </w:rPr>
      </w:pPr>
      <w:r>
        <w:rPr>
          <w:rFonts w:ascii="Times" w:hAnsi="Times"/>
          <w:b/>
          <w:bCs/>
        </w:rPr>
        <w:t>Members to review</w:t>
      </w:r>
      <w:r w:rsidR="00CD3524" w:rsidRPr="00F844A2">
        <w:rPr>
          <w:rFonts w:ascii="Times" w:hAnsi="Times"/>
          <w:b/>
          <w:bCs/>
        </w:rPr>
        <w:t xml:space="preserve"> Table 1 for specific next steps for each of the data sources</w:t>
      </w:r>
      <w:r w:rsidR="00CD3524" w:rsidRPr="00F844A2">
        <w:rPr>
          <w:rFonts w:ascii="Times" w:hAnsi="Times"/>
        </w:rPr>
        <w:t xml:space="preserve"> that the group concluded would be useful for the analysis </w:t>
      </w:r>
    </w:p>
    <w:p w14:paraId="683B7DDF" w14:textId="77777777" w:rsidR="00F844A2" w:rsidRPr="00F844A2" w:rsidRDefault="00F844A2" w:rsidP="00F844A2">
      <w:pPr>
        <w:rPr>
          <w:rFonts w:ascii="Times" w:hAnsi="Times"/>
        </w:rPr>
      </w:pPr>
    </w:p>
    <w:p w14:paraId="541D39DE" w14:textId="122A19B1" w:rsidR="00235243" w:rsidRPr="00F844A2" w:rsidRDefault="00CD3524" w:rsidP="00F844A2">
      <w:pPr>
        <w:pStyle w:val="ListParagraph"/>
        <w:numPr>
          <w:ilvl w:val="0"/>
          <w:numId w:val="12"/>
        </w:numPr>
        <w:rPr>
          <w:rFonts w:ascii="Times" w:hAnsi="Times"/>
          <w:b/>
          <w:bCs/>
        </w:rPr>
      </w:pPr>
      <w:r w:rsidRPr="00F844A2">
        <w:rPr>
          <w:rFonts w:ascii="Times" w:hAnsi="Times"/>
          <w:b/>
          <w:bCs/>
        </w:rPr>
        <w:t>Researcher recruitment – before 10/15</w:t>
      </w:r>
    </w:p>
    <w:p w14:paraId="1E1C6E42" w14:textId="38A1CD98" w:rsidR="00235243" w:rsidRDefault="00CD3524" w:rsidP="00F844A2">
      <w:pPr>
        <w:pStyle w:val="ListParagraph"/>
        <w:numPr>
          <w:ilvl w:val="1"/>
          <w:numId w:val="12"/>
        </w:numPr>
        <w:rPr>
          <w:rFonts w:ascii="Times" w:hAnsi="Times"/>
        </w:rPr>
      </w:pPr>
      <w:r w:rsidRPr="00F844A2">
        <w:rPr>
          <w:rFonts w:ascii="Times" w:hAnsi="Times"/>
          <w:b/>
          <w:bCs/>
        </w:rPr>
        <w:t>E. Coulson to</w:t>
      </w:r>
      <w:r w:rsidR="00235243" w:rsidRPr="00F844A2">
        <w:rPr>
          <w:rFonts w:ascii="Times" w:hAnsi="Times"/>
          <w:b/>
          <w:bCs/>
        </w:rPr>
        <w:t xml:space="preserve"> reach out to </w:t>
      </w:r>
      <w:r w:rsidR="00EC4F65">
        <w:rPr>
          <w:rFonts w:ascii="Times" w:hAnsi="Times"/>
          <w:b/>
          <w:bCs/>
        </w:rPr>
        <w:t xml:space="preserve">interested </w:t>
      </w:r>
      <w:r w:rsidR="00235243" w:rsidRPr="00F844A2">
        <w:rPr>
          <w:rFonts w:ascii="Times" w:hAnsi="Times"/>
          <w:b/>
          <w:bCs/>
        </w:rPr>
        <w:t xml:space="preserve">MBA and </w:t>
      </w:r>
      <w:r w:rsidRPr="00F844A2">
        <w:rPr>
          <w:rFonts w:ascii="Times" w:hAnsi="Times"/>
          <w:b/>
          <w:bCs/>
        </w:rPr>
        <w:t>U</w:t>
      </w:r>
      <w:r w:rsidR="00235243" w:rsidRPr="00F844A2">
        <w:rPr>
          <w:rFonts w:ascii="Times" w:hAnsi="Times"/>
          <w:b/>
          <w:bCs/>
        </w:rPr>
        <w:t>ndergrad</w:t>
      </w:r>
      <w:r w:rsidRPr="00F844A2">
        <w:rPr>
          <w:rFonts w:ascii="Times" w:hAnsi="Times"/>
          <w:b/>
          <w:bCs/>
        </w:rPr>
        <w:t>uate</w:t>
      </w:r>
      <w:r w:rsidR="00235243" w:rsidRPr="00F844A2">
        <w:rPr>
          <w:rFonts w:ascii="Times" w:hAnsi="Times"/>
          <w:b/>
          <w:bCs/>
        </w:rPr>
        <w:t xml:space="preserve"> students to recruit</w:t>
      </w:r>
      <w:r w:rsidR="00235243" w:rsidRPr="00F844A2">
        <w:rPr>
          <w:rFonts w:ascii="Times" w:hAnsi="Times"/>
        </w:rPr>
        <w:t xml:space="preserve"> before classes start</w:t>
      </w:r>
    </w:p>
    <w:p w14:paraId="39B11380" w14:textId="77777777" w:rsidR="00F844A2" w:rsidRPr="00F844A2" w:rsidRDefault="00F844A2" w:rsidP="00F844A2">
      <w:pPr>
        <w:rPr>
          <w:rFonts w:ascii="Times" w:hAnsi="Times"/>
        </w:rPr>
      </w:pPr>
    </w:p>
    <w:p w14:paraId="409FEED9" w14:textId="094BC267" w:rsidR="00F93A6E" w:rsidRPr="00161AF7" w:rsidRDefault="00CD3524" w:rsidP="00161AF7">
      <w:pPr>
        <w:pStyle w:val="ListParagraph"/>
        <w:numPr>
          <w:ilvl w:val="0"/>
          <w:numId w:val="12"/>
        </w:numPr>
        <w:rPr>
          <w:rFonts w:ascii="Times" w:hAnsi="Times"/>
          <w:b/>
          <w:bCs/>
        </w:rPr>
      </w:pPr>
      <w:r w:rsidRPr="002A3828">
        <w:rPr>
          <w:rFonts w:ascii="Times" w:hAnsi="Times"/>
          <w:b/>
          <w:bCs/>
        </w:rPr>
        <w:t xml:space="preserve">Consensus decisions – at next </w:t>
      </w:r>
      <w:commentRangeStart w:id="6"/>
      <w:r w:rsidRPr="002A3828">
        <w:rPr>
          <w:rFonts w:ascii="Times" w:hAnsi="Times"/>
          <w:b/>
          <w:bCs/>
        </w:rPr>
        <w:t>SMB</w:t>
      </w:r>
      <w:commentRangeEnd w:id="6"/>
      <w:r w:rsidR="00B251FD">
        <w:rPr>
          <w:rStyle w:val="CommentReference"/>
        </w:rPr>
        <w:commentReference w:id="6"/>
      </w:r>
      <w:r w:rsidRPr="002A3828">
        <w:rPr>
          <w:rFonts w:ascii="Times" w:hAnsi="Times"/>
          <w:b/>
          <w:bCs/>
        </w:rPr>
        <w:t xml:space="preserve"> mini-sub-UWG meeting</w:t>
      </w:r>
    </w:p>
    <w:p w14:paraId="52163EDE" w14:textId="0D151DCC" w:rsidR="00426BD6" w:rsidRDefault="00F93A6E" w:rsidP="00D972AB">
      <w:pPr>
        <w:pStyle w:val="ListParagraph"/>
        <w:numPr>
          <w:ilvl w:val="1"/>
          <w:numId w:val="12"/>
        </w:numPr>
        <w:rPr>
          <w:rFonts w:ascii="Times" w:hAnsi="Times"/>
          <w:b/>
          <w:bCs/>
        </w:rPr>
      </w:pPr>
      <w:r>
        <w:rPr>
          <w:rFonts w:ascii="Times" w:hAnsi="Times"/>
          <w:b/>
          <w:bCs/>
        </w:rPr>
        <w:t>Seek and c</w:t>
      </w:r>
      <w:r w:rsidR="00426BD6">
        <w:rPr>
          <w:rFonts w:ascii="Times" w:hAnsi="Times"/>
          <w:b/>
          <w:bCs/>
        </w:rPr>
        <w:t xml:space="preserve">onfirm </w:t>
      </w:r>
      <w:r>
        <w:rPr>
          <w:rFonts w:ascii="Times" w:hAnsi="Times"/>
          <w:b/>
          <w:bCs/>
        </w:rPr>
        <w:t>consensus of</w:t>
      </w:r>
      <w:r w:rsidR="00426BD6">
        <w:rPr>
          <w:rFonts w:ascii="Times" w:hAnsi="Times"/>
          <w:b/>
          <w:bCs/>
        </w:rPr>
        <w:t xml:space="preserve"> proposal to use definition</w:t>
      </w:r>
      <w:r>
        <w:rPr>
          <w:rFonts w:ascii="Times" w:hAnsi="Times"/>
          <w:b/>
          <w:bCs/>
        </w:rPr>
        <w:t xml:space="preserve"> </w:t>
      </w:r>
      <w:r w:rsidR="00426BD6">
        <w:rPr>
          <w:rFonts w:ascii="Times" w:hAnsi="Times"/>
          <w:b/>
          <w:bCs/>
        </w:rPr>
        <w:t>of SMB</w:t>
      </w:r>
      <w:r>
        <w:rPr>
          <w:rFonts w:ascii="Times" w:hAnsi="Times"/>
          <w:b/>
          <w:bCs/>
        </w:rPr>
        <w:t xml:space="preserve"> which appears in CPUC Resolution</w:t>
      </w:r>
      <w:r w:rsidR="00426BD6">
        <w:rPr>
          <w:rFonts w:ascii="Times" w:hAnsi="Times"/>
          <w:b/>
          <w:bCs/>
        </w:rPr>
        <w:t xml:space="preserve"> </w:t>
      </w:r>
      <w:r w:rsidRPr="00161AF7">
        <w:rPr>
          <w:rFonts w:ascii="Times" w:hAnsi="Times"/>
          <w:b/>
          <w:bCs/>
        </w:rPr>
        <w:t>4939</w:t>
      </w:r>
      <w:r>
        <w:rPr>
          <w:rFonts w:ascii="Times" w:hAnsi="Times"/>
          <w:b/>
          <w:bCs/>
        </w:rPr>
        <w:t xml:space="preserve"> </w:t>
      </w:r>
      <w:r w:rsidR="00426BD6">
        <w:rPr>
          <w:rFonts w:ascii="Times" w:hAnsi="Times"/>
          <w:b/>
          <w:bCs/>
        </w:rPr>
        <w:t>(</w:t>
      </w:r>
      <w:r>
        <w:rPr>
          <w:rFonts w:ascii="Times" w:hAnsi="Times"/>
          <w:b/>
          <w:bCs/>
        </w:rPr>
        <w:t>proposal</w:t>
      </w:r>
      <w:r w:rsidR="00426BD6">
        <w:rPr>
          <w:rFonts w:ascii="Times" w:hAnsi="Times"/>
          <w:b/>
          <w:bCs/>
        </w:rPr>
        <w:t xml:space="preserve"> by L. Ettenson after the meeting)</w:t>
      </w:r>
    </w:p>
    <w:p w14:paraId="25E46564" w14:textId="77777777" w:rsidR="00F844A2" w:rsidRPr="00143B7C" w:rsidRDefault="00F844A2" w:rsidP="002A3828">
      <w:pPr>
        <w:pStyle w:val="ListParagraph"/>
        <w:ind w:left="1440"/>
        <w:rPr>
          <w:rFonts w:ascii="Times" w:hAnsi="Times"/>
          <w:b/>
          <w:bCs/>
        </w:rPr>
      </w:pPr>
    </w:p>
    <w:p w14:paraId="53646E9F" w14:textId="6DD9EA2A" w:rsidR="00235243" w:rsidRPr="00F844A2" w:rsidRDefault="00CD3524" w:rsidP="00F844A2">
      <w:pPr>
        <w:pStyle w:val="ListParagraph"/>
        <w:numPr>
          <w:ilvl w:val="0"/>
          <w:numId w:val="12"/>
        </w:numPr>
        <w:rPr>
          <w:rFonts w:ascii="Times" w:hAnsi="Times"/>
          <w:b/>
          <w:bCs/>
        </w:rPr>
      </w:pPr>
      <w:r w:rsidRPr="00F844A2">
        <w:rPr>
          <w:rFonts w:ascii="Times" w:hAnsi="Times"/>
          <w:b/>
          <w:bCs/>
        </w:rPr>
        <w:t>Next UWG Meeting – date TBD</w:t>
      </w:r>
      <w:r w:rsidR="002A3828">
        <w:rPr>
          <w:rFonts w:ascii="Times" w:hAnsi="Times"/>
          <w:b/>
          <w:bCs/>
        </w:rPr>
        <w:t xml:space="preserve"> (likely early/mid October)</w:t>
      </w:r>
    </w:p>
    <w:p w14:paraId="778C328F" w14:textId="68965697" w:rsidR="00BB6654" w:rsidRDefault="00CD3524">
      <w:pPr>
        <w:pStyle w:val="ListParagraph"/>
        <w:numPr>
          <w:ilvl w:val="1"/>
          <w:numId w:val="12"/>
        </w:numPr>
        <w:rPr>
          <w:rFonts w:ascii="Times" w:hAnsi="Times"/>
        </w:rPr>
      </w:pPr>
      <w:r w:rsidRPr="002A3828">
        <w:rPr>
          <w:rFonts w:ascii="Times" w:hAnsi="Times"/>
        </w:rPr>
        <w:t xml:space="preserve">S. </w:t>
      </w:r>
      <w:r w:rsidR="00362C7D" w:rsidRPr="002A3828">
        <w:rPr>
          <w:rFonts w:ascii="Times" w:hAnsi="Times"/>
        </w:rPr>
        <w:t xml:space="preserve">McCreary </w:t>
      </w:r>
      <w:r w:rsidRPr="002A3828">
        <w:rPr>
          <w:rFonts w:ascii="Times" w:hAnsi="Times"/>
        </w:rPr>
        <w:t xml:space="preserve">to </w:t>
      </w:r>
      <w:r w:rsidR="00B44D92" w:rsidRPr="002A3828">
        <w:rPr>
          <w:rFonts w:ascii="Times" w:hAnsi="Times"/>
        </w:rPr>
        <w:t xml:space="preserve">include 10 minutes allocated for L. Ettenson to provide CAEECC overview </w:t>
      </w:r>
      <w:r w:rsidRPr="002A3828">
        <w:rPr>
          <w:rFonts w:ascii="Times" w:hAnsi="Times"/>
        </w:rPr>
        <w:t xml:space="preserve">next full UWG agenda </w:t>
      </w:r>
    </w:p>
    <w:p w14:paraId="6A84D1A5" w14:textId="07AE5992" w:rsidR="00C9148C" w:rsidRPr="002A3828" w:rsidRDefault="00C9148C">
      <w:pPr>
        <w:pStyle w:val="ListParagraph"/>
        <w:numPr>
          <w:ilvl w:val="1"/>
          <w:numId w:val="12"/>
        </w:numPr>
        <w:rPr>
          <w:rFonts w:ascii="Times" w:hAnsi="Times"/>
        </w:rPr>
      </w:pPr>
      <w:r>
        <w:rPr>
          <w:rFonts w:ascii="Times" w:hAnsi="Times"/>
        </w:rPr>
        <w:t xml:space="preserve">CAEECC facilitation team to </w:t>
      </w:r>
      <w:r w:rsidR="00F93A6E">
        <w:rPr>
          <w:rFonts w:ascii="Times" w:hAnsi="Times"/>
        </w:rPr>
        <w:t>test for</w:t>
      </w:r>
      <w:r>
        <w:rPr>
          <w:rFonts w:ascii="Times" w:hAnsi="Times"/>
        </w:rPr>
        <w:t xml:space="preserve"> consensus on NRDC proposal that </w:t>
      </w:r>
      <w:r w:rsidRPr="00E76487">
        <w:rPr>
          <w:rFonts w:ascii="Times" w:hAnsi="Times"/>
        </w:rPr>
        <w:t xml:space="preserve">the analysis team (the UCI research team) be the primary data recipient but that data be available to UWG members by request </w:t>
      </w:r>
    </w:p>
    <w:p w14:paraId="7AD5DCEB" w14:textId="65108C5B" w:rsidR="001867D9" w:rsidRPr="002A3828" w:rsidRDefault="001867D9" w:rsidP="00F844A2">
      <w:pPr>
        <w:pStyle w:val="ListParagraph"/>
        <w:numPr>
          <w:ilvl w:val="1"/>
          <w:numId w:val="12"/>
        </w:numPr>
        <w:rPr>
          <w:rFonts w:ascii="Times" w:hAnsi="Times"/>
        </w:rPr>
      </w:pPr>
      <w:r w:rsidRPr="002A3828">
        <w:rPr>
          <w:rFonts w:ascii="Times" w:hAnsi="Times"/>
        </w:rPr>
        <w:t>CAEECC facilitation team to schedule next UWG meeting</w:t>
      </w:r>
    </w:p>
    <w:p w14:paraId="46E57632" w14:textId="65F8B76A" w:rsidR="00AB75FF" w:rsidRPr="002A3828" w:rsidRDefault="00AB75FF" w:rsidP="00F844A2">
      <w:pPr>
        <w:pStyle w:val="ListParagraph"/>
        <w:numPr>
          <w:ilvl w:val="1"/>
          <w:numId w:val="12"/>
        </w:numPr>
        <w:rPr>
          <w:rFonts w:ascii="Times" w:hAnsi="Times"/>
        </w:rPr>
      </w:pPr>
      <w:r w:rsidRPr="002A3828">
        <w:rPr>
          <w:rFonts w:ascii="Times" w:hAnsi="Times"/>
        </w:rPr>
        <w:t>CAEECC facilitation team to add agenda item to obtain full UWG input on this group’s proposal and research approach</w:t>
      </w:r>
    </w:p>
    <w:p w14:paraId="2D9DAD0E" w14:textId="1504B06E" w:rsidR="00B93358" w:rsidRPr="00F844A2" w:rsidRDefault="00B93358">
      <w:pPr>
        <w:rPr>
          <w:rFonts w:ascii="Times" w:hAnsi="Times"/>
        </w:rPr>
      </w:pPr>
      <w:r w:rsidRPr="00F844A2">
        <w:rPr>
          <w:rFonts w:ascii="Times" w:hAnsi="Times"/>
        </w:rPr>
        <w:br w:type="page"/>
      </w:r>
    </w:p>
    <w:p w14:paraId="3A04F9FA" w14:textId="0B1A177C" w:rsidR="00B93358" w:rsidRPr="00F844A2" w:rsidRDefault="00B93358" w:rsidP="00B93358">
      <w:pPr>
        <w:jc w:val="center"/>
        <w:rPr>
          <w:rFonts w:ascii="Times" w:hAnsi="Times"/>
          <w:b/>
          <w:bCs/>
        </w:rPr>
      </w:pPr>
      <w:r w:rsidRPr="00F844A2">
        <w:rPr>
          <w:rFonts w:ascii="Times" w:hAnsi="Times"/>
          <w:b/>
          <w:bCs/>
        </w:rPr>
        <w:lastRenderedPageBreak/>
        <w:t xml:space="preserve">Appendix A: Meeting </w:t>
      </w:r>
      <w:r w:rsidR="00994D4D" w:rsidRPr="00F844A2">
        <w:rPr>
          <w:rFonts w:ascii="Times" w:hAnsi="Times"/>
          <w:b/>
          <w:bCs/>
        </w:rPr>
        <w:t>Participants</w:t>
      </w:r>
    </w:p>
    <w:p w14:paraId="7C77231A" w14:textId="77777777" w:rsidR="003D1634" w:rsidRPr="00F844A2" w:rsidRDefault="003D1634" w:rsidP="003D1634">
      <w:pPr>
        <w:ind w:firstLine="720"/>
        <w:rPr>
          <w:rFonts w:ascii="Times" w:hAnsi="Times"/>
        </w:rPr>
      </w:pPr>
    </w:p>
    <w:p w14:paraId="018A9AB4" w14:textId="77777777" w:rsidR="003D1634" w:rsidRPr="00F844A2" w:rsidRDefault="003D1634" w:rsidP="003D1634">
      <w:pPr>
        <w:ind w:firstLine="720"/>
        <w:rPr>
          <w:rFonts w:ascii="Times" w:hAnsi="Times"/>
        </w:rPr>
      </w:pPr>
    </w:p>
    <w:tbl>
      <w:tblPr>
        <w:tblW w:w="8300" w:type="dxa"/>
        <w:tblLook w:val="04A0" w:firstRow="1" w:lastRow="0" w:firstColumn="1" w:lastColumn="0" w:noHBand="0" w:noVBand="1"/>
      </w:tblPr>
      <w:tblGrid>
        <w:gridCol w:w="3740"/>
        <w:gridCol w:w="4560"/>
      </w:tblGrid>
      <w:tr w:rsidR="003D1634" w:rsidRPr="00F844A2" w14:paraId="4C0637ED" w14:textId="77777777" w:rsidTr="00D972AB">
        <w:trPr>
          <w:trHeight w:val="640"/>
        </w:trPr>
        <w:tc>
          <w:tcPr>
            <w:tcW w:w="83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D5DA16A" w14:textId="77777777" w:rsidR="003D1634" w:rsidRPr="00F844A2" w:rsidRDefault="003D1634" w:rsidP="00D972AB">
            <w:pPr>
              <w:jc w:val="center"/>
              <w:rPr>
                <w:rFonts w:ascii="Times" w:hAnsi="Times" w:cs="Calibri"/>
                <w:b/>
                <w:bCs/>
                <w:color w:val="000000"/>
                <w:sz w:val="28"/>
                <w:szCs w:val="28"/>
              </w:rPr>
            </w:pPr>
            <w:r w:rsidRPr="00F844A2">
              <w:rPr>
                <w:rFonts w:ascii="Times" w:hAnsi="Times" w:cs="Calibri"/>
                <w:b/>
                <w:bCs/>
                <w:color w:val="000000"/>
                <w:sz w:val="28"/>
                <w:szCs w:val="28"/>
              </w:rPr>
              <w:t>Appendix A: Meeting Participants</w:t>
            </w:r>
          </w:p>
        </w:tc>
      </w:tr>
      <w:tr w:rsidR="003D1634" w:rsidRPr="00F844A2" w14:paraId="77F3390A" w14:textId="77777777" w:rsidTr="00D972AB">
        <w:trPr>
          <w:trHeight w:val="400"/>
        </w:trPr>
        <w:tc>
          <w:tcPr>
            <w:tcW w:w="8300" w:type="dxa"/>
            <w:gridSpan w:val="2"/>
            <w:tcBorders>
              <w:top w:val="single" w:sz="8" w:space="0" w:color="auto"/>
              <w:left w:val="single" w:sz="8" w:space="0" w:color="auto"/>
              <w:bottom w:val="single" w:sz="8" w:space="0" w:color="auto"/>
              <w:right w:val="single" w:sz="8" w:space="0" w:color="000000"/>
            </w:tcBorders>
            <w:shd w:val="pct12" w:color="000000" w:fill="D9D9D9"/>
            <w:vAlign w:val="center"/>
            <w:hideMark/>
          </w:tcPr>
          <w:p w14:paraId="259C4AED" w14:textId="77777777" w:rsidR="003D1634" w:rsidRPr="00F844A2" w:rsidRDefault="003D1634" w:rsidP="00D972AB">
            <w:pPr>
              <w:rPr>
                <w:rFonts w:ascii="Times" w:hAnsi="Times" w:cs="Calibri"/>
                <w:b/>
                <w:bCs/>
                <w:color w:val="000000"/>
                <w:sz w:val="28"/>
                <w:szCs w:val="28"/>
              </w:rPr>
            </w:pPr>
            <w:r w:rsidRPr="00F844A2">
              <w:rPr>
                <w:rFonts w:ascii="Times" w:hAnsi="Times" w:cs="Calibri"/>
                <w:b/>
                <w:bCs/>
                <w:sz w:val="28"/>
                <w:szCs w:val="28"/>
              </w:rPr>
              <w:t>CAEECC Member Organizations and Ex Officio:</w:t>
            </w:r>
          </w:p>
        </w:tc>
      </w:tr>
      <w:tr w:rsidR="003D1634" w:rsidRPr="00F844A2" w14:paraId="7B49E85F" w14:textId="77777777" w:rsidTr="00D972AB">
        <w:trPr>
          <w:trHeight w:val="420"/>
        </w:trPr>
        <w:tc>
          <w:tcPr>
            <w:tcW w:w="3740" w:type="dxa"/>
            <w:tcBorders>
              <w:top w:val="nil"/>
              <w:left w:val="single" w:sz="8" w:space="0" w:color="auto"/>
              <w:bottom w:val="single" w:sz="8" w:space="0" w:color="auto"/>
              <w:right w:val="single" w:sz="8" w:space="0" w:color="auto"/>
            </w:tcBorders>
            <w:shd w:val="clear" w:color="000000" w:fill="D9E1F2"/>
            <w:vAlign w:val="center"/>
            <w:hideMark/>
          </w:tcPr>
          <w:p w14:paraId="48E037C2" w14:textId="77777777" w:rsidR="003D1634" w:rsidRPr="00F844A2" w:rsidRDefault="003D1634" w:rsidP="00D972AB">
            <w:pPr>
              <w:rPr>
                <w:rFonts w:ascii="Times" w:hAnsi="Times" w:cs="Calibri"/>
                <w:b/>
                <w:bCs/>
                <w:color w:val="000000"/>
                <w:sz w:val="28"/>
                <w:szCs w:val="28"/>
              </w:rPr>
            </w:pPr>
            <w:r w:rsidRPr="00F844A2">
              <w:rPr>
                <w:rFonts w:ascii="Times" w:hAnsi="Times" w:cs="Calibri"/>
                <w:b/>
                <w:bCs/>
                <w:sz w:val="28"/>
                <w:szCs w:val="28"/>
              </w:rPr>
              <w:t>Affiliation</w:t>
            </w:r>
          </w:p>
        </w:tc>
        <w:tc>
          <w:tcPr>
            <w:tcW w:w="4560" w:type="dxa"/>
            <w:tcBorders>
              <w:top w:val="nil"/>
              <w:left w:val="nil"/>
              <w:bottom w:val="single" w:sz="8" w:space="0" w:color="auto"/>
              <w:right w:val="single" w:sz="8" w:space="0" w:color="auto"/>
            </w:tcBorders>
            <w:shd w:val="clear" w:color="000000" w:fill="D9E1F2"/>
            <w:vAlign w:val="center"/>
            <w:hideMark/>
          </w:tcPr>
          <w:p w14:paraId="5CC7E285" w14:textId="77777777" w:rsidR="003D1634" w:rsidRPr="00F844A2" w:rsidRDefault="003D1634" w:rsidP="00D972AB">
            <w:pPr>
              <w:rPr>
                <w:rFonts w:ascii="Times" w:hAnsi="Times" w:cs="Calibri"/>
                <w:b/>
                <w:bCs/>
                <w:color w:val="000000"/>
                <w:sz w:val="28"/>
                <w:szCs w:val="28"/>
              </w:rPr>
            </w:pPr>
            <w:r w:rsidRPr="00F844A2">
              <w:rPr>
                <w:rFonts w:ascii="Times" w:hAnsi="Times" w:cs="Calibri"/>
                <w:b/>
                <w:bCs/>
                <w:sz w:val="28"/>
                <w:szCs w:val="28"/>
              </w:rPr>
              <w:t>Lead</w:t>
            </w:r>
          </w:p>
        </w:tc>
      </w:tr>
      <w:tr w:rsidR="003D1634" w:rsidRPr="00F844A2" w14:paraId="5006C715" w14:textId="77777777" w:rsidTr="00D972A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D647F78" w14:textId="000ABF1B" w:rsidR="003D1634" w:rsidRPr="00F844A2" w:rsidRDefault="00223248" w:rsidP="00D972AB">
            <w:pPr>
              <w:rPr>
                <w:rFonts w:ascii="Times" w:hAnsi="Times" w:cs="Calibri"/>
                <w:color w:val="000000"/>
                <w:sz w:val="28"/>
                <w:szCs w:val="28"/>
              </w:rPr>
            </w:pPr>
            <w:r w:rsidRPr="00F844A2">
              <w:rPr>
                <w:rFonts w:ascii="Times" w:hAnsi="Times" w:cs="Calibri"/>
                <w:color w:val="000000"/>
                <w:sz w:val="28"/>
                <w:szCs w:val="28"/>
              </w:rPr>
              <w:t>Anthony Kinslow II</w:t>
            </w:r>
          </w:p>
        </w:tc>
        <w:tc>
          <w:tcPr>
            <w:tcW w:w="4560" w:type="dxa"/>
            <w:tcBorders>
              <w:top w:val="nil"/>
              <w:left w:val="nil"/>
              <w:bottom w:val="single" w:sz="8" w:space="0" w:color="auto"/>
              <w:right w:val="single" w:sz="8" w:space="0" w:color="auto"/>
            </w:tcBorders>
            <w:shd w:val="clear" w:color="auto" w:fill="auto"/>
            <w:vAlign w:val="center"/>
            <w:hideMark/>
          </w:tcPr>
          <w:p w14:paraId="737AFB47" w14:textId="038D6E31" w:rsidR="003D1634" w:rsidRPr="00F844A2" w:rsidRDefault="00754184" w:rsidP="00D972AB">
            <w:pPr>
              <w:rPr>
                <w:rFonts w:ascii="Times" w:hAnsi="Times" w:cs="Calibri"/>
                <w:color w:val="000000"/>
                <w:sz w:val="28"/>
                <w:szCs w:val="28"/>
              </w:rPr>
            </w:pPr>
            <w:r w:rsidRPr="00F844A2">
              <w:rPr>
                <w:rFonts w:ascii="Times" w:hAnsi="Times" w:cs="Calibri"/>
                <w:color w:val="000000"/>
                <w:sz w:val="28"/>
                <w:szCs w:val="28"/>
              </w:rPr>
              <w:t xml:space="preserve">Gemini Energy Solutions </w:t>
            </w:r>
          </w:p>
        </w:tc>
      </w:tr>
      <w:tr w:rsidR="003D1634" w:rsidRPr="00F844A2" w14:paraId="0AEDC258" w14:textId="77777777" w:rsidTr="00D972A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2F1046DF" w14:textId="5AB8E34F" w:rsidR="003D1634" w:rsidRPr="00F844A2" w:rsidRDefault="00223248" w:rsidP="00D972AB">
            <w:pPr>
              <w:rPr>
                <w:rFonts w:ascii="Times" w:hAnsi="Times" w:cs="Calibri"/>
                <w:color w:val="000000"/>
                <w:sz w:val="28"/>
                <w:szCs w:val="28"/>
              </w:rPr>
            </w:pPr>
            <w:r w:rsidRPr="00F844A2">
              <w:rPr>
                <w:rFonts w:ascii="Times" w:hAnsi="Times" w:cs="Calibri"/>
                <w:color w:val="000000"/>
                <w:sz w:val="28"/>
                <w:szCs w:val="28"/>
              </w:rPr>
              <w:t>Anthony Segura</w:t>
            </w:r>
          </w:p>
        </w:tc>
        <w:tc>
          <w:tcPr>
            <w:tcW w:w="4560" w:type="dxa"/>
            <w:tcBorders>
              <w:top w:val="nil"/>
              <w:left w:val="nil"/>
              <w:bottom w:val="single" w:sz="8" w:space="0" w:color="auto"/>
              <w:right w:val="single" w:sz="8" w:space="0" w:color="auto"/>
            </w:tcBorders>
            <w:shd w:val="clear" w:color="auto" w:fill="auto"/>
            <w:vAlign w:val="center"/>
            <w:hideMark/>
          </w:tcPr>
          <w:p w14:paraId="1E7BB57A" w14:textId="1D9376F1" w:rsidR="003D1634" w:rsidRPr="00F844A2" w:rsidRDefault="00754184" w:rsidP="00D972AB">
            <w:pPr>
              <w:rPr>
                <w:rFonts w:ascii="Times" w:hAnsi="Times" w:cs="Calibri"/>
                <w:color w:val="000000"/>
                <w:sz w:val="28"/>
                <w:szCs w:val="28"/>
              </w:rPr>
            </w:pPr>
            <w:r w:rsidRPr="00F844A2">
              <w:rPr>
                <w:rFonts w:ascii="Times" w:hAnsi="Times" w:cs="Calibri"/>
                <w:color w:val="000000"/>
                <w:sz w:val="28"/>
                <w:szCs w:val="28"/>
              </w:rPr>
              <w:t>WRCOG</w:t>
            </w:r>
          </w:p>
        </w:tc>
      </w:tr>
      <w:tr w:rsidR="003D1634" w:rsidRPr="00F844A2" w14:paraId="68847A96" w14:textId="77777777" w:rsidTr="00D972A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E456636" w14:textId="49C12D30" w:rsidR="003D1634" w:rsidRPr="00F844A2" w:rsidRDefault="00223248" w:rsidP="00D972AB">
            <w:pPr>
              <w:rPr>
                <w:rFonts w:ascii="Times" w:hAnsi="Times" w:cs="Calibri"/>
                <w:color w:val="000000"/>
                <w:sz w:val="28"/>
                <w:szCs w:val="28"/>
              </w:rPr>
            </w:pPr>
            <w:r w:rsidRPr="00F844A2">
              <w:rPr>
                <w:rFonts w:ascii="Times" w:hAnsi="Times" w:cs="Calibri"/>
                <w:color w:val="000000"/>
                <w:sz w:val="28"/>
                <w:szCs w:val="28"/>
              </w:rPr>
              <w:t>Christopher Malotte</w:t>
            </w:r>
          </w:p>
        </w:tc>
        <w:tc>
          <w:tcPr>
            <w:tcW w:w="4560" w:type="dxa"/>
            <w:tcBorders>
              <w:top w:val="nil"/>
              <w:left w:val="nil"/>
              <w:bottom w:val="single" w:sz="8" w:space="0" w:color="auto"/>
              <w:right w:val="single" w:sz="8" w:space="0" w:color="auto"/>
            </w:tcBorders>
            <w:shd w:val="clear" w:color="auto" w:fill="auto"/>
            <w:vAlign w:val="center"/>
            <w:hideMark/>
          </w:tcPr>
          <w:p w14:paraId="276F00F5" w14:textId="02A2E452" w:rsidR="003D1634" w:rsidRPr="00F844A2" w:rsidRDefault="00223248" w:rsidP="00D972AB">
            <w:pPr>
              <w:rPr>
                <w:rFonts w:ascii="Times" w:hAnsi="Times" w:cs="Calibri"/>
                <w:color w:val="000000"/>
                <w:sz w:val="28"/>
                <w:szCs w:val="28"/>
              </w:rPr>
            </w:pPr>
            <w:r w:rsidRPr="00F844A2">
              <w:rPr>
                <w:rFonts w:ascii="Times" w:hAnsi="Times" w:cs="Calibri"/>
                <w:color w:val="000000"/>
                <w:sz w:val="28"/>
                <w:szCs w:val="28"/>
              </w:rPr>
              <w:t>SCE</w:t>
            </w:r>
          </w:p>
        </w:tc>
      </w:tr>
      <w:tr w:rsidR="003D1634" w:rsidRPr="00F844A2" w14:paraId="206BC399" w14:textId="77777777" w:rsidTr="00D972A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3D5FC68D" w14:textId="6D4EFB3F" w:rsidR="003D1634" w:rsidRPr="00F844A2" w:rsidRDefault="00223248" w:rsidP="00D972AB">
            <w:pPr>
              <w:rPr>
                <w:rFonts w:ascii="Times" w:hAnsi="Times" w:cs="Calibri"/>
                <w:color w:val="000000"/>
                <w:sz w:val="28"/>
                <w:szCs w:val="28"/>
              </w:rPr>
            </w:pPr>
            <w:r w:rsidRPr="00F844A2">
              <w:rPr>
                <w:rFonts w:ascii="Times" w:hAnsi="Times" w:cs="Calibri"/>
                <w:color w:val="000000"/>
                <w:sz w:val="28"/>
                <w:szCs w:val="28"/>
              </w:rPr>
              <w:t>Ed Coulson</w:t>
            </w:r>
          </w:p>
        </w:tc>
        <w:tc>
          <w:tcPr>
            <w:tcW w:w="4560" w:type="dxa"/>
            <w:tcBorders>
              <w:top w:val="nil"/>
              <w:left w:val="nil"/>
              <w:bottom w:val="single" w:sz="8" w:space="0" w:color="auto"/>
              <w:right w:val="single" w:sz="8" w:space="0" w:color="auto"/>
            </w:tcBorders>
            <w:shd w:val="clear" w:color="auto" w:fill="auto"/>
            <w:vAlign w:val="center"/>
            <w:hideMark/>
          </w:tcPr>
          <w:p w14:paraId="1E50E4F1" w14:textId="60B1F099" w:rsidR="003D1634" w:rsidRPr="00F844A2" w:rsidRDefault="001760F5" w:rsidP="00D972AB">
            <w:pPr>
              <w:rPr>
                <w:rFonts w:ascii="Times" w:hAnsi="Times" w:cs="Calibri"/>
                <w:color w:val="000000"/>
                <w:sz w:val="28"/>
                <w:szCs w:val="28"/>
              </w:rPr>
            </w:pPr>
            <w:r w:rsidRPr="00F844A2">
              <w:rPr>
                <w:rFonts w:ascii="Times" w:hAnsi="Times" w:cs="Calibri"/>
                <w:color w:val="000000"/>
                <w:sz w:val="28"/>
                <w:szCs w:val="28"/>
              </w:rPr>
              <w:t>UCI</w:t>
            </w:r>
          </w:p>
        </w:tc>
      </w:tr>
      <w:tr w:rsidR="003D1634" w:rsidRPr="00F844A2" w14:paraId="462114F3" w14:textId="77777777" w:rsidTr="00D972A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445318F7" w14:textId="52651201" w:rsidR="003D1634" w:rsidRPr="00F844A2" w:rsidRDefault="00223248" w:rsidP="00D972AB">
            <w:pPr>
              <w:rPr>
                <w:rFonts w:ascii="Times" w:hAnsi="Times" w:cs="Calibri"/>
                <w:color w:val="000000"/>
                <w:sz w:val="28"/>
                <w:szCs w:val="28"/>
              </w:rPr>
            </w:pPr>
            <w:r w:rsidRPr="00F844A2">
              <w:rPr>
                <w:rFonts w:ascii="Times" w:hAnsi="Times" w:cs="Calibri"/>
                <w:color w:val="000000"/>
                <w:sz w:val="28"/>
                <w:szCs w:val="28"/>
              </w:rPr>
              <w:t>Lara Ettenson</w:t>
            </w:r>
          </w:p>
        </w:tc>
        <w:tc>
          <w:tcPr>
            <w:tcW w:w="4560" w:type="dxa"/>
            <w:tcBorders>
              <w:top w:val="nil"/>
              <w:left w:val="nil"/>
              <w:bottom w:val="single" w:sz="8" w:space="0" w:color="auto"/>
              <w:right w:val="single" w:sz="8" w:space="0" w:color="auto"/>
            </w:tcBorders>
            <w:shd w:val="clear" w:color="auto" w:fill="auto"/>
            <w:vAlign w:val="center"/>
            <w:hideMark/>
          </w:tcPr>
          <w:p w14:paraId="42F18250" w14:textId="3724DF88" w:rsidR="003D1634" w:rsidRPr="00F844A2" w:rsidRDefault="00223248" w:rsidP="00D972AB">
            <w:pPr>
              <w:rPr>
                <w:rFonts w:ascii="Times" w:hAnsi="Times" w:cs="Calibri"/>
                <w:color w:val="000000"/>
                <w:sz w:val="28"/>
                <w:szCs w:val="28"/>
              </w:rPr>
            </w:pPr>
            <w:r w:rsidRPr="00F844A2">
              <w:rPr>
                <w:rFonts w:ascii="Times" w:hAnsi="Times" w:cs="Calibri"/>
                <w:color w:val="000000"/>
                <w:sz w:val="28"/>
                <w:szCs w:val="28"/>
              </w:rPr>
              <w:t>NRDC</w:t>
            </w:r>
          </w:p>
        </w:tc>
      </w:tr>
      <w:tr w:rsidR="00223248" w:rsidRPr="00F844A2" w14:paraId="106E8518" w14:textId="77777777" w:rsidTr="00D972A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tcPr>
          <w:p w14:paraId="5DF5DC7C" w14:textId="2C7EA19B" w:rsidR="00223248" w:rsidRPr="00F844A2" w:rsidRDefault="00223248" w:rsidP="00D972AB">
            <w:pPr>
              <w:rPr>
                <w:rFonts w:ascii="Times" w:hAnsi="Times" w:cs="Calibri"/>
                <w:color w:val="000000"/>
                <w:sz w:val="28"/>
                <w:szCs w:val="28"/>
              </w:rPr>
            </w:pPr>
            <w:r w:rsidRPr="00F844A2">
              <w:rPr>
                <w:rFonts w:ascii="Times" w:hAnsi="Times" w:cs="Calibri"/>
                <w:color w:val="000000"/>
                <w:sz w:val="28"/>
                <w:szCs w:val="28"/>
              </w:rPr>
              <w:t>Ted Howard</w:t>
            </w:r>
          </w:p>
        </w:tc>
        <w:tc>
          <w:tcPr>
            <w:tcW w:w="4560" w:type="dxa"/>
            <w:tcBorders>
              <w:top w:val="nil"/>
              <w:left w:val="nil"/>
              <w:bottom w:val="single" w:sz="8" w:space="0" w:color="auto"/>
              <w:right w:val="single" w:sz="8" w:space="0" w:color="auto"/>
            </w:tcBorders>
            <w:shd w:val="clear" w:color="auto" w:fill="auto"/>
            <w:vAlign w:val="center"/>
          </w:tcPr>
          <w:p w14:paraId="3C186F31" w14:textId="5E5FB4A2" w:rsidR="00223248" w:rsidRPr="00F844A2" w:rsidRDefault="00223248" w:rsidP="00D972AB">
            <w:pPr>
              <w:rPr>
                <w:rFonts w:ascii="Times" w:hAnsi="Times" w:cs="Calibri"/>
                <w:color w:val="000000"/>
                <w:sz w:val="28"/>
                <w:szCs w:val="28"/>
              </w:rPr>
            </w:pPr>
            <w:r w:rsidRPr="00F844A2">
              <w:rPr>
                <w:rFonts w:ascii="Times" w:hAnsi="Times" w:cs="Calibri"/>
                <w:color w:val="000000"/>
                <w:sz w:val="28"/>
                <w:szCs w:val="28"/>
              </w:rPr>
              <w:t>Small Business Utility Advocates</w:t>
            </w:r>
          </w:p>
        </w:tc>
      </w:tr>
      <w:tr w:rsidR="00223248" w:rsidRPr="00F844A2" w14:paraId="16EBD419" w14:textId="77777777" w:rsidTr="00D972A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tcPr>
          <w:p w14:paraId="7AF49879" w14:textId="74321CD2" w:rsidR="00223248" w:rsidRPr="00F844A2" w:rsidRDefault="00223248" w:rsidP="00D972AB">
            <w:pPr>
              <w:rPr>
                <w:rFonts w:ascii="Times" w:hAnsi="Times" w:cs="Calibri"/>
                <w:color w:val="000000"/>
                <w:sz w:val="28"/>
                <w:szCs w:val="28"/>
              </w:rPr>
            </w:pPr>
            <w:r w:rsidRPr="00F844A2">
              <w:rPr>
                <w:rFonts w:ascii="Times" w:hAnsi="Times" w:cs="Calibri"/>
                <w:color w:val="000000"/>
                <w:sz w:val="28"/>
                <w:szCs w:val="28"/>
              </w:rPr>
              <w:t>Theo Love</w:t>
            </w:r>
          </w:p>
        </w:tc>
        <w:tc>
          <w:tcPr>
            <w:tcW w:w="4560" w:type="dxa"/>
            <w:tcBorders>
              <w:top w:val="nil"/>
              <w:left w:val="nil"/>
              <w:bottom w:val="single" w:sz="8" w:space="0" w:color="auto"/>
              <w:right w:val="single" w:sz="8" w:space="0" w:color="auto"/>
            </w:tcBorders>
            <w:shd w:val="clear" w:color="auto" w:fill="auto"/>
            <w:vAlign w:val="center"/>
          </w:tcPr>
          <w:p w14:paraId="148A40FD" w14:textId="1DB7D684" w:rsidR="00223248" w:rsidRPr="00F844A2" w:rsidRDefault="001760F5" w:rsidP="00D972AB">
            <w:pPr>
              <w:rPr>
                <w:rFonts w:ascii="Times" w:hAnsi="Times" w:cs="Calibri"/>
                <w:color w:val="000000"/>
                <w:sz w:val="28"/>
                <w:szCs w:val="28"/>
              </w:rPr>
            </w:pPr>
            <w:r w:rsidRPr="00F844A2">
              <w:rPr>
                <w:rFonts w:ascii="Times" w:hAnsi="Times" w:cs="Calibri"/>
                <w:color w:val="000000"/>
                <w:sz w:val="28"/>
                <w:szCs w:val="28"/>
              </w:rPr>
              <w:t xml:space="preserve">Small Business Utility Advocates, Green Energy Economics </w:t>
            </w:r>
          </w:p>
        </w:tc>
      </w:tr>
      <w:tr w:rsidR="003D1634" w:rsidRPr="00F844A2" w14:paraId="723EEF01" w14:textId="77777777" w:rsidTr="00D972AB">
        <w:trPr>
          <w:trHeight w:val="400"/>
        </w:trPr>
        <w:tc>
          <w:tcPr>
            <w:tcW w:w="8300" w:type="dxa"/>
            <w:gridSpan w:val="2"/>
            <w:tcBorders>
              <w:top w:val="single" w:sz="8" w:space="0" w:color="auto"/>
              <w:left w:val="single" w:sz="8" w:space="0" w:color="auto"/>
              <w:bottom w:val="single" w:sz="8" w:space="0" w:color="auto"/>
              <w:right w:val="single" w:sz="8" w:space="0" w:color="000000"/>
            </w:tcBorders>
            <w:shd w:val="clear" w:color="000000" w:fill="D9E2F3"/>
            <w:vAlign w:val="center"/>
            <w:hideMark/>
          </w:tcPr>
          <w:p w14:paraId="2FC9F814" w14:textId="77777777" w:rsidR="003D1634" w:rsidRPr="00F844A2" w:rsidRDefault="003D1634" w:rsidP="00D972AB">
            <w:pPr>
              <w:rPr>
                <w:rFonts w:ascii="Times" w:hAnsi="Times" w:cs="Calibri"/>
                <w:b/>
                <w:bCs/>
                <w:color w:val="000000"/>
                <w:sz w:val="28"/>
                <w:szCs w:val="28"/>
              </w:rPr>
            </w:pPr>
            <w:r w:rsidRPr="00F844A2">
              <w:rPr>
                <w:rFonts w:ascii="Times" w:hAnsi="Times" w:cs="Calibri"/>
                <w:b/>
                <w:bCs/>
                <w:color w:val="000000" w:themeColor="text1"/>
                <w:sz w:val="28"/>
                <w:szCs w:val="28"/>
              </w:rPr>
              <w:t>Other Participants/Stakeholders</w:t>
            </w:r>
          </w:p>
        </w:tc>
      </w:tr>
      <w:tr w:rsidR="00D26790" w:rsidRPr="00F844A2" w14:paraId="25619318" w14:textId="77777777" w:rsidTr="00D972A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5B22A824" w14:textId="77777777" w:rsidR="00D26790" w:rsidRPr="00F844A2" w:rsidRDefault="00D26790" w:rsidP="00D972AB">
            <w:pPr>
              <w:rPr>
                <w:rFonts w:ascii="Times" w:hAnsi="Times" w:cs="Calibri"/>
                <w:color w:val="000000"/>
                <w:sz w:val="28"/>
                <w:szCs w:val="28"/>
              </w:rPr>
            </w:pPr>
            <w:r w:rsidRPr="00F844A2">
              <w:rPr>
                <w:rFonts w:ascii="Times" w:hAnsi="Times" w:cs="Calibri"/>
                <w:color w:val="000000"/>
                <w:sz w:val="28"/>
                <w:szCs w:val="28"/>
              </w:rPr>
              <w:t>Hal Nelson</w:t>
            </w:r>
          </w:p>
        </w:tc>
        <w:tc>
          <w:tcPr>
            <w:tcW w:w="4560" w:type="dxa"/>
            <w:tcBorders>
              <w:top w:val="nil"/>
              <w:left w:val="nil"/>
              <w:bottom w:val="single" w:sz="8" w:space="0" w:color="auto"/>
              <w:right w:val="single" w:sz="8" w:space="0" w:color="auto"/>
            </w:tcBorders>
            <w:shd w:val="clear" w:color="auto" w:fill="auto"/>
            <w:vAlign w:val="center"/>
            <w:hideMark/>
          </w:tcPr>
          <w:p w14:paraId="5B995BBF" w14:textId="03318494" w:rsidR="00D26790" w:rsidRPr="00F844A2" w:rsidRDefault="00D26790" w:rsidP="00D972AB">
            <w:pPr>
              <w:rPr>
                <w:rFonts w:ascii="Times" w:hAnsi="Times" w:cs="Calibri"/>
                <w:color w:val="000000"/>
                <w:sz w:val="28"/>
                <w:szCs w:val="28"/>
              </w:rPr>
            </w:pPr>
            <w:r w:rsidRPr="00F844A2">
              <w:rPr>
                <w:rFonts w:ascii="Times" w:hAnsi="Times" w:cs="Calibri"/>
                <w:color w:val="000000"/>
                <w:sz w:val="28"/>
                <w:szCs w:val="28"/>
              </w:rPr>
              <w:t>Res-Intel</w:t>
            </w:r>
          </w:p>
        </w:tc>
      </w:tr>
      <w:tr w:rsidR="00D26790" w:rsidRPr="00F844A2" w14:paraId="3431B633" w14:textId="77777777" w:rsidTr="00D972A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381DD8A1" w14:textId="77777777" w:rsidR="00D26790" w:rsidRPr="00F844A2" w:rsidRDefault="00D26790" w:rsidP="00D972AB">
            <w:pPr>
              <w:rPr>
                <w:rFonts w:ascii="Times" w:hAnsi="Times" w:cs="Calibri"/>
                <w:color w:val="000000"/>
                <w:sz w:val="28"/>
                <w:szCs w:val="28"/>
              </w:rPr>
            </w:pPr>
            <w:r w:rsidRPr="00F844A2">
              <w:rPr>
                <w:rFonts w:ascii="Times" w:hAnsi="Times" w:cs="Calibri"/>
                <w:color w:val="000000"/>
                <w:sz w:val="28"/>
                <w:szCs w:val="28"/>
              </w:rPr>
              <w:t>James Dodenhoff</w:t>
            </w:r>
          </w:p>
        </w:tc>
        <w:tc>
          <w:tcPr>
            <w:tcW w:w="4560" w:type="dxa"/>
            <w:tcBorders>
              <w:top w:val="nil"/>
              <w:left w:val="nil"/>
              <w:bottom w:val="single" w:sz="8" w:space="0" w:color="auto"/>
              <w:right w:val="single" w:sz="8" w:space="0" w:color="auto"/>
            </w:tcBorders>
            <w:shd w:val="clear" w:color="auto" w:fill="auto"/>
            <w:vAlign w:val="center"/>
            <w:hideMark/>
          </w:tcPr>
          <w:p w14:paraId="6C0C7001" w14:textId="77777777" w:rsidR="00D26790" w:rsidRPr="00F844A2" w:rsidRDefault="00D26790" w:rsidP="00D972AB">
            <w:pPr>
              <w:rPr>
                <w:rFonts w:ascii="Times" w:hAnsi="Times" w:cs="Calibri"/>
                <w:color w:val="000000"/>
                <w:sz w:val="28"/>
                <w:szCs w:val="28"/>
              </w:rPr>
            </w:pPr>
            <w:r w:rsidRPr="00F844A2">
              <w:rPr>
                <w:rFonts w:ascii="Times" w:hAnsi="Times" w:cs="Calibri"/>
                <w:color w:val="000000"/>
                <w:sz w:val="28"/>
                <w:szCs w:val="28"/>
              </w:rPr>
              <w:t>Silent Running</w:t>
            </w:r>
          </w:p>
        </w:tc>
      </w:tr>
      <w:tr w:rsidR="00D26790" w:rsidRPr="00F844A2" w14:paraId="5EB30344" w14:textId="77777777" w:rsidTr="00D972AB">
        <w:trPr>
          <w:trHeight w:val="420"/>
        </w:trPr>
        <w:tc>
          <w:tcPr>
            <w:tcW w:w="3740" w:type="dxa"/>
            <w:tcBorders>
              <w:top w:val="nil"/>
              <w:left w:val="single" w:sz="8" w:space="0" w:color="auto"/>
              <w:bottom w:val="single" w:sz="8" w:space="0" w:color="auto"/>
              <w:right w:val="single" w:sz="8" w:space="0" w:color="auto"/>
            </w:tcBorders>
            <w:shd w:val="clear" w:color="auto" w:fill="auto"/>
            <w:vAlign w:val="center"/>
            <w:hideMark/>
          </w:tcPr>
          <w:p w14:paraId="7363EE19" w14:textId="155F7171" w:rsidR="00D26790" w:rsidRPr="00F844A2" w:rsidRDefault="00D26790" w:rsidP="00D26790">
            <w:pPr>
              <w:rPr>
                <w:rFonts w:ascii="Times" w:hAnsi="Times" w:cs="Calibri"/>
                <w:color w:val="000000"/>
                <w:sz w:val="28"/>
                <w:szCs w:val="28"/>
              </w:rPr>
            </w:pPr>
            <w:r w:rsidRPr="00F844A2">
              <w:rPr>
                <w:rFonts w:ascii="Times" w:hAnsi="Times" w:cs="Calibri"/>
                <w:color w:val="000000"/>
                <w:sz w:val="28"/>
                <w:szCs w:val="28"/>
              </w:rPr>
              <w:t>Aisha Cissna</w:t>
            </w:r>
          </w:p>
        </w:tc>
        <w:tc>
          <w:tcPr>
            <w:tcW w:w="4560" w:type="dxa"/>
            <w:tcBorders>
              <w:top w:val="nil"/>
              <w:left w:val="nil"/>
              <w:bottom w:val="single" w:sz="8" w:space="0" w:color="auto"/>
              <w:right w:val="single" w:sz="8" w:space="0" w:color="auto"/>
            </w:tcBorders>
            <w:shd w:val="clear" w:color="auto" w:fill="auto"/>
            <w:vAlign w:val="center"/>
            <w:hideMark/>
          </w:tcPr>
          <w:p w14:paraId="5BB23548" w14:textId="098FC7BB" w:rsidR="00D26790" w:rsidRPr="00F844A2" w:rsidRDefault="00D26790" w:rsidP="00D26790">
            <w:pPr>
              <w:rPr>
                <w:rFonts w:ascii="Times" w:hAnsi="Times" w:cs="Calibri"/>
                <w:color w:val="000000"/>
                <w:sz w:val="28"/>
                <w:szCs w:val="28"/>
              </w:rPr>
            </w:pPr>
            <w:r w:rsidRPr="00F844A2">
              <w:rPr>
                <w:rFonts w:ascii="Times" w:hAnsi="Times" w:cs="Calibri"/>
                <w:color w:val="000000"/>
                <w:sz w:val="28"/>
                <w:szCs w:val="28"/>
              </w:rPr>
              <w:t>Redwood Energy Authority</w:t>
            </w:r>
          </w:p>
        </w:tc>
      </w:tr>
    </w:tbl>
    <w:p w14:paraId="06E6E756" w14:textId="3048AF3A" w:rsidR="009413E6" w:rsidRPr="00F844A2" w:rsidRDefault="009413E6" w:rsidP="00B93358">
      <w:pPr>
        <w:rPr>
          <w:rFonts w:ascii="Times" w:hAnsi="Times"/>
          <w:b/>
          <w:bCs/>
        </w:rPr>
      </w:pPr>
    </w:p>
    <w:p w14:paraId="6F7704A8" w14:textId="7227824A" w:rsidR="0012055B" w:rsidRPr="00F844A2" w:rsidRDefault="0012055B" w:rsidP="00B93358">
      <w:pPr>
        <w:rPr>
          <w:rFonts w:ascii="Times" w:hAnsi="Times"/>
          <w:b/>
          <w:bCs/>
        </w:rPr>
      </w:pPr>
    </w:p>
    <w:sectPr w:rsidR="0012055B" w:rsidRPr="00F844A2" w:rsidSect="00A546B5">
      <w:footerReference w:type="even"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therine Mckeague Abrams" w:date="2020-10-05T15:49:00Z" w:initials="KMA">
    <w:p w14:paraId="600985E5" w14:textId="040328A6" w:rsidR="007769D5" w:rsidRDefault="007769D5">
      <w:pPr>
        <w:pStyle w:val="CommentText"/>
      </w:pPr>
      <w:r>
        <w:rPr>
          <w:rStyle w:val="CommentReference"/>
        </w:rPr>
        <w:annotationRef/>
      </w:r>
      <w:r>
        <w:t xml:space="preserve">Question/comment (via email) from L. Ettenson: </w:t>
      </w:r>
      <w:r w:rsidRPr="004A03BC">
        <w:rPr>
          <w:sz w:val="24"/>
          <w:szCs w:val="24"/>
        </w:rPr>
        <w:t xml:space="preserve">I don’t think we can get the </w:t>
      </w:r>
      <w:r w:rsidRPr="004A03BC">
        <w:rPr>
          <w:rStyle w:val="il"/>
          <w:sz w:val="24"/>
          <w:szCs w:val="24"/>
        </w:rPr>
        <w:t>zip</w:t>
      </w:r>
      <w:r w:rsidRPr="004A03BC">
        <w:rPr>
          <w:sz w:val="24"/>
          <w:szCs w:val="24"/>
        </w:rPr>
        <w:t xml:space="preserve"> </w:t>
      </w:r>
      <w:r w:rsidRPr="004A03BC">
        <w:rPr>
          <w:rStyle w:val="il"/>
          <w:sz w:val="24"/>
          <w:szCs w:val="24"/>
        </w:rPr>
        <w:t>code</w:t>
      </w:r>
      <w:r w:rsidRPr="004A03BC">
        <w:rPr>
          <w:sz w:val="24"/>
          <w:szCs w:val="24"/>
        </w:rPr>
        <w:t xml:space="preserve"> data by small/med/large via public data sets. Chris sent me </w:t>
      </w:r>
      <w:hyperlink r:id="rId1" w:tgtFrame="_blank" w:history="1">
        <w:r w:rsidRPr="004A03BC">
          <w:rPr>
            <w:rStyle w:val="Hyperlink"/>
            <w:sz w:val="24"/>
            <w:szCs w:val="24"/>
          </w:rPr>
          <w:t>this link</w:t>
        </w:r>
      </w:hyperlink>
      <w:r w:rsidRPr="004A03BC">
        <w:rPr>
          <w:sz w:val="24"/>
          <w:szCs w:val="24"/>
        </w:rPr>
        <w:t xml:space="preserve"> for SCE and I think UCI will need to request it as an academic institution (last option on the webpage) and Theo may need to sign an NDA. Theo/Ed – do you have time to check this out? You can probably google to find the links for the other utilities but if </w:t>
      </w:r>
      <w:proofErr w:type="gramStart"/>
      <w:r w:rsidRPr="004A03BC">
        <w:rPr>
          <w:sz w:val="24"/>
          <w:szCs w:val="24"/>
        </w:rPr>
        <w:t>not</w:t>
      </w:r>
      <w:proofErr w:type="gramEnd"/>
      <w:r w:rsidRPr="004A03BC">
        <w:rPr>
          <w:sz w:val="24"/>
          <w:szCs w:val="24"/>
        </w:rPr>
        <w:t xml:space="preserve"> we can ask them directly for it</w:t>
      </w:r>
    </w:p>
  </w:comment>
  <w:comment w:id="1" w:author="Jim Dodenhoff" w:date="2020-09-23T09:51:00Z" w:initials="JD">
    <w:p w14:paraId="1EEB2EB2" w14:textId="7FDF28F7" w:rsidR="00751461" w:rsidRDefault="00751461">
      <w:pPr>
        <w:pStyle w:val="CommentText"/>
      </w:pPr>
      <w:r>
        <w:rPr>
          <w:rStyle w:val="CommentReference"/>
        </w:rPr>
        <w:annotationRef/>
      </w:r>
      <w:r>
        <w:t>I would recommend using claims data over a one year period.  I am relatively sure that CEDARS data provides this at the measure level, but that it can be rolled up to the project level.</w:t>
      </w:r>
    </w:p>
  </w:comment>
  <w:comment w:id="2" w:author="Jim Dodenhoff" w:date="2020-09-23T09:53:00Z" w:initials="JD">
    <w:p w14:paraId="2F338065" w14:textId="083C65C6" w:rsidR="00751461" w:rsidRDefault="00751461">
      <w:pPr>
        <w:pStyle w:val="CommentText"/>
      </w:pPr>
      <w:r>
        <w:rPr>
          <w:rStyle w:val="CommentReference"/>
        </w:rPr>
        <w:annotationRef/>
      </w:r>
      <w:r>
        <w:t>Worth noting that IOU’s Direct Install program (a program which has a high buydown incentive as a percentage of measure cost) targets non-residential customers with demand &lt; 200kW.</w:t>
      </w:r>
    </w:p>
  </w:comment>
  <w:comment w:id="3" w:author="Lara Ettenson" w:date="2020-09-23T17:04:00Z" w:initials="A">
    <w:p w14:paraId="2A96FF35" w14:textId="739DA98D" w:rsidR="00CA390F" w:rsidRDefault="00CA390F">
      <w:pPr>
        <w:pStyle w:val="CommentText"/>
      </w:pPr>
      <w:r>
        <w:rPr>
          <w:rStyle w:val="CommentReference"/>
        </w:rPr>
        <w:annotationRef/>
      </w:r>
      <w:r>
        <w:t>Interesting. That should really be less than 250 to align. Wonder if it’s a remnant of a previous definition?</w:t>
      </w:r>
    </w:p>
  </w:comment>
  <w:comment w:id="4" w:author="Lara Ettenson" w:date="2020-09-23T17:15:00Z" w:initials="A">
    <w:p w14:paraId="6AF0EA98" w14:textId="7A6C1DFE" w:rsidR="00EF473B" w:rsidRDefault="00EF473B">
      <w:pPr>
        <w:pStyle w:val="CommentText"/>
      </w:pPr>
      <w:r>
        <w:rPr>
          <w:rStyle w:val="CommentReference"/>
        </w:rPr>
        <w:annotationRef/>
      </w:r>
      <w:r>
        <w:t>If our meeting is broader meeting is 10/13, should this be sooner in the event we want to discuss it there?</w:t>
      </w:r>
    </w:p>
  </w:comment>
  <w:comment w:id="5" w:author="Katherine Mckeague Abrams" w:date="2020-10-05T15:34:00Z" w:initials="KMA">
    <w:p w14:paraId="72C6B012" w14:textId="5343BED7" w:rsidR="00426BD6" w:rsidRDefault="00426BD6">
      <w:pPr>
        <w:pStyle w:val="CommentText"/>
      </w:pPr>
      <w:r>
        <w:rPr>
          <w:rStyle w:val="CommentReference"/>
        </w:rPr>
        <w:annotationRef/>
      </w:r>
      <w:proofErr w:type="gramStart"/>
      <w:r>
        <w:t>Yes</w:t>
      </w:r>
      <w:proofErr w:type="gramEnd"/>
      <w:r>
        <w:t xml:space="preserve"> to the extent possible</w:t>
      </w:r>
    </w:p>
  </w:comment>
  <w:comment w:id="6" w:author="Lara Ettenson" w:date="2020-09-23T17:16:00Z" w:initials="A">
    <w:p w14:paraId="2628CE45" w14:textId="3EEAC6DB" w:rsidR="00B251FD" w:rsidRDefault="00B251FD">
      <w:pPr>
        <w:pStyle w:val="CommentText"/>
      </w:pPr>
      <w:r>
        <w:rPr>
          <w:rStyle w:val="CommentReference"/>
        </w:rPr>
        <w:annotationRef/>
      </w:r>
      <w:r>
        <w:t>Since we don’t have this yet and since the students would need this before starting, should we do this over email to start? I think the proposal should be to use the approved definitions by the resolution</w:t>
      </w:r>
      <w:r w:rsidR="00C84501">
        <w:t xml:space="preserve"> vs. spend time reframing the sizes when those are the recognized delineations (something we didn’t know at the time of the meeting)</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0985E5" w15:done="0"/>
  <w15:commentEx w15:paraId="1EEB2EB2" w15:done="0"/>
  <w15:commentEx w15:paraId="2F338065" w15:done="0"/>
  <w15:commentEx w15:paraId="2A96FF35" w15:paraIdParent="2F338065" w15:done="0"/>
  <w15:commentEx w15:paraId="6AF0EA98" w15:done="0"/>
  <w15:commentEx w15:paraId="72C6B012" w15:paraIdParent="6AF0EA98" w15:done="0"/>
  <w15:commentEx w15:paraId="2628CE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BF04" w16cex:dateUtc="2020-10-05T21:49:00Z"/>
  <w16cex:commentExtensible w16cex:durableId="2315991E" w16cex:dateUtc="2020-09-23T16:51:00Z"/>
  <w16cex:commentExtensible w16cex:durableId="231599B1" w16cex:dateUtc="2020-09-23T16:53:00Z"/>
  <w16cex:commentExtensible w16cex:durableId="2325BB6C" w16cex:dateUtc="2020-10-05T2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0985E5" w16cid:durableId="2325BF04"/>
  <w16cid:commentId w16cid:paraId="1EEB2EB2" w16cid:durableId="2315991E"/>
  <w16cid:commentId w16cid:paraId="2F338065" w16cid:durableId="231599B1"/>
  <w16cid:commentId w16cid:paraId="2A96FF35" w16cid:durableId="2315FE8A"/>
  <w16cid:commentId w16cid:paraId="6AF0EA98" w16cid:durableId="23160140"/>
  <w16cid:commentId w16cid:paraId="72C6B012" w16cid:durableId="2325BB6C"/>
  <w16cid:commentId w16cid:paraId="2628CE45" w16cid:durableId="23160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78FB4" w14:textId="77777777" w:rsidR="00337A8A" w:rsidRDefault="00337A8A" w:rsidP="00393C43">
      <w:r>
        <w:separator/>
      </w:r>
    </w:p>
  </w:endnote>
  <w:endnote w:type="continuationSeparator" w:id="0">
    <w:p w14:paraId="683F4A51" w14:textId="77777777" w:rsidR="00337A8A" w:rsidRDefault="00337A8A" w:rsidP="0039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985253"/>
      <w:docPartObj>
        <w:docPartGallery w:val="Page Numbers (Bottom of Page)"/>
        <w:docPartUnique/>
      </w:docPartObj>
    </w:sdtPr>
    <w:sdtEndPr>
      <w:rPr>
        <w:rStyle w:val="PageNumber"/>
      </w:rPr>
    </w:sdtEndPr>
    <w:sdtContent>
      <w:p w14:paraId="09F217E9" w14:textId="3E00E188" w:rsidR="00D972AB" w:rsidRDefault="00D972AB" w:rsidP="00D972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697D21" w14:textId="77777777" w:rsidR="00D972AB" w:rsidRDefault="00D972AB" w:rsidP="00393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1772189"/>
      <w:docPartObj>
        <w:docPartGallery w:val="Page Numbers (Bottom of Page)"/>
        <w:docPartUnique/>
      </w:docPartObj>
    </w:sdtPr>
    <w:sdtEndPr>
      <w:rPr>
        <w:rStyle w:val="PageNumber"/>
      </w:rPr>
    </w:sdtEndPr>
    <w:sdtContent>
      <w:p w14:paraId="1979327C" w14:textId="51E348BA" w:rsidR="00D972AB" w:rsidRDefault="00D972AB" w:rsidP="00D972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5139">
          <w:rPr>
            <w:rStyle w:val="PageNumber"/>
            <w:noProof/>
          </w:rPr>
          <w:t>1</w:t>
        </w:r>
        <w:r>
          <w:rPr>
            <w:rStyle w:val="PageNumber"/>
          </w:rPr>
          <w:fldChar w:fldCharType="end"/>
        </w:r>
      </w:p>
    </w:sdtContent>
  </w:sdt>
  <w:p w14:paraId="3C40B554" w14:textId="77777777" w:rsidR="00D972AB" w:rsidRDefault="00D972AB" w:rsidP="00393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8E43B" w14:textId="77777777" w:rsidR="00337A8A" w:rsidRDefault="00337A8A" w:rsidP="00393C43">
      <w:r>
        <w:separator/>
      </w:r>
    </w:p>
  </w:footnote>
  <w:footnote w:type="continuationSeparator" w:id="0">
    <w:p w14:paraId="06D799E6" w14:textId="77777777" w:rsidR="00337A8A" w:rsidRDefault="00337A8A" w:rsidP="00393C43">
      <w:r>
        <w:continuationSeparator/>
      </w:r>
    </w:p>
  </w:footnote>
  <w:footnote w:id="1">
    <w:p w14:paraId="7B903323" w14:textId="2FAABA88" w:rsidR="00C9148C" w:rsidRPr="00AD6813" w:rsidRDefault="00C9148C">
      <w:pPr>
        <w:pStyle w:val="FootnoteText"/>
      </w:pPr>
      <w:r w:rsidRPr="00AD6813">
        <w:rPr>
          <w:rStyle w:val="FootnoteReference"/>
        </w:rPr>
        <w:footnoteRef/>
      </w:r>
      <w:r w:rsidRPr="00AD6813">
        <w:t xml:space="preserve"> Note: </w:t>
      </w:r>
      <w:r w:rsidRPr="00AD6813">
        <w:rPr>
          <w:rFonts w:ascii="Cambria" w:hAnsi="Cambria"/>
        </w:rPr>
        <w:t>This data doesn’t distinguish Residential from Commercial, or demarcate SMB</w:t>
      </w:r>
    </w:p>
  </w:footnote>
  <w:footnote w:id="2">
    <w:p w14:paraId="0DB9BA2D" w14:textId="29BB4C19" w:rsidR="00F54938" w:rsidRDefault="00F54938">
      <w:pPr>
        <w:pStyle w:val="FootnoteText"/>
      </w:pPr>
      <w:r>
        <w:rPr>
          <w:rStyle w:val="FootnoteReference"/>
        </w:rPr>
        <w:footnoteRef/>
      </w:r>
      <w:r>
        <w:t xml:space="preserve"> L. Ettenson to confirm that participant summary data sent from A. Reardon doesn’t require an NDA. Working assumption is that Cedars data does NOT include Personal Identifiable Information (PII)</w:t>
      </w:r>
    </w:p>
  </w:footnote>
  <w:footnote w:id="3">
    <w:p w14:paraId="2E0CDE5F" w14:textId="0CCE7E98" w:rsidR="00F54938" w:rsidRPr="00F54938" w:rsidRDefault="00F54938">
      <w:pPr>
        <w:pStyle w:val="FootnoteText"/>
      </w:pPr>
      <w:r>
        <w:rPr>
          <w:rStyle w:val="FootnoteReference"/>
        </w:rPr>
        <w:footnoteRef/>
      </w:r>
      <w:r>
        <w:t xml:space="preserve"> J. Dodenhoff noted </w:t>
      </w:r>
      <w:r w:rsidRPr="00E76487">
        <w:rPr>
          <w:i/>
          <w:iCs/>
        </w:rPr>
        <w:t>“Useful have census track and/or zip code tagged by “disadvantaged community”, “low-income community”, and/or “rural community”</w:t>
      </w:r>
      <w:r>
        <w:rPr>
          <w:i/>
          <w:iCs/>
        </w:rPr>
        <w:t>.</w:t>
      </w:r>
      <w:r>
        <w:t xml:space="preserve"> Is this available through census data?</w:t>
      </w:r>
    </w:p>
  </w:footnote>
  <w:footnote w:id="4">
    <w:p w14:paraId="7A4DDCBD" w14:textId="34E3EEC0" w:rsidR="00D972AB" w:rsidRPr="00AD6813" w:rsidRDefault="00D972AB">
      <w:pPr>
        <w:pStyle w:val="FootnoteText"/>
      </w:pPr>
      <w:r w:rsidRPr="00AD6813">
        <w:rPr>
          <w:rStyle w:val="FootnoteReference"/>
        </w:rPr>
        <w:footnoteRef/>
      </w:r>
      <w:r w:rsidRPr="00AD6813">
        <w:t xml:space="preserve"> SDG&amp;E eligibility for commercial programs is based on electrical consumption only, per contracts</w:t>
      </w:r>
    </w:p>
  </w:footnote>
  <w:footnote w:id="5">
    <w:p w14:paraId="1C2F6C03" w14:textId="290F1E57" w:rsidR="00D972AB" w:rsidRPr="00AD6813" w:rsidRDefault="00D972AB" w:rsidP="00AD6813">
      <w:pPr>
        <w:shd w:val="clear" w:color="auto" w:fill="FFFFFF"/>
        <w:spacing w:before="100" w:beforeAutospacing="1" w:after="100" w:afterAutospacing="1"/>
        <w:rPr>
          <w:sz w:val="20"/>
          <w:szCs w:val="20"/>
        </w:rPr>
      </w:pPr>
      <w:r w:rsidRPr="00AD6813">
        <w:rPr>
          <w:rStyle w:val="FootnoteReference"/>
          <w:sz w:val="20"/>
          <w:szCs w:val="20"/>
        </w:rPr>
        <w:footnoteRef/>
      </w:r>
      <w:r w:rsidRPr="00AD6813">
        <w:rPr>
          <w:sz w:val="20"/>
          <w:szCs w:val="20"/>
        </w:rPr>
        <w:t xml:space="preserve"> The official adopted definition is as follows as adopted in Resolution E-4939</w:t>
      </w:r>
      <w:r>
        <w:rPr>
          <w:sz w:val="20"/>
          <w:szCs w:val="20"/>
        </w:rPr>
        <w:t xml:space="preserve">: </w:t>
      </w:r>
      <w:r w:rsidRPr="00AD6813">
        <w:rPr>
          <w:sz w:val="20"/>
          <w:szCs w:val="20"/>
        </w:rPr>
        <w:t>“A small business customer is defined as a non-residential customer with an annual electric usage of 40,000 kilowatt hours (kWh) or less, or an energy demand of 20 kilowatt (kW) or less, or annual consumption of 10,000 therms of gas or less. Alternatively, a small business customer is a customer who meets the definition of “micro-business” in California Government Code Section 14837 (Section 14837). Section 14837 defines a micro-business as a business, together with affiliates, that has average annual gross receipts of $3,500,000 or less over the previous three years, or is a manufacturer, as defined in Section 14837 subdivision (c), with 25 or fewer employees. The California Department of General Services is authorized to amend the gross receipt amount. In January 2010 DGS increased the gross receipt amount from $2,750,000 to the current amount of $3,500,000. (see, California Office of Administrative Law, Regulatory Action Number 2000-1110-01S.) This definition does not include fixed usage or unmetered rate schedule customers.”</w:t>
      </w:r>
      <w:r>
        <w:rPr>
          <w:sz w:val="20"/>
          <w:szCs w:val="20"/>
        </w:rPr>
        <w:t xml:space="preserve"> (Per email communication with Laurie Porter, SDG&amp;E Contract Management Office, 9/18/2020)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5F3"/>
    <w:multiLevelType w:val="hybridMultilevel"/>
    <w:tmpl w:val="D7DA413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3CA6A4F"/>
    <w:multiLevelType w:val="hybridMultilevel"/>
    <w:tmpl w:val="6AE2E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B553D0"/>
    <w:multiLevelType w:val="hybridMultilevel"/>
    <w:tmpl w:val="383C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40DB8"/>
    <w:multiLevelType w:val="hybridMultilevel"/>
    <w:tmpl w:val="1B7E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158BA"/>
    <w:multiLevelType w:val="hybridMultilevel"/>
    <w:tmpl w:val="2CE0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52319"/>
    <w:multiLevelType w:val="hybridMultilevel"/>
    <w:tmpl w:val="620E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32AC0"/>
    <w:multiLevelType w:val="hybridMultilevel"/>
    <w:tmpl w:val="0B52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A46EA"/>
    <w:multiLevelType w:val="hybridMultilevel"/>
    <w:tmpl w:val="AADC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13DBB"/>
    <w:multiLevelType w:val="hybridMultilevel"/>
    <w:tmpl w:val="E5CA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F20CD"/>
    <w:multiLevelType w:val="hybridMultilevel"/>
    <w:tmpl w:val="006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74017"/>
    <w:multiLevelType w:val="hybridMultilevel"/>
    <w:tmpl w:val="CECE3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4A2AE6"/>
    <w:multiLevelType w:val="hybridMultilevel"/>
    <w:tmpl w:val="F78E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235D8"/>
    <w:multiLevelType w:val="hybridMultilevel"/>
    <w:tmpl w:val="B704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12"/>
  </w:num>
  <w:num w:numId="6">
    <w:abstractNumId w:val="9"/>
  </w:num>
  <w:num w:numId="7">
    <w:abstractNumId w:val="11"/>
  </w:num>
  <w:num w:numId="8">
    <w:abstractNumId w:val="2"/>
  </w:num>
  <w:num w:numId="9">
    <w:abstractNumId w:val="6"/>
  </w:num>
  <w:num w:numId="10">
    <w:abstractNumId w:val="7"/>
  </w:num>
  <w:num w:numId="11">
    <w:abstractNumId w:val="10"/>
  </w:num>
  <w:num w:numId="12">
    <w:abstractNumId w:val="3"/>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Mckeague Abrams">
    <w15:presenceInfo w15:providerId="AD" w15:userId="S::kaab3536@colorado.edu::c3c02ecd-6fd1-430a-90d4-b8672eff30c5"/>
  </w15:person>
  <w15:person w15:author="Jim Dodenhoff">
    <w15:presenceInfo w15:providerId="Windows Live" w15:userId="7626419b170201ac"/>
  </w15:person>
  <w15:person w15:author="Lara Ettenson">
    <w15:presenceInfo w15:providerId="None" w15:userId="Lara Ett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E8"/>
    <w:rsid w:val="00000791"/>
    <w:rsid w:val="000013C0"/>
    <w:rsid w:val="00046626"/>
    <w:rsid w:val="000522CA"/>
    <w:rsid w:val="00091B5F"/>
    <w:rsid w:val="000A7C4E"/>
    <w:rsid w:val="000C25E6"/>
    <w:rsid w:val="0012055B"/>
    <w:rsid w:val="00143B7C"/>
    <w:rsid w:val="0016007C"/>
    <w:rsid w:val="00161AF7"/>
    <w:rsid w:val="001760F5"/>
    <w:rsid w:val="0018103D"/>
    <w:rsid w:val="001867D9"/>
    <w:rsid w:val="00193ED3"/>
    <w:rsid w:val="001B04C3"/>
    <w:rsid w:val="001B593A"/>
    <w:rsid w:val="001C4900"/>
    <w:rsid w:val="001E3D40"/>
    <w:rsid w:val="00207434"/>
    <w:rsid w:val="00215FD3"/>
    <w:rsid w:val="00223248"/>
    <w:rsid w:val="00232E46"/>
    <w:rsid w:val="00235243"/>
    <w:rsid w:val="00244499"/>
    <w:rsid w:val="00265E82"/>
    <w:rsid w:val="0027300F"/>
    <w:rsid w:val="00296FB6"/>
    <w:rsid w:val="002A3828"/>
    <w:rsid w:val="002C40B6"/>
    <w:rsid w:val="002E5637"/>
    <w:rsid w:val="00323734"/>
    <w:rsid w:val="00337A8A"/>
    <w:rsid w:val="00340AF9"/>
    <w:rsid w:val="00362C7D"/>
    <w:rsid w:val="003775B3"/>
    <w:rsid w:val="00380ABD"/>
    <w:rsid w:val="00383703"/>
    <w:rsid w:val="003913A4"/>
    <w:rsid w:val="00393C43"/>
    <w:rsid w:val="00393CF3"/>
    <w:rsid w:val="003A2D01"/>
    <w:rsid w:val="003D0785"/>
    <w:rsid w:val="003D1634"/>
    <w:rsid w:val="003F52B6"/>
    <w:rsid w:val="0040579C"/>
    <w:rsid w:val="00426BD6"/>
    <w:rsid w:val="00430438"/>
    <w:rsid w:val="00434814"/>
    <w:rsid w:val="004772DE"/>
    <w:rsid w:val="004A158E"/>
    <w:rsid w:val="004A56C5"/>
    <w:rsid w:val="004B6CA8"/>
    <w:rsid w:val="004C622F"/>
    <w:rsid w:val="004E4053"/>
    <w:rsid w:val="004F4FA6"/>
    <w:rsid w:val="004F5E61"/>
    <w:rsid w:val="0051204E"/>
    <w:rsid w:val="00536472"/>
    <w:rsid w:val="00543748"/>
    <w:rsid w:val="005A7962"/>
    <w:rsid w:val="005C0142"/>
    <w:rsid w:val="00617CF2"/>
    <w:rsid w:val="006413F5"/>
    <w:rsid w:val="00645712"/>
    <w:rsid w:val="00654E0C"/>
    <w:rsid w:val="006A0630"/>
    <w:rsid w:val="006A2DCB"/>
    <w:rsid w:val="006B4DA1"/>
    <w:rsid w:val="006B7831"/>
    <w:rsid w:val="006C225D"/>
    <w:rsid w:val="006D0EA7"/>
    <w:rsid w:val="006E13EA"/>
    <w:rsid w:val="006F577E"/>
    <w:rsid w:val="00700495"/>
    <w:rsid w:val="00706087"/>
    <w:rsid w:val="00706E59"/>
    <w:rsid w:val="00735182"/>
    <w:rsid w:val="00751461"/>
    <w:rsid w:val="007531AF"/>
    <w:rsid w:val="00754184"/>
    <w:rsid w:val="00765139"/>
    <w:rsid w:val="007763EF"/>
    <w:rsid w:val="007769D5"/>
    <w:rsid w:val="0079444C"/>
    <w:rsid w:val="007B7F74"/>
    <w:rsid w:val="008269A9"/>
    <w:rsid w:val="00832F27"/>
    <w:rsid w:val="008542D3"/>
    <w:rsid w:val="008820F9"/>
    <w:rsid w:val="008B5481"/>
    <w:rsid w:val="008D663C"/>
    <w:rsid w:val="009017E0"/>
    <w:rsid w:val="0092443E"/>
    <w:rsid w:val="009413E6"/>
    <w:rsid w:val="009552CA"/>
    <w:rsid w:val="00993895"/>
    <w:rsid w:val="00994D4D"/>
    <w:rsid w:val="009B36A4"/>
    <w:rsid w:val="00A30644"/>
    <w:rsid w:val="00A36A29"/>
    <w:rsid w:val="00A546B5"/>
    <w:rsid w:val="00A548D8"/>
    <w:rsid w:val="00A66D40"/>
    <w:rsid w:val="00A773D3"/>
    <w:rsid w:val="00A91602"/>
    <w:rsid w:val="00AA3187"/>
    <w:rsid w:val="00AB75FF"/>
    <w:rsid w:val="00AD6813"/>
    <w:rsid w:val="00B251FD"/>
    <w:rsid w:val="00B44D92"/>
    <w:rsid w:val="00B6133C"/>
    <w:rsid w:val="00B730E8"/>
    <w:rsid w:val="00B91F1C"/>
    <w:rsid w:val="00B93358"/>
    <w:rsid w:val="00B94C50"/>
    <w:rsid w:val="00BA2086"/>
    <w:rsid w:val="00BB5B34"/>
    <w:rsid w:val="00BB6654"/>
    <w:rsid w:val="00BD3AF4"/>
    <w:rsid w:val="00BF475E"/>
    <w:rsid w:val="00C01B6C"/>
    <w:rsid w:val="00C1118C"/>
    <w:rsid w:val="00C1182E"/>
    <w:rsid w:val="00C125A0"/>
    <w:rsid w:val="00C1549E"/>
    <w:rsid w:val="00C33F7C"/>
    <w:rsid w:val="00C474BD"/>
    <w:rsid w:val="00C84501"/>
    <w:rsid w:val="00C9148C"/>
    <w:rsid w:val="00CA390F"/>
    <w:rsid w:val="00CD2B66"/>
    <w:rsid w:val="00CD3524"/>
    <w:rsid w:val="00CD4508"/>
    <w:rsid w:val="00CF2A86"/>
    <w:rsid w:val="00D26790"/>
    <w:rsid w:val="00D437FF"/>
    <w:rsid w:val="00D45FBF"/>
    <w:rsid w:val="00D972AB"/>
    <w:rsid w:val="00DA1D5E"/>
    <w:rsid w:val="00DA6B8B"/>
    <w:rsid w:val="00DC3196"/>
    <w:rsid w:val="00DC7470"/>
    <w:rsid w:val="00DD7EDF"/>
    <w:rsid w:val="00E04020"/>
    <w:rsid w:val="00E46B17"/>
    <w:rsid w:val="00E63D1E"/>
    <w:rsid w:val="00E86831"/>
    <w:rsid w:val="00E912F5"/>
    <w:rsid w:val="00E956C2"/>
    <w:rsid w:val="00EC4F65"/>
    <w:rsid w:val="00EC62E8"/>
    <w:rsid w:val="00EF30B5"/>
    <w:rsid w:val="00EF473B"/>
    <w:rsid w:val="00F15005"/>
    <w:rsid w:val="00F54938"/>
    <w:rsid w:val="00F6276B"/>
    <w:rsid w:val="00F844A2"/>
    <w:rsid w:val="00F93A6E"/>
    <w:rsid w:val="00F97359"/>
    <w:rsid w:val="00FA5ACC"/>
    <w:rsid w:val="00FD3E2C"/>
    <w:rsid w:val="00FD49D9"/>
    <w:rsid w:val="00FF142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D2E31"/>
  <w15:docId w15:val="{553FE847-E23D-CF48-B0B7-9D0D79F1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E8"/>
    <w:rPr>
      <w:color w:val="0563C1" w:themeColor="hyperlink"/>
      <w:u w:val="single"/>
    </w:rPr>
  </w:style>
  <w:style w:type="character" w:customStyle="1" w:styleId="UnresolvedMention1">
    <w:name w:val="Unresolved Mention1"/>
    <w:basedOn w:val="DefaultParagraphFont"/>
    <w:uiPriority w:val="99"/>
    <w:semiHidden/>
    <w:unhideWhenUsed/>
    <w:rsid w:val="00EC62E8"/>
    <w:rPr>
      <w:color w:val="605E5C"/>
      <w:shd w:val="clear" w:color="auto" w:fill="E1DFDD"/>
    </w:rPr>
  </w:style>
  <w:style w:type="paragraph" w:styleId="ListParagraph">
    <w:name w:val="List Paragraph"/>
    <w:basedOn w:val="Normal"/>
    <w:uiPriority w:val="34"/>
    <w:qFormat/>
    <w:rsid w:val="00A36A29"/>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0579C"/>
    <w:rPr>
      <w:rFonts w:eastAsiaTheme="minorEastAsia"/>
      <w:sz w:val="18"/>
      <w:szCs w:val="18"/>
    </w:rPr>
  </w:style>
  <w:style w:type="character" w:customStyle="1" w:styleId="BalloonTextChar">
    <w:name w:val="Balloon Text Char"/>
    <w:basedOn w:val="DefaultParagraphFont"/>
    <w:link w:val="BalloonText"/>
    <w:uiPriority w:val="99"/>
    <w:semiHidden/>
    <w:rsid w:val="0040579C"/>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393C43"/>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93C43"/>
    <w:rPr>
      <w:rFonts w:eastAsiaTheme="minorEastAsia"/>
    </w:rPr>
  </w:style>
  <w:style w:type="character" w:styleId="PageNumber">
    <w:name w:val="page number"/>
    <w:basedOn w:val="DefaultParagraphFont"/>
    <w:uiPriority w:val="99"/>
    <w:semiHidden/>
    <w:unhideWhenUsed/>
    <w:rsid w:val="00393C43"/>
  </w:style>
  <w:style w:type="character" w:styleId="CommentReference">
    <w:name w:val="annotation reference"/>
    <w:basedOn w:val="DefaultParagraphFont"/>
    <w:uiPriority w:val="99"/>
    <w:semiHidden/>
    <w:unhideWhenUsed/>
    <w:rsid w:val="00244499"/>
    <w:rPr>
      <w:sz w:val="16"/>
      <w:szCs w:val="16"/>
    </w:rPr>
  </w:style>
  <w:style w:type="paragraph" w:styleId="CommentText">
    <w:name w:val="annotation text"/>
    <w:basedOn w:val="Normal"/>
    <w:link w:val="CommentTextChar"/>
    <w:uiPriority w:val="99"/>
    <w:semiHidden/>
    <w:unhideWhenUsed/>
    <w:rsid w:val="0024449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2444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44499"/>
    <w:rPr>
      <w:b/>
      <w:bCs/>
    </w:rPr>
  </w:style>
  <w:style w:type="character" w:customStyle="1" w:styleId="CommentSubjectChar">
    <w:name w:val="Comment Subject Char"/>
    <w:basedOn w:val="CommentTextChar"/>
    <w:link w:val="CommentSubject"/>
    <w:uiPriority w:val="99"/>
    <w:semiHidden/>
    <w:rsid w:val="00244499"/>
    <w:rPr>
      <w:rFonts w:eastAsiaTheme="minorEastAsia"/>
      <w:b/>
      <w:bCs/>
      <w:sz w:val="20"/>
      <w:szCs w:val="20"/>
    </w:rPr>
  </w:style>
  <w:style w:type="character" w:customStyle="1" w:styleId="UnresolvedMention2">
    <w:name w:val="Unresolved Mention2"/>
    <w:basedOn w:val="DefaultParagraphFont"/>
    <w:uiPriority w:val="99"/>
    <w:semiHidden/>
    <w:unhideWhenUsed/>
    <w:rsid w:val="00645712"/>
    <w:rPr>
      <w:color w:val="605E5C"/>
      <w:shd w:val="clear" w:color="auto" w:fill="E1DFDD"/>
    </w:rPr>
  </w:style>
  <w:style w:type="table" w:styleId="TableGrid">
    <w:name w:val="Table Grid"/>
    <w:basedOn w:val="TableNormal"/>
    <w:uiPriority w:val="39"/>
    <w:rsid w:val="0082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6654"/>
    <w:rPr>
      <w:sz w:val="20"/>
      <w:szCs w:val="20"/>
    </w:rPr>
  </w:style>
  <w:style w:type="character" w:customStyle="1" w:styleId="FootnoteTextChar">
    <w:name w:val="Footnote Text Char"/>
    <w:basedOn w:val="DefaultParagraphFont"/>
    <w:link w:val="FootnoteText"/>
    <w:uiPriority w:val="99"/>
    <w:semiHidden/>
    <w:rsid w:val="00BB66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6654"/>
    <w:rPr>
      <w:vertAlign w:val="superscript"/>
    </w:rPr>
  </w:style>
  <w:style w:type="paragraph" w:customStyle="1" w:styleId="font8">
    <w:name w:val="font_8"/>
    <w:basedOn w:val="Normal"/>
    <w:rsid w:val="00EF473B"/>
    <w:pPr>
      <w:spacing w:before="100" w:beforeAutospacing="1" w:after="100" w:afterAutospacing="1"/>
    </w:pPr>
    <w:rPr>
      <w:lang w:bidi="he-IL"/>
    </w:rPr>
  </w:style>
  <w:style w:type="character" w:styleId="FollowedHyperlink">
    <w:name w:val="FollowedHyperlink"/>
    <w:basedOn w:val="DefaultParagraphFont"/>
    <w:uiPriority w:val="99"/>
    <w:semiHidden/>
    <w:unhideWhenUsed/>
    <w:rsid w:val="00EF473B"/>
    <w:rPr>
      <w:color w:val="954F72" w:themeColor="followedHyperlink"/>
      <w:u w:val="single"/>
    </w:rPr>
  </w:style>
  <w:style w:type="character" w:customStyle="1" w:styleId="il">
    <w:name w:val="il"/>
    <w:basedOn w:val="DefaultParagraphFont"/>
    <w:rsid w:val="00F5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6653">
      <w:bodyDiv w:val="1"/>
      <w:marLeft w:val="0"/>
      <w:marRight w:val="0"/>
      <w:marTop w:val="0"/>
      <w:marBottom w:val="0"/>
      <w:divBdr>
        <w:top w:val="none" w:sz="0" w:space="0" w:color="auto"/>
        <w:left w:val="none" w:sz="0" w:space="0" w:color="auto"/>
        <w:bottom w:val="none" w:sz="0" w:space="0" w:color="auto"/>
        <w:right w:val="none" w:sz="0" w:space="0" w:color="auto"/>
      </w:divBdr>
    </w:div>
    <w:div w:id="333805734">
      <w:bodyDiv w:val="1"/>
      <w:marLeft w:val="0"/>
      <w:marRight w:val="0"/>
      <w:marTop w:val="0"/>
      <w:marBottom w:val="0"/>
      <w:divBdr>
        <w:top w:val="none" w:sz="0" w:space="0" w:color="auto"/>
        <w:left w:val="none" w:sz="0" w:space="0" w:color="auto"/>
        <w:bottom w:val="none" w:sz="0" w:space="0" w:color="auto"/>
        <w:right w:val="none" w:sz="0" w:space="0" w:color="auto"/>
      </w:divBdr>
    </w:div>
    <w:div w:id="348678908">
      <w:bodyDiv w:val="1"/>
      <w:marLeft w:val="0"/>
      <w:marRight w:val="0"/>
      <w:marTop w:val="0"/>
      <w:marBottom w:val="0"/>
      <w:divBdr>
        <w:top w:val="none" w:sz="0" w:space="0" w:color="auto"/>
        <w:left w:val="none" w:sz="0" w:space="0" w:color="auto"/>
        <w:bottom w:val="none" w:sz="0" w:space="0" w:color="auto"/>
        <w:right w:val="none" w:sz="0" w:space="0" w:color="auto"/>
      </w:divBdr>
    </w:div>
    <w:div w:id="382674542">
      <w:bodyDiv w:val="1"/>
      <w:marLeft w:val="0"/>
      <w:marRight w:val="0"/>
      <w:marTop w:val="0"/>
      <w:marBottom w:val="0"/>
      <w:divBdr>
        <w:top w:val="none" w:sz="0" w:space="0" w:color="auto"/>
        <w:left w:val="none" w:sz="0" w:space="0" w:color="auto"/>
        <w:bottom w:val="none" w:sz="0" w:space="0" w:color="auto"/>
        <w:right w:val="none" w:sz="0" w:space="0" w:color="auto"/>
      </w:divBdr>
    </w:div>
    <w:div w:id="402069074">
      <w:bodyDiv w:val="1"/>
      <w:marLeft w:val="0"/>
      <w:marRight w:val="0"/>
      <w:marTop w:val="0"/>
      <w:marBottom w:val="0"/>
      <w:divBdr>
        <w:top w:val="none" w:sz="0" w:space="0" w:color="auto"/>
        <w:left w:val="none" w:sz="0" w:space="0" w:color="auto"/>
        <w:bottom w:val="none" w:sz="0" w:space="0" w:color="auto"/>
        <w:right w:val="none" w:sz="0" w:space="0" w:color="auto"/>
      </w:divBdr>
    </w:div>
    <w:div w:id="405031300">
      <w:bodyDiv w:val="1"/>
      <w:marLeft w:val="0"/>
      <w:marRight w:val="0"/>
      <w:marTop w:val="0"/>
      <w:marBottom w:val="0"/>
      <w:divBdr>
        <w:top w:val="none" w:sz="0" w:space="0" w:color="auto"/>
        <w:left w:val="none" w:sz="0" w:space="0" w:color="auto"/>
        <w:bottom w:val="none" w:sz="0" w:space="0" w:color="auto"/>
        <w:right w:val="none" w:sz="0" w:space="0" w:color="auto"/>
      </w:divBdr>
    </w:div>
    <w:div w:id="485632106">
      <w:bodyDiv w:val="1"/>
      <w:marLeft w:val="0"/>
      <w:marRight w:val="0"/>
      <w:marTop w:val="0"/>
      <w:marBottom w:val="0"/>
      <w:divBdr>
        <w:top w:val="none" w:sz="0" w:space="0" w:color="auto"/>
        <w:left w:val="none" w:sz="0" w:space="0" w:color="auto"/>
        <w:bottom w:val="none" w:sz="0" w:space="0" w:color="auto"/>
        <w:right w:val="none" w:sz="0" w:space="0" w:color="auto"/>
      </w:divBdr>
    </w:div>
    <w:div w:id="557517620">
      <w:bodyDiv w:val="1"/>
      <w:marLeft w:val="0"/>
      <w:marRight w:val="0"/>
      <w:marTop w:val="0"/>
      <w:marBottom w:val="0"/>
      <w:divBdr>
        <w:top w:val="none" w:sz="0" w:space="0" w:color="auto"/>
        <w:left w:val="none" w:sz="0" w:space="0" w:color="auto"/>
        <w:bottom w:val="none" w:sz="0" w:space="0" w:color="auto"/>
        <w:right w:val="none" w:sz="0" w:space="0" w:color="auto"/>
      </w:divBdr>
    </w:div>
    <w:div w:id="569118680">
      <w:bodyDiv w:val="1"/>
      <w:marLeft w:val="0"/>
      <w:marRight w:val="0"/>
      <w:marTop w:val="0"/>
      <w:marBottom w:val="0"/>
      <w:divBdr>
        <w:top w:val="none" w:sz="0" w:space="0" w:color="auto"/>
        <w:left w:val="none" w:sz="0" w:space="0" w:color="auto"/>
        <w:bottom w:val="none" w:sz="0" w:space="0" w:color="auto"/>
        <w:right w:val="none" w:sz="0" w:space="0" w:color="auto"/>
      </w:divBdr>
    </w:div>
    <w:div w:id="589461395">
      <w:bodyDiv w:val="1"/>
      <w:marLeft w:val="0"/>
      <w:marRight w:val="0"/>
      <w:marTop w:val="0"/>
      <w:marBottom w:val="0"/>
      <w:divBdr>
        <w:top w:val="none" w:sz="0" w:space="0" w:color="auto"/>
        <w:left w:val="none" w:sz="0" w:space="0" w:color="auto"/>
        <w:bottom w:val="none" w:sz="0" w:space="0" w:color="auto"/>
        <w:right w:val="none" w:sz="0" w:space="0" w:color="auto"/>
      </w:divBdr>
    </w:div>
    <w:div w:id="591205868">
      <w:bodyDiv w:val="1"/>
      <w:marLeft w:val="0"/>
      <w:marRight w:val="0"/>
      <w:marTop w:val="0"/>
      <w:marBottom w:val="0"/>
      <w:divBdr>
        <w:top w:val="none" w:sz="0" w:space="0" w:color="auto"/>
        <w:left w:val="none" w:sz="0" w:space="0" w:color="auto"/>
        <w:bottom w:val="none" w:sz="0" w:space="0" w:color="auto"/>
        <w:right w:val="none" w:sz="0" w:space="0" w:color="auto"/>
      </w:divBdr>
    </w:div>
    <w:div w:id="663821119">
      <w:bodyDiv w:val="1"/>
      <w:marLeft w:val="0"/>
      <w:marRight w:val="0"/>
      <w:marTop w:val="0"/>
      <w:marBottom w:val="0"/>
      <w:divBdr>
        <w:top w:val="none" w:sz="0" w:space="0" w:color="auto"/>
        <w:left w:val="none" w:sz="0" w:space="0" w:color="auto"/>
        <w:bottom w:val="none" w:sz="0" w:space="0" w:color="auto"/>
        <w:right w:val="none" w:sz="0" w:space="0" w:color="auto"/>
      </w:divBdr>
    </w:div>
    <w:div w:id="712268280">
      <w:bodyDiv w:val="1"/>
      <w:marLeft w:val="0"/>
      <w:marRight w:val="0"/>
      <w:marTop w:val="0"/>
      <w:marBottom w:val="0"/>
      <w:divBdr>
        <w:top w:val="none" w:sz="0" w:space="0" w:color="auto"/>
        <w:left w:val="none" w:sz="0" w:space="0" w:color="auto"/>
        <w:bottom w:val="none" w:sz="0" w:space="0" w:color="auto"/>
        <w:right w:val="none" w:sz="0" w:space="0" w:color="auto"/>
      </w:divBdr>
    </w:div>
    <w:div w:id="797140145">
      <w:bodyDiv w:val="1"/>
      <w:marLeft w:val="0"/>
      <w:marRight w:val="0"/>
      <w:marTop w:val="0"/>
      <w:marBottom w:val="0"/>
      <w:divBdr>
        <w:top w:val="none" w:sz="0" w:space="0" w:color="auto"/>
        <w:left w:val="none" w:sz="0" w:space="0" w:color="auto"/>
        <w:bottom w:val="none" w:sz="0" w:space="0" w:color="auto"/>
        <w:right w:val="none" w:sz="0" w:space="0" w:color="auto"/>
      </w:divBdr>
    </w:div>
    <w:div w:id="823469715">
      <w:bodyDiv w:val="1"/>
      <w:marLeft w:val="0"/>
      <w:marRight w:val="0"/>
      <w:marTop w:val="0"/>
      <w:marBottom w:val="0"/>
      <w:divBdr>
        <w:top w:val="none" w:sz="0" w:space="0" w:color="auto"/>
        <w:left w:val="none" w:sz="0" w:space="0" w:color="auto"/>
        <w:bottom w:val="none" w:sz="0" w:space="0" w:color="auto"/>
        <w:right w:val="none" w:sz="0" w:space="0" w:color="auto"/>
      </w:divBdr>
    </w:div>
    <w:div w:id="867062427">
      <w:bodyDiv w:val="1"/>
      <w:marLeft w:val="0"/>
      <w:marRight w:val="0"/>
      <w:marTop w:val="0"/>
      <w:marBottom w:val="0"/>
      <w:divBdr>
        <w:top w:val="none" w:sz="0" w:space="0" w:color="auto"/>
        <w:left w:val="none" w:sz="0" w:space="0" w:color="auto"/>
        <w:bottom w:val="none" w:sz="0" w:space="0" w:color="auto"/>
        <w:right w:val="none" w:sz="0" w:space="0" w:color="auto"/>
      </w:divBdr>
    </w:div>
    <w:div w:id="938022379">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424768104">
      <w:bodyDiv w:val="1"/>
      <w:marLeft w:val="0"/>
      <w:marRight w:val="0"/>
      <w:marTop w:val="0"/>
      <w:marBottom w:val="0"/>
      <w:divBdr>
        <w:top w:val="none" w:sz="0" w:space="0" w:color="auto"/>
        <w:left w:val="none" w:sz="0" w:space="0" w:color="auto"/>
        <w:bottom w:val="none" w:sz="0" w:space="0" w:color="auto"/>
        <w:right w:val="none" w:sz="0" w:space="0" w:color="auto"/>
      </w:divBdr>
    </w:div>
    <w:div w:id="1463377615">
      <w:bodyDiv w:val="1"/>
      <w:marLeft w:val="0"/>
      <w:marRight w:val="0"/>
      <w:marTop w:val="0"/>
      <w:marBottom w:val="0"/>
      <w:divBdr>
        <w:top w:val="none" w:sz="0" w:space="0" w:color="auto"/>
        <w:left w:val="none" w:sz="0" w:space="0" w:color="auto"/>
        <w:bottom w:val="none" w:sz="0" w:space="0" w:color="auto"/>
        <w:right w:val="none" w:sz="0" w:space="0" w:color="auto"/>
      </w:divBdr>
    </w:div>
    <w:div w:id="1522669626">
      <w:bodyDiv w:val="1"/>
      <w:marLeft w:val="0"/>
      <w:marRight w:val="0"/>
      <w:marTop w:val="0"/>
      <w:marBottom w:val="0"/>
      <w:divBdr>
        <w:top w:val="none" w:sz="0" w:space="0" w:color="auto"/>
        <w:left w:val="none" w:sz="0" w:space="0" w:color="auto"/>
        <w:bottom w:val="none" w:sz="0" w:space="0" w:color="auto"/>
        <w:right w:val="none" w:sz="0" w:space="0" w:color="auto"/>
      </w:divBdr>
    </w:div>
    <w:div w:id="1574701946">
      <w:bodyDiv w:val="1"/>
      <w:marLeft w:val="0"/>
      <w:marRight w:val="0"/>
      <w:marTop w:val="0"/>
      <w:marBottom w:val="0"/>
      <w:divBdr>
        <w:top w:val="none" w:sz="0" w:space="0" w:color="auto"/>
        <w:left w:val="none" w:sz="0" w:space="0" w:color="auto"/>
        <w:bottom w:val="none" w:sz="0" w:space="0" w:color="auto"/>
        <w:right w:val="none" w:sz="0" w:space="0" w:color="auto"/>
      </w:divBdr>
    </w:div>
    <w:div w:id="1578784174">
      <w:bodyDiv w:val="1"/>
      <w:marLeft w:val="0"/>
      <w:marRight w:val="0"/>
      <w:marTop w:val="0"/>
      <w:marBottom w:val="0"/>
      <w:divBdr>
        <w:top w:val="none" w:sz="0" w:space="0" w:color="auto"/>
        <w:left w:val="none" w:sz="0" w:space="0" w:color="auto"/>
        <w:bottom w:val="none" w:sz="0" w:space="0" w:color="auto"/>
        <w:right w:val="none" w:sz="0" w:space="0" w:color="auto"/>
      </w:divBdr>
    </w:div>
    <w:div w:id="1636063683">
      <w:bodyDiv w:val="1"/>
      <w:marLeft w:val="0"/>
      <w:marRight w:val="0"/>
      <w:marTop w:val="0"/>
      <w:marBottom w:val="0"/>
      <w:divBdr>
        <w:top w:val="none" w:sz="0" w:space="0" w:color="auto"/>
        <w:left w:val="none" w:sz="0" w:space="0" w:color="auto"/>
        <w:bottom w:val="none" w:sz="0" w:space="0" w:color="auto"/>
        <w:right w:val="none" w:sz="0" w:space="0" w:color="auto"/>
      </w:divBdr>
    </w:div>
    <w:div w:id="1646280228">
      <w:bodyDiv w:val="1"/>
      <w:marLeft w:val="0"/>
      <w:marRight w:val="0"/>
      <w:marTop w:val="0"/>
      <w:marBottom w:val="0"/>
      <w:divBdr>
        <w:top w:val="none" w:sz="0" w:space="0" w:color="auto"/>
        <w:left w:val="none" w:sz="0" w:space="0" w:color="auto"/>
        <w:bottom w:val="none" w:sz="0" w:space="0" w:color="auto"/>
        <w:right w:val="none" w:sz="0" w:space="0" w:color="auto"/>
      </w:divBdr>
    </w:div>
    <w:div w:id="1825658835">
      <w:bodyDiv w:val="1"/>
      <w:marLeft w:val="0"/>
      <w:marRight w:val="0"/>
      <w:marTop w:val="0"/>
      <w:marBottom w:val="0"/>
      <w:divBdr>
        <w:top w:val="none" w:sz="0" w:space="0" w:color="auto"/>
        <w:left w:val="none" w:sz="0" w:space="0" w:color="auto"/>
        <w:bottom w:val="none" w:sz="0" w:space="0" w:color="auto"/>
        <w:right w:val="none" w:sz="0" w:space="0" w:color="auto"/>
      </w:divBdr>
    </w:div>
    <w:div w:id="19649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ce.com/partners/partnerships/access-energy-usage-data"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caeecc.org/9-16-20-mini-sub-uwg-on-smb" TargetMode="External"/><Relationship Id="rId13" Type="http://schemas.openxmlformats.org/officeDocument/2006/relationships/hyperlink" Target="https://4930400d-24b5-474c-9a16-0109dd2d06d3.filesusr.com/ugd/849f65_21c87fcc7e064df1b1a51a2f585788b8.xlsx?dn=PG%26E%27s%20SMB%20programs%20July%202020.xlsx" TargetMode="External"/><Relationship Id="rId18" Type="http://schemas.openxmlformats.org/officeDocument/2006/relationships/hyperlink" Target="https://drive.google.com/drive/folders/1XDbIrv8RsrrN4vbYFqEGKQstXgqEpgQ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4930400d-24b5-474c-9a16-0109dd2d06d3.filesusr.com/ugd/849f65_87ca729c299544a1a8132c9d609202f1.pdf" TargetMode="External"/><Relationship Id="rId2" Type="http://schemas.openxmlformats.org/officeDocument/2006/relationships/numbering" Target="numbering.xml"/><Relationship Id="rId16" Type="http://schemas.openxmlformats.org/officeDocument/2006/relationships/hyperlink" Target="https://4930400d-24b5-474c-9a16-0109dd2d06d3.filesusr.com/ugd/849f65_56f9a585e00e437f94dd69c783089ba5.xlsx?dn=SDG%26E%27s%20SMB%20programs%20July%202020.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4930400d-24b5-474c-9a16-0109dd2d06d3.filesusr.com/ugd/849f65_ec47620a2c9a46c9b55958923fedf358.pdf"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drive.google.com/drive/folders/1XDbIrv8RsrrN4vbYFqEGKQstXgqEpgQi"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4930400d-24b5-474c-9a16-0109dd2d06d3.filesusr.com/ugd/849f65_e3e144dc6c664ca29feaeb12093a40de.xlsx?dn=SCE%27s%20SMB%20programs%20July%202020.xls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11F6-829D-254A-823F-FDCE85EF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Katherine Mckeague Abrams</cp:lastModifiedBy>
  <cp:revision>2</cp:revision>
  <dcterms:created xsi:type="dcterms:W3CDTF">2020-10-06T19:09:00Z</dcterms:created>
  <dcterms:modified xsi:type="dcterms:W3CDTF">2020-10-06T19:09:00Z</dcterms:modified>
</cp:coreProperties>
</file>