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01024D" w14:textId="6DFA7BF4" w:rsidR="00396A45" w:rsidRDefault="00396A45" w:rsidP="00654C89">
      <w:pPr>
        <w:jc w:val="center"/>
        <w:rPr>
          <w:b/>
          <w:bCs/>
          <w:sz w:val="28"/>
          <w:szCs w:val="28"/>
        </w:rPr>
      </w:pPr>
      <w:r>
        <w:rPr>
          <w:b/>
          <w:bCs/>
          <w:sz w:val="28"/>
          <w:szCs w:val="28"/>
        </w:rPr>
        <w:t>4-Year EE Budget Application Cycle</w:t>
      </w:r>
      <w:r w:rsidR="00CC0CA5">
        <w:rPr>
          <w:b/>
          <w:bCs/>
          <w:sz w:val="28"/>
          <w:szCs w:val="28"/>
        </w:rPr>
        <w:t xml:space="preserve"> - </w:t>
      </w:r>
      <w:r>
        <w:rPr>
          <w:b/>
          <w:bCs/>
          <w:sz w:val="28"/>
          <w:szCs w:val="28"/>
        </w:rPr>
        <w:t>Proposal Outline</w:t>
      </w:r>
    </w:p>
    <w:p w14:paraId="5E9B862B" w14:textId="77777777" w:rsidR="00654C89" w:rsidRDefault="00654C89" w:rsidP="00654C89">
      <w:pPr>
        <w:jc w:val="center"/>
        <w:rPr>
          <w:i/>
          <w:iCs/>
        </w:rPr>
      </w:pPr>
    </w:p>
    <w:p w14:paraId="6FE2E1B9" w14:textId="3D722252" w:rsidR="00654C89" w:rsidRDefault="00CC0CA5" w:rsidP="00654C89">
      <w:pPr>
        <w:jc w:val="center"/>
        <w:rPr>
          <w:i/>
          <w:iCs/>
        </w:rPr>
      </w:pPr>
      <w:r w:rsidRPr="00654C89">
        <w:rPr>
          <w:i/>
          <w:iCs/>
        </w:rPr>
        <w:t>Prepared by the CAEECC Facilitation Team</w:t>
      </w:r>
      <w:r w:rsidR="00654C89" w:rsidRPr="00654C89">
        <w:rPr>
          <w:i/>
          <w:iCs/>
        </w:rPr>
        <w:t xml:space="preserve"> </w:t>
      </w:r>
      <w:r w:rsidRPr="00654C89">
        <w:rPr>
          <w:i/>
          <w:iCs/>
        </w:rPr>
        <w:t xml:space="preserve">for the </w:t>
      </w:r>
    </w:p>
    <w:p w14:paraId="31FCD34B" w14:textId="7CF8CD24" w:rsidR="00CC0CA5" w:rsidRPr="00654C89" w:rsidRDefault="00CC0CA5" w:rsidP="00654C89">
      <w:pPr>
        <w:jc w:val="center"/>
        <w:rPr>
          <w:i/>
          <w:iCs/>
        </w:rPr>
      </w:pPr>
      <w:r w:rsidRPr="00654C89">
        <w:rPr>
          <w:i/>
          <w:iCs/>
        </w:rPr>
        <w:t>4-Year Cycle Sub-WG of the EE Filing Processes WG</w:t>
      </w:r>
    </w:p>
    <w:p w14:paraId="495F1C81" w14:textId="77777777" w:rsidR="00810122" w:rsidRPr="007D47A4" w:rsidRDefault="00810122" w:rsidP="00396A45">
      <w:pPr>
        <w:rPr>
          <w:b/>
          <w:bCs/>
          <w:sz w:val="28"/>
          <w:szCs w:val="28"/>
        </w:rPr>
      </w:pPr>
    </w:p>
    <w:p w14:paraId="36868682" w14:textId="390783A2" w:rsidR="00207EC4" w:rsidRDefault="00207EC4" w:rsidP="00152DA3">
      <w:pPr>
        <w:rPr>
          <w:i/>
          <w:iCs/>
        </w:rPr>
      </w:pPr>
      <w:r>
        <w:rPr>
          <w:i/>
          <w:iCs/>
        </w:rPr>
        <w:t xml:space="preserve">This document outlines the elements of the 4-Year Cycle Sub-Working Groups’ proposal, as discussed at the </w:t>
      </w:r>
      <w:r w:rsidR="00396A45">
        <w:rPr>
          <w:i/>
          <w:iCs/>
        </w:rPr>
        <w:t xml:space="preserve">second </w:t>
      </w:r>
      <w:r>
        <w:rPr>
          <w:i/>
          <w:iCs/>
        </w:rPr>
        <w:t>11/20/19 Working Group Meeting on EE Filing Processe</w:t>
      </w:r>
      <w:r w:rsidR="00063409">
        <w:rPr>
          <w:i/>
          <w:iCs/>
        </w:rPr>
        <w:t xml:space="preserve">s.  It is based on </w:t>
      </w:r>
      <w:r>
        <w:rPr>
          <w:i/>
          <w:iCs/>
        </w:rPr>
        <w:t xml:space="preserve">the original </w:t>
      </w:r>
      <w:r w:rsidR="00063409">
        <w:rPr>
          <w:i/>
          <w:iCs/>
        </w:rPr>
        <w:t>straw proposal developed</w:t>
      </w:r>
      <w:r>
        <w:rPr>
          <w:i/>
          <w:iCs/>
        </w:rPr>
        <w:t xml:space="preserve"> by the Public Advocates Office, </w:t>
      </w:r>
      <w:r w:rsidR="00063409">
        <w:rPr>
          <w:i/>
          <w:iCs/>
        </w:rPr>
        <w:t xml:space="preserve">work products developed by Sub-Working Group #1 (Filing Content and Schedule) and Sub-Working Group #2 (Roles, Responsibilities and Regulatory Processes), </w:t>
      </w:r>
      <w:r>
        <w:rPr>
          <w:i/>
          <w:iCs/>
        </w:rPr>
        <w:t xml:space="preserve">and in </w:t>
      </w:r>
      <w:r w:rsidR="00063409">
        <w:rPr>
          <w:i/>
          <w:iCs/>
        </w:rPr>
        <w:t>discussion during full working group and</w:t>
      </w:r>
      <w:r>
        <w:rPr>
          <w:i/>
          <w:iCs/>
        </w:rPr>
        <w:t xml:space="preserve"> sub-working group </w:t>
      </w:r>
      <w:r w:rsidR="00063409">
        <w:rPr>
          <w:i/>
          <w:iCs/>
        </w:rPr>
        <w:t xml:space="preserve">meetings and </w:t>
      </w:r>
      <w:r>
        <w:rPr>
          <w:i/>
          <w:iCs/>
        </w:rPr>
        <w:t xml:space="preserve">phone calls. </w:t>
      </w:r>
    </w:p>
    <w:p w14:paraId="63B477B6" w14:textId="14950877" w:rsidR="00207EC4" w:rsidRDefault="00207EC4" w:rsidP="00152DA3">
      <w:pPr>
        <w:rPr>
          <w:i/>
          <w:iCs/>
        </w:rPr>
      </w:pPr>
    </w:p>
    <w:p w14:paraId="13479E67" w14:textId="4D1186B4" w:rsidR="006239C7" w:rsidRDefault="006239C7" w:rsidP="006239C7">
      <w:pPr>
        <w:rPr>
          <w:i/>
          <w:iCs/>
        </w:rPr>
      </w:pPr>
      <w:r>
        <w:rPr>
          <w:i/>
          <w:iCs/>
        </w:rPr>
        <w:t>The document below includes (1) an outline of the 4-Year EE Budget Application contents, and explains the hybrid approach for program and non-program costs developed and broadly agreed to at the second 11/20/19 working group meeting; (2) an outline of the contents of the interim filing options still under consideration (mid-cycle Tier 1 AL, and trigger-based Tier 3 AL and/or PFM); and (3) Supporting documents (in Appendices as listed below) which provide background and more detail on application contents, schedule, and the stakeholder/PA/3P/ED/CPUC roles and responsibilities and regulatory processes.</w:t>
      </w:r>
    </w:p>
    <w:p w14:paraId="3D948273" w14:textId="77777777" w:rsidR="006239C7" w:rsidRPr="00B067D3" w:rsidRDefault="006239C7" w:rsidP="006239C7"/>
    <w:p w14:paraId="055D55FD" w14:textId="77777777" w:rsidR="006239C7" w:rsidRPr="00B067D3" w:rsidRDefault="006239C7" w:rsidP="006239C7">
      <w:pPr>
        <w:ind w:left="720"/>
        <w:rPr>
          <w:i/>
          <w:iCs/>
        </w:rPr>
      </w:pPr>
      <w:r w:rsidRPr="00B067D3">
        <w:rPr>
          <w:i/>
          <w:iCs/>
        </w:rPr>
        <w:t xml:space="preserve">Appendix A: Public Advocates Office Straw Proposal on EE Application and Mid-Cycle Review Contents (10/30/2019) </w:t>
      </w:r>
    </w:p>
    <w:p w14:paraId="68B88713" w14:textId="77777777" w:rsidR="006239C7" w:rsidRPr="00B067D3" w:rsidRDefault="006239C7" w:rsidP="006239C7">
      <w:pPr>
        <w:ind w:left="720"/>
        <w:rPr>
          <w:i/>
          <w:iCs/>
        </w:rPr>
      </w:pPr>
      <w:r w:rsidRPr="00B067D3">
        <w:rPr>
          <w:i/>
          <w:iCs/>
        </w:rPr>
        <w:t xml:space="preserve">Appendix B: </w:t>
      </w:r>
      <w:r w:rsidRPr="00B067D3">
        <w:rPr>
          <w:rFonts w:cstheme="minorHAnsi"/>
          <w:bCs/>
          <w:i/>
          <w:iCs/>
        </w:rPr>
        <w:t>4 v. 6 Year Cycle: Pros/Cons and Assumptions for Discussion</w:t>
      </w:r>
      <w:r w:rsidRPr="00B067D3">
        <w:rPr>
          <w:i/>
          <w:iCs/>
        </w:rPr>
        <w:t xml:space="preserve"> </w:t>
      </w:r>
    </w:p>
    <w:p w14:paraId="0A22DEA3" w14:textId="77777777" w:rsidR="006239C7" w:rsidRDefault="006239C7" w:rsidP="006239C7">
      <w:pPr>
        <w:ind w:left="720"/>
        <w:rPr>
          <w:i/>
          <w:iCs/>
        </w:rPr>
      </w:pPr>
      <w:r w:rsidRPr="00B067D3">
        <w:rPr>
          <w:i/>
          <w:iCs/>
        </w:rPr>
        <w:t>Appendix C: EE Cycle Options</w:t>
      </w:r>
    </w:p>
    <w:p w14:paraId="76C3DAEB" w14:textId="77777777" w:rsidR="006239C7" w:rsidRPr="00B067D3" w:rsidRDefault="006239C7" w:rsidP="006239C7">
      <w:pPr>
        <w:ind w:left="720"/>
        <w:rPr>
          <w:i/>
          <w:iCs/>
        </w:rPr>
      </w:pPr>
      <w:r w:rsidRPr="00396A45">
        <w:rPr>
          <w:i/>
          <w:iCs/>
        </w:rPr>
        <w:t>Appendix D: Roles</w:t>
      </w:r>
      <w:r>
        <w:rPr>
          <w:i/>
          <w:iCs/>
        </w:rPr>
        <w:t>, Responsibilities and Regulatory Processes</w:t>
      </w:r>
    </w:p>
    <w:p w14:paraId="13613554" w14:textId="77777777" w:rsidR="006239C7" w:rsidRDefault="006239C7" w:rsidP="00152DA3">
      <w:pPr>
        <w:rPr>
          <w:i/>
          <w:iCs/>
        </w:rPr>
      </w:pPr>
    </w:p>
    <w:p w14:paraId="66D45C45" w14:textId="70163071" w:rsidR="00207EC4" w:rsidRDefault="00207EC4" w:rsidP="00152DA3">
      <w:pPr>
        <w:rPr>
          <w:i/>
          <w:iCs/>
        </w:rPr>
      </w:pPr>
      <w:r>
        <w:rPr>
          <w:i/>
          <w:iCs/>
        </w:rPr>
        <w:t xml:space="preserve">This outline </w:t>
      </w:r>
      <w:r w:rsidR="006239C7">
        <w:rPr>
          <w:i/>
          <w:iCs/>
        </w:rPr>
        <w:t>wa</w:t>
      </w:r>
      <w:r w:rsidR="00063409">
        <w:rPr>
          <w:i/>
          <w:iCs/>
        </w:rPr>
        <w:t xml:space="preserve">s </w:t>
      </w:r>
      <w:r>
        <w:rPr>
          <w:i/>
          <w:iCs/>
        </w:rPr>
        <w:t xml:space="preserve">prepared by the facilitation team for review and elaboration by Athena </w:t>
      </w:r>
      <w:proofErr w:type="spellStart"/>
      <w:r>
        <w:rPr>
          <w:i/>
          <w:iCs/>
        </w:rPr>
        <w:t>Besa</w:t>
      </w:r>
      <w:proofErr w:type="spellEnd"/>
      <w:r>
        <w:rPr>
          <w:i/>
          <w:iCs/>
        </w:rPr>
        <w:t xml:space="preserve"> (SDG&amp;E) and Ryan Chan (PG&amp;E). Per agreement at the meeting, and as captured in the meeting summary, Athena and Ryan will develop a more detailed proposal based on this document (including a timeline) by late December, which will then be distributed to the full sub-working group supporting a 4-Year Cycle</w:t>
      </w:r>
    </w:p>
    <w:p w14:paraId="269C1926" w14:textId="3D72CF09" w:rsidR="00207EC4" w:rsidRDefault="00207EC4" w:rsidP="00152DA3"/>
    <w:p w14:paraId="787D607C" w14:textId="5F367048" w:rsidR="00207EC4" w:rsidRPr="00207EC4" w:rsidRDefault="00207EC4" w:rsidP="00152DA3">
      <w:pPr>
        <w:rPr>
          <w:i/>
          <w:iCs/>
        </w:rPr>
      </w:pPr>
      <w:r w:rsidRPr="00207EC4">
        <w:rPr>
          <w:i/>
          <w:iCs/>
        </w:rPr>
        <w:t xml:space="preserve">The full </w:t>
      </w:r>
      <w:r>
        <w:rPr>
          <w:i/>
          <w:iCs/>
        </w:rPr>
        <w:t>4-Yr Cycle S</w:t>
      </w:r>
      <w:r w:rsidRPr="00207EC4">
        <w:rPr>
          <w:i/>
          <w:iCs/>
        </w:rPr>
        <w:t xml:space="preserve">ub-Working Group will then meet via phone call/webinar in early January to provide feedback/refinements on the proposal. The proposal will be further refined by mid-January for hand-off to the 6-yr work team (so that they can </w:t>
      </w:r>
      <w:r w:rsidR="00BD6FBD">
        <w:rPr>
          <w:i/>
          <w:iCs/>
        </w:rPr>
        <w:t>develop</w:t>
      </w:r>
      <w:r w:rsidRPr="00207EC4">
        <w:rPr>
          <w:i/>
          <w:iCs/>
        </w:rPr>
        <w:t xml:space="preserve"> alternative language </w:t>
      </w:r>
      <w:r w:rsidR="00BD6FBD">
        <w:rPr>
          <w:i/>
          <w:iCs/>
        </w:rPr>
        <w:t xml:space="preserve">that </w:t>
      </w:r>
      <w:r w:rsidRPr="00207EC4">
        <w:rPr>
          <w:i/>
          <w:iCs/>
        </w:rPr>
        <w:t>follow</w:t>
      </w:r>
      <w:r w:rsidR="00BD6FBD">
        <w:rPr>
          <w:i/>
          <w:iCs/>
        </w:rPr>
        <w:t>s a</w:t>
      </w:r>
      <w:r w:rsidRPr="00207EC4">
        <w:rPr>
          <w:i/>
          <w:iCs/>
        </w:rPr>
        <w:t xml:space="preserve"> similar outline</w:t>
      </w:r>
      <w:r w:rsidR="00BD6FBD">
        <w:rPr>
          <w:i/>
          <w:iCs/>
        </w:rPr>
        <w:t xml:space="preserve"> and level of detail—for the parts that would be different under their proposed alternative</w:t>
      </w:r>
      <w:r w:rsidRPr="00207EC4">
        <w:rPr>
          <w:i/>
          <w:iCs/>
        </w:rPr>
        <w:t>)</w:t>
      </w:r>
      <w:r>
        <w:rPr>
          <w:i/>
          <w:iCs/>
        </w:rPr>
        <w:t>.</w:t>
      </w:r>
    </w:p>
    <w:p w14:paraId="3E7A71AE" w14:textId="77777777" w:rsidR="00207EC4" w:rsidRDefault="00207EC4" w:rsidP="00152DA3"/>
    <w:p w14:paraId="3B391525" w14:textId="77777777" w:rsidR="008909A9" w:rsidRPr="007D47A4" w:rsidRDefault="008909A9">
      <w:pPr>
        <w:rPr>
          <w:b/>
          <w:bCs/>
          <w:u w:val="single"/>
        </w:rPr>
      </w:pPr>
    </w:p>
    <w:p w14:paraId="2A579DE2" w14:textId="77777777" w:rsidR="00CC0CA5" w:rsidRDefault="00CC0CA5">
      <w:pPr>
        <w:rPr>
          <w:b/>
          <w:bCs/>
          <w:u w:val="single"/>
        </w:rPr>
      </w:pPr>
      <w:r>
        <w:rPr>
          <w:b/>
          <w:bCs/>
          <w:u w:val="single"/>
        </w:rPr>
        <w:br w:type="page"/>
      </w:r>
    </w:p>
    <w:p w14:paraId="5E09D6CE" w14:textId="72CC4A8D" w:rsidR="006239C7" w:rsidRPr="006239C7" w:rsidRDefault="006239C7" w:rsidP="006239C7">
      <w:pPr>
        <w:jc w:val="center"/>
        <w:rPr>
          <w:b/>
          <w:bCs/>
          <w:sz w:val="28"/>
          <w:szCs w:val="28"/>
        </w:rPr>
      </w:pPr>
      <w:r w:rsidRPr="006239C7">
        <w:rPr>
          <w:b/>
          <w:bCs/>
          <w:sz w:val="28"/>
          <w:szCs w:val="28"/>
        </w:rPr>
        <w:lastRenderedPageBreak/>
        <w:t>4-Year Budget Application Cycle with Interim Filings</w:t>
      </w:r>
      <w:r>
        <w:rPr>
          <w:b/>
          <w:bCs/>
          <w:sz w:val="28"/>
          <w:szCs w:val="28"/>
        </w:rPr>
        <w:t xml:space="preserve"> </w:t>
      </w:r>
      <w:r w:rsidRPr="006239C7">
        <w:rPr>
          <w:b/>
          <w:bCs/>
          <w:sz w:val="28"/>
          <w:szCs w:val="28"/>
        </w:rPr>
        <w:t>- Proposal Outline</w:t>
      </w:r>
      <w:r w:rsidR="00F56CF4">
        <w:rPr>
          <w:b/>
          <w:bCs/>
          <w:sz w:val="28"/>
          <w:szCs w:val="28"/>
        </w:rPr>
        <w:t>/Content</w:t>
      </w:r>
      <w:bookmarkStart w:id="0" w:name="_GoBack"/>
      <w:bookmarkEnd w:id="0"/>
    </w:p>
    <w:p w14:paraId="3E5C9674" w14:textId="77777777" w:rsidR="006239C7" w:rsidRDefault="006239C7" w:rsidP="00396A45">
      <w:pPr>
        <w:rPr>
          <w:b/>
          <w:bCs/>
          <w:u w:val="single"/>
        </w:rPr>
      </w:pPr>
    </w:p>
    <w:p w14:paraId="63042234" w14:textId="77777777" w:rsidR="00BD6FBD" w:rsidRDefault="00BD6FBD" w:rsidP="00396A45">
      <w:pPr>
        <w:rPr>
          <w:b/>
          <w:bCs/>
          <w:u w:val="single"/>
        </w:rPr>
      </w:pPr>
    </w:p>
    <w:p w14:paraId="3B44B5C7" w14:textId="5DC9C429" w:rsidR="00D94072" w:rsidRPr="00F56CF4" w:rsidRDefault="00D94072" w:rsidP="00BB4C25">
      <w:pPr>
        <w:pStyle w:val="ListParagraph"/>
        <w:numPr>
          <w:ilvl w:val="0"/>
          <w:numId w:val="15"/>
        </w:numPr>
        <w:rPr>
          <w:b/>
          <w:bCs/>
        </w:rPr>
      </w:pPr>
      <w:r w:rsidRPr="00F56CF4">
        <w:rPr>
          <w:b/>
          <w:bCs/>
        </w:rPr>
        <w:t>Introduction</w:t>
      </w:r>
    </w:p>
    <w:p w14:paraId="190D1A86" w14:textId="77777777" w:rsidR="00D94072" w:rsidRPr="00F56CF4" w:rsidRDefault="00D94072" w:rsidP="00396A45">
      <w:pPr>
        <w:rPr>
          <w:b/>
          <w:bCs/>
        </w:rPr>
      </w:pPr>
    </w:p>
    <w:p w14:paraId="77123625" w14:textId="76D975C6" w:rsidR="0092209D" w:rsidRPr="00F56CF4" w:rsidRDefault="00BD6FBD" w:rsidP="00396A45">
      <w:r w:rsidRPr="00F56CF4">
        <w:t xml:space="preserve">The following Working Group </w:t>
      </w:r>
      <w:r w:rsidR="0092209D" w:rsidRPr="00F56CF4">
        <w:t>M</w:t>
      </w:r>
      <w:r w:rsidRPr="00F56CF4">
        <w:t>embe</w:t>
      </w:r>
      <w:r w:rsidR="001A1D96" w:rsidRPr="00F56CF4">
        <w:t>r</w:t>
      </w:r>
      <w:r w:rsidR="0092209D" w:rsidRPr="00F56CF4">
        <w:t>s (and their</w:t>
      </w:r>
      <w:r w:rsidR="001A1D96" w:rsidRPr="00F56CF4">
        <w:t xml:space="preserve"> organizations</w:t>
      </w:r>
      <w:r w:rsidR="0092209D" w:rsidRPr="00F56CF4">
        <w:t>)</w:t>
      </w:r>
      <w:r w:rsidR="001A1D96" w:rsidRPr="00F56CF4">
        <w:t xml:space="preserve"> support </w:t>
      </w:r>
      <w:r w:rsidRPr="00F56CF4">
        <w:t>a 4-year budget application cycle</w:t>
      </w:r>
      <w:r w:rsidR="001A1D96" w:rsidRPr="00F56CF4">
        <w:t xml:space="preserve">: </w:t>
      </w:r>
    </w:p>
    <w:p w14:paraId="6F0546B8" w14:textId="0F88148F" w:rsidR="0092209D" w:rsidRPr="00F56CF4" w:rsidRDefault="0092209D" w:rsidP="0092209D">
      <w:pPr>
        <w:pStyle w:val="ListParagraph"/>
        <w:numPr>
          <w:ilvl w:val="0"/>
          <w:numId w:val="16"/>
        </w:numPr>
      </w:pPr>
      <w:r w:rsidRPr="00F56CF4">
        <w:t xml:space="preserve">Athena </w:t>
      </w:r>
      <w:proofErr w:type="spellStart"/>
      <w:r w:rsidRPr="00F56CF4">
        <w:t>Besa</w:t>
      </w:r>
      <w:proofErr w:type="spellEnd"/>
      <w:r w:rsidRPr="00F56CF4">
        <w:t xml:space="preserve">, </w:t>
      </w:r>
      <w:r w:rsidR="00BD6FBD" w:rsidRPr="00F56CF4">
        <w:t>SDG&amp;</w:t>
      </w:r>
      <w:r w:rsidRPr="00F56CF4">
        <w:t>E</w:t>
      </w:r>
    </w:p>
    <w:p w14:paraId="08077F78" w14:textId="72896D84" w:rsidR="0092209D" w:rsidRPr="00F56CF4" w:rsidRDefault="0092209D" w:rsidP="0092209D">
      <w:pPr>
        <w:pStyle w:val="ListParagraph"/>
        <w:numPr>
          <w:ilvl w:val="0"/>
          <w:numId w:val="16"/>
        </w:numPr>
      </w:pPr>
      <w:r w:rsidRPr="00F56CF4">
        <w:t xml:space="preserve">Ryan Chan, </w:t>
      </w:r>
      <w:r w:rsidR="00BD6FBD" w:rsidRPr="00F56CF4">
        <w:t xml:space="preserve">PG&amp;E, </w:t>
      </w:r>
    </w:p>
    <w:p w14:paraId="415F8945" w14:textId="2ED6A752" w:rsidR="00E81A06" w:rsidRPr="00F56CF4" w:rsidRDefault="00E81A06" w:rsidP="00E81A06">
      <w:pPr>
        <w:pStyle w:val="ListParagraph"/>
        <w:numPr>
          <w:ilvl w:val="0"/>
          <w:numId w:val="16"/>
        </w:numPr>
      </w:pPr>
      <w:r w:rsidRPr="00F56CF4">
        <w:t>Dan Buch, Public Advocates Office</w:t>
      </w:r>
    </w:p>
    <w:p w14:paraId="4666797A" w14:textId="2B8250B9" w:rsidR="0092209D" w:rsidRPr="00F56CF4" w:rsidRDefault="0092209D" w:rsidP="0092209D">
      <w:pPr>
        <w:pStyle w:val="ListParagraph"/>
        <w:numPr>
          <w:ilvl w:val="0"/>
          <w:numId w:val="16"/>
        </w:numPr>
      </w:pPr>
      <w:r w:rsidRPr="00F56CF4">
        <w:t xml:space="preserve">Lara </w:t>
      </w:r>
      <w:proofErr w:type="spellStart"/>
      <w:r w:rsidRPr="00F56CF4">
        <w:t>Ettenson</w:t>
      </w:r>
      <w:proofErr w:type="spellEnd"/>
      <w:r w:rsidRPr="00F56CF4">
        <w:t xml:space="preserve">, </w:t>
      </w:r>
      <w:r w:rsidR="00BD6FBD" w:rsidRPr="00F56CF4">
        <w:t>NRDC</w:t>
      </w:r>
    </w:p>
    <w:p w14:paraId="6DCBD4A5" w14:textId="7BDDC137" w:rsidR="0092209D" w:rsidRPr="00F56CF4" w:rsidRDefault="0092209D" w:rsidP="0092209D">
      <w:pPr>
        <w:pStyle w:val="ListParagraph"/>
        <w:numPr>
          <w:ilvl w:val="0"/>
          <w:numId w:val="16"/>
        </w:numPr>
      </w:pPr>
      <w:r w:rsidRPr="00F56CF4">
        <w:t xml:space="preserve">Erin Brooks, </w:t>
      </w:r>
      <w:r w:rsidR="00BD6FBD" w:rsidRPr="00F56CF4">
        <w:t>SoCal Gas</w:t>
      </w:r>
    </w:p>
    <w:p w14:paraId="3E8388C2" w14:textId="054A5651" w:rsidR="0092209D" w:rsidRPr="00F56CF4" w:rsidRDefault="0092209D" w:rsidP="0092209D">
      <w:pPr>
        <w:pStyle w:val="ListParagraph"/>
        <w:numPr>
          <w:ilvl w:val="0"/>
          <w:numId w:val="16"/>
        </w:numPr>
      </w:pPr>
      <w:r w:rsidRPr="00F56CF4">
        <w:t xml:space="preserve">Jesse Feinberg, </w:t>
      </w:r>
      <w:r w:rsidR="001A1D96" w:rsidRPr="00F56CF4">
        <w:t>SCE</w:t>
      </w:r>
    </w:p>
    <w:p w14:paraId="1FE636FB" w14:textId="5329E7AD" w:rsidR="0092209D" w:rsidRPr="00F56CF4" w:rsidRDefault="0092209D" w:rsidP="0092209D">
      <w:pPr>
        <w:pStyle w:val="ListParagraph"/>
        <w:numPr>
          <w:ilvl w:val="0"/>
          <w:numId w:val="16"/>
        </w:numPr>
      </w:pPr>
      <w:r w:rsidRPr="00F56CF4">
        <w:t xml:space="preserve">Dan </w:t>
      </w:r>
      <w:proofErr w:type="spellStart"/>
      <w:r w:rsidRPr="00F56CF4">
        <w:t>Suyeyasu</w:t>
      </w:r>
      <w:proofErr w:type="spellEnd"/>
      <w:r w:rsidRPr="00F56CF4">
        <w:t xml:space="preserve">, </w:t>
      </w:r>
      <w:proofErr w:type="spellStart"/>
      <w:r w:rsidR="001A1D96" w:rsidRPr="00F56CF4">
        <w:t>CodeCycle</w:t>
      </w:r>
      <w:proofErr w:type="spellEnd"/>
      <w:r w:rsidR="001A1D96" w:rsidRPr="00F56CF4">
        <w:t xml:space="preserve"> </w:t>
      </w:r>
    </w:p>
    <w:p w14:paraId="767B637D" w14:textId="3E1EDB9C" w:rsidR="00BD6FBD" w:rsidRPr="00F56CF4" w:rsidRDefault="0092209D">
      <w:pPr>
        <w:pStyle w:val="ListParagraph"/>
        <w:numPr>
          <w:ilvl w:val="0"/>
          <w:numId w:val="16"/>
        </w:numPr>
      </w:pPr>
      <w:r w:rsidRPr="00F56CF4">
        <w:t>Dave Dias,</w:t>
      </w:r>
      <w:r w:rsidR="001A1D96" w:rsidRPr="00F56CF4">
        <w:t xml:space="preserve"> SMW Local 104</w:t>
      </w:r>
    </w:p>
    <w:p w14:paraId="0762A92A" w14:textId="3FE02BC7" w:rsidR="00E81A06" w:rsidRPr="00F56CF4" w:rsidRDefault="00E81A06" w:rsidP="00E81A06">
      <w:pPr>
        <w:pStyle w:val="ListParagraph"/>
        <w:numPr>
          <w:ilvl w:val="0"/>
          <w:numId w:val="16"/>
        </w:numPr>
      </w:pPr>
      <w:r w:rsidRPr="00F56CF4">
        <w:t>Raghav Murali</w:t>
      </w:r>
      <w:r w:rsidRPr="00F56CF4">
        <w:t>, Center for Sustainable Energy</w:t>
      </w:r>
    </w:p>
    <w:p w14:paraId="05D4F70B" w14:textId="77777777" w:rsidR="00D94072" w:rsidRDefault="00D94072" w:rsidP="00396A45">
      <w:pPr>
        <w:rPr>
          <w:b/>
          <w:bCs/>
          <w:u w:val="single"/>
        </w:rPr>
      </w:pPr>
    </w:p>
    <w:p w14:paraId="1C642225" w14:textId="49A385B6" w:rsidR="00E81A06" w:rsidRPr="00F56CF4" w:rsidRDefault="00D94072" w:rsidP="00E81A06">
      <w:pPr>
        <w:pStyle w:val="ListParagraph"/>
        <w:numPr>
          <w:ilvl w:val="0"/>
          <w:numId w:val="15"/>
        </w:numPr>
      </w:pPr>
      <w:r w:rsidRPr="00F56CF4">
        <w:rPr>
          <w:b/>
          <w:bCs/>
        </w:rPr>
        <w:t>Rationale for 4</w:t>
      </w:r>
      <w:r w:rsidR="0092209D" w:rsidRPr="00F56CF4">
        <w:rPr>
          <w:b/>
          <w:bCs/>
        </w:rPr>
        <w:t>-</w:t>
      </w:r>
      <w:r w:rsidRPr="00F56CF4">
        <w:rPr>
          <w:b/>
          <w:bCs/>
        </w:rPr>
        <w:t>Year</w:t>
      </w:r>
      <w:r w:rsidR="0092209D" w:rsidRPr="00F56CF4">
        <w:rPr>
          <w:b/>
          <w:bCs/>
        </w:rPr>
        <w:t xml:space="preserve"> Cycle </w:t>
      </w:r>
    </w:p>
    <w:p w14:paraId="3B4D2616" w14:textId="77777777" w:rsidR="00E81A06" w:rsidRPr="00F56CF4" w:rsidRDefault="00E81A06" w:rsidP="00BB4C25">
      <w:pPr>
        <w:pStyle w:val="ListParagraph"/>
      </w:pPr>
    </w:p>
    <w:p w14:paraId="30A300B2" w14:textId="17525431" w:rsidR="00BD6FBD" w:rsidRPr="00F56CF4" w:rsidRDefault="00DC13F6" w:rsidP="00E81A06">
      <w:r w:rsidRPr="00F56CF4">
        <w:t xml:space="preserve">This EE budget application filing proposal seeks to meet/balance the key goals of (1) </w:t>
      </w:r>
      <w:r w:rsidR="00E81A06" w:rsidRPr="00F56CF4">
        <w:t>b</w:t>
      </w:r>
      <w:r w:rsidRPr="00F56CF4">
        <w:t>udget certainty</w:t>
      </w:r>
      <w:r w:rsidR="00E81A06" w:rsidRPr="00F56CF4">
        <w:t>;</w:t>
      </w:r>
      <w:r w:rsidRPr="00F56CF4">
        <w:t xml:space="preserve"> (2) </w:t>
      </w:r>
      <w:r w:rsidR="00E81A06" w:rsidRPr="00F56CF4">
        <w:t>r</w:t>
      </w:r>
      <w:r w:rsidRPr="00F56CF4">
        <w:t>educed regulatory churn</w:t>
      </w:r>
      <w:r w:rsidR="00E81A06" w:rsidRPr="00F56CF4">
        <w:t>;</w:t>
      </w:r>
      <w:r w:rsidRPr="00F56CF4">
        <w:t xml:space="preserve"> (3) </w:t>
      </w:r>
      <w:r w:rsidR="00E81A06" w:rsidRPr="00F56CF4">
        <w:t>i</w:t>
      </w:r>
      <w:r w:rsidRPr="00F56CF4">
        <w:t>mplementer certainty</w:t>
      </w:r>
      <w:r w:rsidR="00E81A06" w:rsidRPr="00F56CF4">
        <w:t>; and</w:t>
      </w:r>
      <w:r w:rsidRPr="00F56CF4">
        <w:t xml:space="preserve"> (4) </w:t>
      </w:r>
      <w:r w:rsidR="00E81A06" w:rsidRPr="00F56CF4">
        <w:t>a</w:t>
      </w:r>
      <w:r w:rsidRPr="00F56CF4">
        <w:t>llow</w:t>
      </w:r>
      <w:r w:rsidR="00E81A06" w:rsidRPr="00F56CF4">
        <w:t>ing for</w:t>
      </w:r>
      <w:r w:rsidRPr="00F56CF4">
        <w:t xml:space="preserve"> PAs responsiveness to market and policy changes</w:t>
      </w:r>
      <w:r w:rsidR="00BE2F8B" w:rsidRPr="00F56CF4">
        <w:t>.</w:t>
      </w:r>
      <w:r w:rsidRPr="00F56CF4">
        <w:t xml:space="preserve"> </w:t>
      </w:r>
      <w:r w:rsidR="00BD6FBD" w:rsidRPr="00F56CF4">
        <w:t xml:space="preserve">The major advantages of </w:t>
      </w:r>
      <w:r w:rsidR="0092209D" w:rsidRPr="00F56CF4">
        <w:t>a 4</w:t>
      </w:r>
      <w:r w:rsidR="00BD6FBD" w:rsidRPr="00F56CF4">
        <w:t xml:space="preserve">-year cycle </w:t>
      </w:r>
      <w:r w:rsidR="00BE2F8B" w:rsidRPr="00F56CF4">
        <w:t>(as compared with the other sub-working group proposal for a 6-Year cycle, the current</w:t>
      </w:r>
      <w:r w:rsidR="00E81A06" w:rsidRPr="00F56CF4">
        <w:t xml:space="preserve"> </w:t>
      </w:r>
      <w:proofErr w:type="gramStart"/>
      <w:r w:rsidR="00E81A06" w:rsidRPr="00F56CF4">
        <w:t>10 year</w:t>
      </w:r>
      <w:proofErr w:type="gramEnd"/>
      <w:r w:rsidR="00E81A06" w:rsidRPr="00F56CF4">
        <w:t xml:space="preserve"> </w:t>
      </w:r>
      <w:r w:rsidR="00BE2F8B" w:rsidRPr="00F56CF4">
        <w:t>Business Plan</w:t>
      </w:r>
      <w:r w:rsidR="00E81A06" w:rsidRPr="00F56CF4">
        <w:t xml:space="preserve"> and annual </w:t>
      </w:r>
      <w:r w:rsidR="00BE2F8B" w:rsidRPr="00F56CF4">
        <w:t xml:space="preserve">ABAL process, and the previous 3-Year cycle) </w:t>
      </w:r>
      <w:r w:rsidR="00BD6FBD" w:rsidRPr="00F56CF4">
        <w:t>are:</w:t>
      </w:r>
    </w:p>
    <w:p w14:paraId="7A9CECAF" w14:textId="2D8155C9" w:rsidR="00B929A9" w:rsidRPr="00F56CF4" w:rsidRDefault="001A1D96" w:rsidP="0092209D">
      <w:pPr>
        <w:pStyle w:val="ListParagraph"/>
        <w:numPr>
          <w:ilvl w:val="0"/>
          <w:numId w:val="14"/>
        </w:numPr>
      </w:pPr>
      <w:r w:rsidRPr="00F56CF4">
        <w:t>Budget</w:t>
      </w:r>
      <w:r w:rsidR="00BD6FBD" w:rsidRPr="00F56CF4">
        <w:t xml:space="preserve"> forecasting </w:t>
      </w:r>
      <w:r w:rsidR="0092209D" w:rsidRPr="00F56CF4">
        <w:t xml:space="preserve">(zero-based budgeting with supporting testimony and proof of forecasted budgets, savings, and cost-effectiveness) </w:t>
      </w:r>
      <w:r w:rsidR="00D94072" w:rsidRPr="00F56CF4">
        <w:t>would be more reliable th</w:t>
      </w:r>
      <w:r w:rsidR="0092209D" w:rsidRPr="00F56CF4">
        <w:t>a</w:t>
      </w:r>
      <w:r w:rsidR="00D94072" w:rsidRPr="00F56CF4">
        <w:t>n a longer timeframe</w:t>
      </w:r>
      <w:r w:rsidR="0092209D" w:rsidRPr="00F56CF4">
        <w:t xml:space="preserve">. </w:t>
      </w:r>
    </w:p>
    <w:p w14:paraId="1376CAE5" w14:textId="77777777" w:rsidR="002E51B7" w:rsidRPr="00F56CF4" w:rsidRDefault="001A1D96" w:rsidP="0092209D">
      <w:pPr>
        <w:pStyle w:val="ListParagraph"/>
        <w:numPr>
          <w:ilvl w:val="0"/>
          <w:numId w:val="14"/>
        </w:numPr>
      </w:pPr>
      <w:r w:rsidRPr="00F56CF4">
        <w:t xml:space="preserve">Thorough vetting of </w:t>
      </w:r>
      <w:r w:rsidR="0092209D" w:rsidRPr="00F56CF4">
        <w:t xml:space="preserve">EE </w:t>
      </w:r>
      <w:r w:rsidRPr="00F56CF4">
        <w:t xml:space="preserve">budget applications </w:t>
      </w:r>
      <w:r w:rsidR="0092209D" w:rsidRPr="00F56CF4">
        <w:t>(</w:t>
      </w:r>
      <w:r w:rsidRPr="00F56CF4">
        <w:t>with reliable forecasting</w:t>
      </w:r>
      <w:r w:rsidR="0092209D" w:rsidRPr="00F56CF4">
        <w:t>)</w:t>
      </w:r>
      <w:r w:rsidRPr="00F56CF4">
        <w:t xml:space="preserve"> would allow for ministerial review of mid-cycle filings, as originally envisioned with Annual Budget Advice Letters in D.15-10-028</w:t>
      </w:r>
      <w:r w:rsidRPr="00F56CF4">
        <w:rPr>
          <w:rStyle w:val="FootnoteReference"/>
        </w:rPr>
        <w:footnoteReference w:id="1"/>
      </w:r>
    </w:p>
    <w:p w14:paraId="3E2F68B5" w14:textId="14143A69" w:rsidR="001A1D96" w:rsidRPr="00F56CF4" w:rsidRDefault="002E51B7" w:rsidP="0092209D">
      <w:pPr>
        <w:pStyle w:val="ListParagraph"/>
        <w:numPr>
          <w:ilvl w:val="0"/>
          <w:numId w:val="14"/>
        </w:numPr>
      </w:pPr>
      <w:r w:rsidRPr="00F56CF4">
        <w:t>Reliable budget forecasting and thorough vetting would allow for ministerial mid-cycle filings and thus reduced regulatory churn (note: a concern with a longer cycle is that budget forecasting is not reliable, so mid-cycle filings must be substantial, effectively turning a 6-year cycle into a 3-year cycle).</w:t>
      </w:r>
    </w:p>
    <w:p w14:paraId="6500EF85" w14:textId="52268250" w:rsidR="00B929A9" w:rsidRPr="00F56CF4" w:rsidRDefault="00B929A9" w:rsidP="0092209D">
      <w:pPr>
        <w:pStyle w:val="ListParagraph"/>
        <w:numPr>
          <w:ilvl w:val="0"/>
          <w:numId w:val="14"/>
        </w:numPr>
      </w:pPr>
      <w:r w:rsidRPr="00F56CF4">
        <w:lastRenderedPageBreak/>
        <w:t xml:space="preserve">A shorter </w:t>
      </w:r>
      <w:r w:rsidR="002E51B7" w:rsidRPr="00F56CF4">
        <w:t xml:space="preserve">4-year (vs.6-year) </w:t>
      </w:r>
      <w:r w:rsidRPr="00F56CF4">
        <w:t xml:space="preserve">cycle would allow PAs to be more responsive to market and policy changes </w:t>
      </w:r>
    </w:p>
    <w:p w14:paraId="2795FDE8" w14:textId="3913773D" w:rsidR="001A1D96" w:rsidRPr="00F56CF4" w:rsidRDefault="002E51B7">
      <w:pPr>
        <w:pStyle w:val="ListParagraph"/>
        <w:numPr>
          <w:ilvl w:val="0"/>
          <w:numId w:val="14"/>
        </w:numPr>
      </w:pPr>
      <w:r w:rsidRPr="00F56CF4">
        <w:t>Conversely, the 4-year cycle (as compared with the Annual Budget Advice Letter cycle) a</w:t>
      </w:r>
      <w:r w:rsidR="0092209D" w:rsidRPr="00F56CF4">
        <w:t>llows for longe</w:t>
      </w:r>
      <w:r w:rsidRPr="00F56CF4">
        <w:t>r</w:t>
      </w:r>
      <w:r w:rsidR="0092209D" w:rsidRPr="00F56CF4">
        <w:t xml:space="preserve"> planning time horizon</w:t>
      </w:r>
    </w:p>
    <w:p w14:paraId="67CD4F5B" w14:textId="2A620E81" w:rsidR="00E81A06" w:rsidRPr="00F56CF4" w:rsidRDefault="00E81A06">
      <w:pPr>
        <w:pStyle w:val="ListParagraph"/>
        <w:numPr>
          <w:ilvl w:val="0"/>
          <w:numId w:val="14"/>
        </w:numPr>
      </w:pPr>
      <w:proofErr w:type="gramStart"/>
      <w:r w:rsidRPr="00F56CF4">
        <w:t>And ???</w:t>
      </w:r>
      <w:proofErr w:type="gramEnd"/>
    </w:p>
    <w:p w14:paraId="61C6AC98" w14:textId="2F59510F" w:rsidR="00E81A06" w:rsidRDefault="00E81A06" w:rsidP="00BB4C25">
      <w:pPr>
        <w:pStyle w:val="ListParagraph"/>
      </w:pPr>
    </w:p>
    <w:p w14:paraId="0EBD29FE" w14:textId="555F456A" w:rsidR="00E81A06" w:rsidRPr="00F56CF4" w:rsidRDefault="00E81A06" w:rsidP="002E51B7">
      <w:pPr>
        <w:rPr>
          <w:highlight w:val="yellow"/>
        </w:rPr>
      </w:pPr>
      <w:r w:rsidRPr="00F56CF4">
        <w:rPr>
          <w:i/>
          <w:iCs/>
          <w:highlight w:val="yellow"/>
        </w:rPr>
        <w:t>Note</w:t>
      </w:r>
      <w:r w:rsidR="00BB4C25" w:rsidRPr="00F56CF4">
        <w:rPr>
          <w:i/>
          <w:iCs/>
          <w:highlight w:val="yellow"/>
        </w:rPr>
        <w:t xml:space="preserve"> to 4 year WG—You may want to mention and then address these to strengthen your proposal</w:t>
      </w:r>
      <w:r w:rsidRPr="00F56CF4">
        <w:rPr>
          <w:highlight w:val="yellow"/>
        </w:rPr>
        <w:t xml:space="preserve">: </w:t>
      </w:r>
      <w:proofErr w:type="gramStart"/>
      <w:r w:rsidR="007B6280" w:rsidRPr="00F56CF4">
        <w:rPr>
          <w:highlight w:val="yellow"/>
        </w:rPr>
        <w:t>some  con</w:t>
      </w:r>
      <w:r w:rsidR="002E51B7" w:rsidRPr="00F56CF4">
        <w:rPr>
          <w:highlight w:val="yellow"/>
        </w:rPr>
        <w:t>cerns</w:t>
      </w:r>
      <w:proofErr w:type="gramEnd"/>
      <w:r w:rsidR="002E51B7" w:rsidRPr="00F56CF4">
        <w:rPr>
          <w:highlight w:val="yellow"/>
        </w:rPr>
        <w:t xml:space="preserve"> with </w:t>
      </w:r>
      <w:r w:rsidR="007B6280" w:rsidRPr="00F56CF4">
        <w:rPr>
          <w:highlight w:val="yellow"/>
        </w:rPr>
        <w:t xml:space="preserve">a </w:t>
      </w:r>
      <w:r w:rsidR="002E51B7" w:rsidRPr="00F56CF4">
        <w:rPr>
          <w:highlight w:val="yellow"/>
        </w:rPr>
        <w:t>4-year cycle</w:t>
      </w:r>
      <w:r w:rsidR="007B6280" w:rsidRPr="00F56CF4">
        <w:rPr>
          <w:highlight w:val="yellow"/>
        </w:rPr>
        <w:t xml:space="preserve"> </w:t>
      </w:r>
      <w:r w:rsidRPr="00F56CF4">
        <w:rPr>
          <w:highlight w:val="yellow"/>
        </w:rPr>
        <w:t>were posed during the Working Group process including:</w:t>
      </w:r>
      <w:r w:rsidR="007B6280" w:rsidRPr="00F56CF4">
        <w:rPr>
          <w:highlight w:val="yellow"/>
        </w:rPr>
        <w:t xml:space="preserve">. </w:t>
      </w:r>
    </w:p>
    <w:p w14:paraId="42A1DF9D" w14:textId="57977D8E" w:rsidR="002E51B7" w:rsidRPr="00F56CF4" w:rsidRDefault="002E51B7" w:rsidP="00BB4C25">
      <w:pPr>
        <w:pStyle w:val="ListParagraph"/>
        <w:numPr>
          <w:ilvl w:val="0"/>
          <w:numId w:val="21"/>
        </w:numPr>
        <w:rPr>
          <w:highlight w:val="yellow"/>
        </w:rPr>
      </w:pPr>
      <w:r w:rsidRPr="00F56CF4">
        <w:rPr>
          <w:highlight w:val="yellow"/>
        </w:rPr>
        <w:t>Reduces implementer certainty</w:t>
      </w:r>
      <w:r w:rsidR="00BA6FF2" w:rsidRPr="00F56CF4">
        <w:rPr>
          <w:highlight w:val="yellow"/>
        </w:rPr>
        <w:t>, as compared with a 6-year cycle or the current Business Plan/ABAL cycle</w:t>
      </w:r>
      <w:r w:rsidRPr="00F56CF4">
        <w:rPr>
          <w:highlight w:val="yellow"/>
        </w:rPr>
        <w:t xml:space="preserve">. </w:t>
      </w:r>
      <w:r w:rsidR="007B6280" w:rsidRPr="00F56CF4">
        <w:rPr>
          <w:highlight w:val="yellow"/>
        </w:rPr>
        <w:t>Address</w:t>
      </w:r>
      <w:r w:rsidRPr="00F56CF4">
        <w:rPr>
          <w:highlight w:val="yellow"/>
        </w:rPr>
        <w:t xml:space="preserve"> this by allowing 3</w:t>
      </w:r>
      <w:r w:rsidRPr="00F56CF4">
        <w:rPr>
          <w:highlight w:val="yellow"/>
          <w:vertAlign w:val="superscript"/>
        </w:rPr>
        <w:t>rd</w:t>
      </w:r>
      <w:r w:rsidRPr="00F56CF4">
        <w:rPr>
          <w:highlight w:val="yellow"/>
        </w:rPr>
        <w:t xml:space="preserve"> party implementation funds to rollover.</w:t>
      </w:r>
      <w:r w:rsidR="00DC13F6" w:rsidRPr="00F56CF4">
        <w:rPr>
          <w:highlight w:val="yellow"/>
        </w:rPr>
        <w:t xml:space="preserve"> (How should this be incorporated into the proposal?)</w:t>
      </w:r>
    </w:p>
    <w:p w14:paraId="45EE6634" w14:textId="1FD3E378" w:rsidR="002E51B7" w:rsidRPr="00F56CF4" w:rsidRDefault="002E51B7" w:rsidP="002E51B7">
      <w:pPr>
        <w:pStyle w:val="ListParagraph"/>
        <w:numPr>
          <w:ilvl w:val="0"/>
          <w:numId w:val="17"/>
        </w:numPr>
        <w:rPr>
          <w:highlight w:val="yellow"/>
        </w:rPr>
      </w:pPr>
      <w:r w:rsidRPr="00F56CF4">
        <w:rPr>
          <w:highlight w:val="yellow"/>
        </w:rPr>
        <w:t xml:space="preserve">If </w:t>
      </w:r>
      <w:r w:rsidR="007B6280" w:rsidRPr="00F56CF4">
        <w:rPr>
          <w:highlight w:val="yellow"/>
        </w:rPr>
        <w:t xml:space="preserve">relevant policy advice is not stable in advance, regulatory churn will </w:t>
      </w:r>
      <w:r w:rsidR="00BA6FF2" w:rsidRPr="00F56CF4">
        <w:rPr>
          <w:highlight w:val="yellow"/>
        </w:rPr>
        <w:t>not be alleviated by a 4-year cycle w/robust reasonableness showing</w:t>
      </w:r>
      <w:r w:rsidR="007B6280" w:rsidRPr="00F56CF4">
        <w:rPr>
          <w:highlight w:val="yellow"/>
        </w:rPr>
        <w:t xml:space="preserve">. Address this by ensuring stable policy </w:t>
      </w:r>
      <w:r w:rsidR="00DC13F6" w:rsidRPr="00F56CF4">
        <w:rPr>
          <w:highlight w:val="yellow"/>
        </w:rPr>
        <w:t xml:space="preserve">framework </w:t>
      </w:r>
      <w:r w:rsidR="007B6280" w:rsidRPr="00F56CF4">
        <w:rPr>
          <w:highlight w:val="yellow"/>
        </w:rPr>
        <w:t>6-9 months in advance</w:t>
      </w:r>
      <w:r w:rsidR="00DC13F6" w:rsidRPr="00F56CF4">
        <w:rPr>
          <w:highlight w:val="yellow"/>
        </w:rPr>
        <w:t xml:space="preserve"> (as noted in the proposal below)</w:t>
      </w:r>
      <w:r w:rsidR="007B6280" w:rsidRPr="00F56CF4">
        <w:rPr>
          <w:highlight w:val="yellow"/>
        </w:rPr>
        <w:t>.</w:t>
      </w:r>
    </w:p>
    <w:p w14:paraId="1FBDB77E" w14:textId="06EAC298" w:rsidR="007B6280" w:rsidRPr="00F56CF4" w:rsidRDefault="007B6280" w:rsidP="00DC13F6">
      <w:pPr>
        <w:pStyle w:val="ListParagraph"/>
        <w:numPr>
          <w:ilvl w:val="0"/>
          <w:numId w:val="17"/>
        </w:numPr>
        <w:rPr>
          <w:highlight w:val="yellow"/>
        </w:rPr>
      </w:pPr>
      <w:r w:rsidRPr="00F56CF4">
        <w:rPr>
          <w:highlight w:val="yellow"/>
        </w:rPr>
        <w:t>Filings must begin two years before actual filings, so forecasts must actually forecast 6 years in advance, which does not allow for reliable forecasting. (Is this accurate/how address?)</w:t>
      </w:r>
    </w:p>
    <w:p w14:paraId="773801CE" w14:textId="5927A675" w:rsidR="00E81A06" w:rsidRPr="00F56CF4" w:rsidRDefault="00E81A06" w:rsidP="00E81A06">
      <w:pPr>
        <w:rPr>
          <w:highlight w:val="yellow"/>
        </w:rPr>
      </w:pPr>
    </w:p>
    <w:p w14:paraId="6129AF24" w14:textId="7A2233DF" w:rsidR="00E81A06" w:rsidRPr="00F56CF4" w:rsidRDefault="00E81A06" w:rsidP="00E81A06">
      <w:pPr>
        <w:rPr>
          <w:highlight w:val="yellow"/>
        </w:rPr>
      </w:pPr>
      <w:r w:rsidRPr="00F56CF4">
        <w:rPr>
          <w:highlight w:val="yellow"/>
        </w:rPr>
        <w:t>We believe that these can be addressed/minimized as follows:</w:t>
      </w:r>
    </w:p>
    <w:p w14:paraId="0D2CE82D" w14:textId="77777777" w:rsidR="00E81A06" w:rsidRPr="00BB4C25" w:rsidRDefault="00E81A06" w:rsidP="00BB4C25">
      <w:pPr>
        <w:pStyle w:val="ListParagraph"/>
        <w:numPr>
          <w:ilvl w:val="0"/>
          <w:numId w:val="22"/>
        </w:numPr>
        <w:rPr>
          <w:highlight w:val="yellow"/>
          <w:u w:val="single"/>
        </w:rPr>
      </w:pPr>
    </w:p>
    <w:p w14:paraId="59DCDCC1" w14:textId="77777777" w:rsidR="00BD6FBD" w:rsidRDefault="00BD6FBD" w:rsidP="00396A45">
      <w:pPr>
        <w:rPr>
          <w:b/>
          <w:bCs/>
          <w:u w:val="single"/>
        </w:rPr>
      </w:pPr>
    </w:p>
    <w:p w14:paraId="1E535A4A" w14:textId="40A30985" w:rsidR="00054056" w:rsidRPr="00F56CF4" w:rsidRDefault="00DB1863" w:rsidP="00DC13F6">
      <w:pPr>
        <w:pStyle w:val="ListParagraph"/>
        <w:numPr>
          <w:ilvl w:val="0"/>
          <w:numId w:val="15"/>
        </w:numPr>
        <w:rPr>
          <w:rFonts w:eastAsia="Times New Roman" w:cstheme="minorHAnsi"/>
        </w:rPr>
      </w:pPr>
      <w:r w:rsidRPr="00F56CF4">
        <w:rPr>
          <w:b/>
          <w:bCs/>
        </w:rPr>
        <w:t xml:space="preserve">4-Year </w:t>
      </w:r>
      <w:r w:rsidR="00EB1DAA" w:rsidRPr="00F56CF4">
        <w:rPr>
          <w:b/>
          <w:bCs/>
        </w:rPr>
        <w:t xml:space="preserve">EE </w:t>
      </w:r>
      <w:r w:rsidR="0077208B" w:rsidRPr="00F56CF4">
        <w:rPr>
          <w:b/>
          <w:bCs/>
        </w:rPr>
        <w:t>Budget</w:t>
      </w:r>
      <w:r w:rsidR="00EB1DAA" w:rsidRPr="00F56CF4">
        <w:rPr>
          <w:b/>
          <w:bCs/>
        </w:rPr>
        <w:t xml:space="preserve"> </w:t>
      </w:r>
      <w:r w:rsidR="0077208B" w:rsidRPr="00F56CF4">
        <w:rPr>
          <w:b/>
          <w:bCs/>
        </w:rPr>
        <w:t>Application</w:t>
      </w:r>
      <w:r w:rsidR="007D47A4" w:rsidRPr="00F56CF4">
        <w:rPr>
          <w:rStyle w:val="FootnoteReference"/>
          <w:b/>
          <w:bCs/>
        </w:rPr>
        <w:footnoteReference w:id="2"/>
      </w:r>
    </w:p>
    <w:p w14:paraId="23EE23AE" w14:textId="77777777" w:rsidR="00396A45" w:rsidRPr="00396A45" w:rsidRDefault="00396A45" w:rsidP="00396A45">
      <w:pPr>
        <w:rPr>
          <w:rFonts w:eastAsia="Times New Roman" w:cstheme="minorHAnsi"/>
        </w:rPr>
      </w:pPr>
    </w:p>
    <w:p w14:paraId="6DE81F87" w14:textId="74C5CFA8" w:rsidR="00063409" w:rsidRPr="00054056" w:rsidRDefault="00054056" w:rsidP="00054056">
      <w:pPr>
        <w:spacing w:after="200" w:line="276" w:lineRule="auto"/>
        <w:rPr>
          <w:rFonts w:eastAsia="Calibri" w:cs="Times New Roman"/>
          <w:bCs/>
          <w:i/>
          <w:iCs/>
        </w:rPr>
      </w:pPr>
      <w:r>
        <w:rPr>
          <w:rFonts w:eastAsia="Calibri" w:cs="Times New Roman"/>
          <w:bCs/>
          <w:i/>
        </w:rPr>
        <w:t>A</w:t>
      </w:r>
      <w:r w:rsidRPr="00054056">
        <w:rPr>
          <w:rFonts w:eastAsia="Calibri" w:cs="Times New Roman"/>
          <w:bCs/>
          <w:i/>
        </w:rPr>
        <w:t xml:space="preserve">t the end of the 11/20 WG Meeting, the group was leaning toward a hybrid approach of </w:t>
      </w:r>
      <w:r w:rsidRPr="00054056">
        <w:rPr>
          <w:i/>
          <w:iCs/>
        </w:rPr>
        <w:t xml:space="preserve">Options 1: </w:t>
      </w:r>
      <w:r w:rsidRPr="00054056">
        <w:rPr>
          <w:rFonts w:eastAsia="Calibri" w:cs="Times New Roman"/>
          <w:i/>
          <w:iCs/>
        </w:rPr>
        <w:t>Robust Reasonableness Showing with Full-Cycle Budget, Savings, and Cost-Effectiveness</w:t>
      </w:r>
      <w:r w:rsidRPr="00054056">
        <w:rPr>
          <w:i/>
          <w:iCs/>
        </w:rPr>
        <w:t xml:space="preserve"> </w:t>
      </w:r>
      <w:r w:rsidR="00BD6FBD">
        <w:rPr>
          <w:i/>
          <w:iCs/>
        </w:rPr>
        <w:t>and</w:t>
      </w:r>
      <w:r w:rsidRPr="00054056">
        <w:rPr>
          <w:i/>
          <w:iCs/>
        </w:rPr>
        <w:t xml:space="preserve"> Option 2: </w:t>
      </w:r>
      <w:r w:rsidRPr="00054056">
        <w:rPr>
          <w:rFonts w:eastAsia="Calibri" w:cs="Times New Roman"/>
          <w:i/>
          <w:iCs/>
        </w:rPr>
        <w:t>Robust Reasonableness Showing with Test Year and Attrition Years</w:t>
      </w:r>
      <w:r>
        <w:rPr>
          <w:rFonts w:eastAsia="Calibri" w:cs="Times New Roman"/>
          <w:i/>
          <w:iCs/>
        </w:rPr>
        <w:t>. In this hybrid approach, all PA and 3P “</w:t>
      </w:r>
      <w:r w:rsidRPr="00054056">
        <w:rPr>
          <w:rFonts w:eastAsia="Calibri" w:cs="Times New Roman"/>
          <w:i/>
          <w:iCs/>
        </w:rPr>
        <w:t xml:space="preserve">non-program costs” </w:t>
      </w:r>
      <w:r w:rsidR="00D94072">
        <w:rPr>
          <w:rFonts w:eastAsia="Calibri" w:cs="Times New Roman"/>
          <w:i/>
          <w:iCs/>
        </w:rPr>
        <w:t xml:space="preserve">(aka administrative costs) </w:t>
      </w:r>
      <w:r w:rsidRPr="00054056">
        <w:rPr>
          <w:rFonts w:eastAsia="Calibri" w:cs="Times New Roman"/>
          <w:i/>
          <w:iCs/>
        </w:rPr>
        <w:t>would follow a test year/attrition approach and all PA and 3</w:t>
      </w:r>
      <w:r w:rsidRPr="00054056">
        <w:rPr>
          <w:rFonts w:eastAsia="Calibri" w:cs="Times New Roman"/>
          <w:i/>
          <w:iCs/>
          <w:vertAlign w:val="superscript"/>
        </w:rPr>
        <w:t>rd</w:t>
      </w:r>
      <w:r w:rsidRPr="00054056">
        <w:rPr>
          <w:rFonts w:eastAsia="Calibri" w:cs="Times New Roman"/>
          <w:i/>
          <w:iCs/>
        </w:rPr>
        <w:t xml:space="preserve"> Party program costs would follow a forecast approach for the full application period</w:t>
      </w:r>
      <w:r>
        <w:rPr>
          <w:rFonts w:eastAsia="Calibri" w:cs="Times New Roman"/>
          <w:i/>
          <w:iCs/>
        </w:rPr>
        <w:t>.</w:t>
      </w:r>
    </w:p>
    <w:p w14:paraId="5FDC27B5" w14:textId="70A44327" w:rsidR="00FF7CF6" w:rsidRPr="007D47A4" w:rsidRDefault="00054056" w:rsidP="00C31278">
      <w:pPr>
        <w:spacing w:after="200" w:line="276" w:lineRule="auto"/>
        <w:ind w:left="360"/>
        <w:rPr>
          <w:rFonts w:eastAsia="Calibri" w:cs="Times New Roman"/>
          <w:b/>
          <w:iCs/>
        </w:rPr>
      </w:pPr>
      <w:r>
        <w:rPr>
          <w:rFonts w:eastAsia="Calibri" w:cs="Times New Roman"/>
          <w:b/>
          <w:iCs/>
        </w:rPr>
        <w:t>Non-Program Costs</w:t>
      </w:r>
      <w:r w:rsidR="00FF7CF6" w:rsidRPr="007D47A4">
        <w:rPr>
          <w:rFonts w:eastAsia="Calibri" w:cs="Times New Roman"/>
          <w:b/>
          <w:iCs/>
        </w:rPr>
        <w:t xml:space="preserve">: </w:t>
      </w:r>
      <w:r>
        <w:rPr>
          <w:rFonts w:eastAsia="Calibri" w:cs="Times New Roman"/>
          <w:b/>
          <w:iCs/>
        </w:rPr>
        <w:t xml:space="preserve">Robust Reasonableness Showing for </w:t>
      </w:r>
      <w:r w:rsidR="00FF7CF6" w:rsidRPr="007D47A4">
        <w:rPr>
          <w:rFonts w:eastAsia="Calibri" w:cs="Times New Roman"/>
          <w:b/>
          <w:iCs/>
        </w:rPr>
        <w:t xml:space="preserve">Full-Cycle </w:t>
      </w:r>
    </w:p>
    <w:p w14:paraId="11C1E405" w14:textId="6A9895A8" w:rsidR="00FF7CF6" w:rsidRPr="007D47A4" w:rsidRDefault="00054056" w:rsidP="00C31278">
      <w:pPr>
        <w:pStyle w:val="ListParagraph"/>
        <w:numPr>
          <w:ilvl w:val="0"/>
          <w:numId w:val="3"/>
        </w:numPr>
        <w:spacing w:after="200" w:line="276" w:lineRule="auto"/>
        <w:ind w:left="1080"/>
        <w:rPr>
          <w:rFonts w:eastAsia="Calibri" w:cs="Times New Roman"/>
        </w:rPr>
      </w:pPr>
      <w:r>
        <w:rPr>
          <w:rFonts w:eastAsia="Calibri" w:cs="Times New Roman"/>
        </w:rPr>
        <w:t xml:space="preserve">Robust Reasonableness Showing: </w:t>
      </w:r>
      <w:r w:rsidR="00DB1863" w:rsidRPr="007D47A4">
        <w:rPr>
          <w:rFonts w:eastAsia="Calibri" w:cs="Times New Roman"/>
        </w:rPr>
        <w:t>B</w:t>
      </w:r>
      <w:r w:rsidR="00FF7CF6" w:rsidRPr="007D47A4">
        <w:rPr>
          <w:rFonts w:eastAsia="Calibri" w:cs="Times New Roman"/>
        </w:rPr>
        <w:t xml:space="preserve">udget, savings, and </w:t>
      </w:r>
      <w:r w:rsidR="00DB1863" w:rsidRPr="007D47A4">
        <w:rPr>
          <w:rFonts w:eastAsia="Calibri" w:cs="Times New Roman"/>
        </w:rPr>
        <w:t>CE</w:t>
      </w:r>
      <w:r w:rsidR="00FF7CF6" w:rsidRPr="007D47A4">
        <w:rPr>
          <w:rFonts w:eastAsia="Calibri" w:cs="Times New Roman"/>
        </w:rPr>
        <w:t xml:space="preserve"> forecasts</w:t>
      </w:r>
      <w:r w:rsidR="00DB1863" w:rsidRPr="007D47A4">
        <w:rPr>
          <w:rFonts w:eastAsia="Calibri" w:cs="Times New Roman"/>
        </w:rPr>
        <w:t xml:space="preserve"> – detailed testimony to demonstrate the reasonableness of forecasts</w:t>
      </w:r>
    </w:p>
    <w:p w14:paraId="39EC4EB4" w14:textId="229FD679" w:rsidR="00FF7CF6" w:rsidRPr="007D47A4" w:rsidRDefault="00FF7CF6" w:rsidP="00C31278">
      <w:pPr>
        <w:pStyle w:val="ListParagraph"/>
        <w:numPr>
          <w:ilvl w:val="0"/>
          <w:numId w:val="3"/>
        </w:numPr>
        <w:spacing w:after="200" w:line="276" w:lineRule="auto"/>
        <w:ind w:left="1080"/>
        <w:rPr>
          <w:rFonts w:eastAsia="Calibri" w:cs="Times New Roman"/>
        </w:rPr>
      </w:pPr>
      <w:r w:rsidRPr="007D47A4">
        <w:rPr>
          <w:rFonts w:eastAsia="Calibri" w:cs="Times New Roman"/>
        </w:rPr>
        <w:t>Zero-based budgeting</w:t>
      </w:r>
      <w:r w:rsidR="00C31278" w:rsidRPr="007D47A4">
        <w:rPr>
          <w:rFonts w:eastAsia="Calibri" w:cs="Times New Roman"/>
        </w:rPr>
        <w:t xml:space="preserve"> </w:t>
      </w:r>
    </w:p>
    <w:p w14:paraId="51EBAF76" w14:textId="2598691C" w:rsidR="00C31278" w:rsidRPr="007D47A4" w:rsidRDefault="00C31278" w:rsidP="00C31278">
      <w:pPr>
        <w:pStyle w:val="ListParagraph"/>
        <w:numPr>
          <w:ilvl w:val="0"/>
          <w:numId w:val="3"/>
        </w:numPr>
        <w:spacing w:after="200" w:line="276" w:lineRule="auto"/>
        <w:ind w:left="1080"/>
        <w:rPr>
          <w:rFonts w:eastAsia="Calibri" w:cs="Times New Roman"/>
        </w:rPr>
      </w:pPr>
      <w:r w:rsidRPr="007D47A4">
        <w:rPr>
          <w:rFonts w:eastAsia="Calibri" w:cs="Times New Roman"/>
        </w:rPr>
        <w:lastRenderedPageBreak/>
        <w:t>Applicant showing covers all four years</w:t>
      </w:r>
    </w:p>
    <w:p w14:paraId="32BA2FD0" w14:textId="297BBA96" w:rsidR="00FF7CF6" w:rsidRPr="007D47A4" w:rsidRDefault="00054056" w:rsidP="00527BCD">
      <w:pPr>
        <w:spacing w:after="200" w:line="276" w:lineRule="auto"/>
        <w:ind w:left="360"/>
        <w:rPr>
          <w:rFonts w:eastAsia="Calibri" w:cs="Times New Roman"/>
          <w:iCs/>
        </w:rPr>
      </w:pPr>
      <w:r>
        <w:rPr>
          <w:rFonts w:eastAsia="Calibri" w:cs="Times New Roman"/>
          <w:b/>
          <w:iCs/>
        </w:rPr>
        <w:t>Program Costs</w:t>
      </w:r>
      <w:r w:rsidR="00FF7CF6" w:rsidRPr="007D47A4">
        <w:rPr>
          <w:rFonts w:eastAsia="Calibri" w:cs="Times New Roman"/>
          <w:b/>
          <w:iCs/>
        </w:rPr>
        <w:t xml:space="preserve">: </w:t>
      </w:r>
      <w:r>
        <w:rPr>
          <w:rFonts w:eastAsia="Calibri" w:cs="Times New Roman"/>
          <w:b/>
          <w:iCs/>
        </w:rPr>
        <w:t xml:space="preserve">Robust Reasonableness Showing for </w:t>
      </w:r>
      <w:r w:rsidR="00FF7CF6" w:rsidRPr="007D47A4">
        <w:rPr>
          <w:rFonts w:eastAsia="Calibri" w:cs="Times New Roman"/>
          <w:b/>
          <w:iCs/>
        </w:rPr>
        <w:t>Test Year and Attrition Years</w:t>
      </w:r>
    </w:p>
    <w:p w14:paraId="7DA878FF" w14:textId="07BEA37A" w:rsidR="00DB1863" w:rsidRPr="007D47A4" w:rsidRDefault="00DB1863" w:rsidP="00DB1863">
      <w:pPr>
        <w:pStyle w:val="ListParagraph"/>
        <w:numPr>
          <w:ilvl w:val="0"/>
          <w:numId w:val="5"/>
        </w:numPr>
        <w:spacing w:after="200" w:line="276" w:lineRule="auto"/>
        <w:rPr>
          <w:rFonts w:eastAsia="Calibri" w:cs="Times New Roman"/>
        </w:rPr>
      </w:pPr>
      <w:r w:rsidRPr="007D47A4">
        <w:rPr>
          <w:rFonts w:eastAsia="Calibri" w:cs="Times New Roman"/>
        </w:rPr>
        <w:t>Budget, savings, and CE forecasts – detailed testimony to demonstrate the reasonableness of forecasts</w:t>
      </w:r>
      <w:r w:rsidR="005B13F1">
        <w:rPr>
          <w:rFonts w:eastAsia="Calibri" w:cs="Times New Roman"/>
        </w:rPr>
        <w:t xml:space="preserve"> </w:t>
      </w:r>
    </w:p>
    <w:p w14:paraId="6F06AC8A" w14:textId="77777777" w:rsidR="00DB1863" w:rsidRPr="007D47A4" w:rsidRDefault="00DB1863" w:rsidP="00DB1863">
      <w:pPr>
        <w:pStyle w:val="ListParagraph"/>
        <w:numPr>
          <w:ilvl w:val="0"/>
          <w:numId w:val="5"/>
        </w:numPr>
        <w:spacing w:after="200" w:line="276" w:lineRule="auto"/>
        <w:rPr>
          <w:rFonts w:eastAsia="Calibri" w:cs="Times New Roman"/>
        </w:rPr>
      </w:pPr>
      <w:r w:rsidRPr="007D47A4">
        <w:rPr>
          <w:rFonts w:eastAsia="Calibri" w:cs="Times New Roman"/>
        </w:rPr>
        <w:t>Zero-based budgeting</w:t>
      </w:r>
    </w:p>
    <w:p w14:paraId="219779A1" w14:textId="77777777" w:rsidR="00DB1863" w:rsidRPr="007D47A4" w:rsidRDefault="00C31278" w:rsidP="00DB1863">
      <w:pPr>
        <w:pStyle w:val="ListParagraph"/>
        <w:numPr>
          <w:ilvl w:val="0"/>
          <w:numId w:val="5"/>
        </w:numPr>
        <w:spacing w:after="200" w:line="276" w:lineRule="auto"/>
        <w:rPr>
          <w:rFonts w:eastAsia="Calibri" w:cs="Times New Roman"/>
        </w:rPr>
      </w:pPr>
      <w:r w:rsidRPr="007D47A4">
        <w:rPr>
          <w:rFonts w:eastAsia="Calibri" w:cs="Times New Roman"/>
        </w:rPr>
        <w:t>Applicant showing cover</w:t>
      </w:r>
      <w:r w:rsidR="00DB1863" w:rsidRPr="007D47A4">
        <w:rPr>
          <w:rFonts w:eastAsia="Calibri" w:cs="Times New Roman"/>
        </w:rPr>
        <w:t>s</w:t>
      </w:r>
      <w:r w:rsidRPr="007D47A4">
        <w:rPr>
          <w:rFonts w:eastAsia="Calibri" w:cs="Times New Roman"/>
        </w:rPr>
        <w:t xml:space="preserve"> </w:t>
      </w:r>
      <w:r w:rsidR="00DB1863" w:rsidRPr="007D47A4">
        <w:rPr>
          <w:rFonts w:eastAsia="Calibri" w:cs="Times New Roman"/>
        </w:rPr>
        <w:t xml:space="preserve">only </w:t>
      </w:r>
      <w:r w:rsidRPr="007D47A4">
        <w:rPr>
          <w:rFonts w:eastAsia="Calibri" w:cs="Times New Roman"/>
        </w:rPr>
        <w:t>the first year (known as the “test year”) of the application cycle</w:t>
      </w:r>
    </w:p>
    <w:p w14:paraId="27F85A3A" w14:textId="3A98317B" w:rsidR="00DB1863" w:rsidRPr="007D47A4" w:rsidRDefault="00FF7CF6" w:rsidP="00DB1863">
      <w:pPr>
        <w:pStyle w:val="ListParagraph"/>
        <w:numPr>
          <w:ilvl w:val="0"/>
          <w:numId w:val="5"/>
        </w:numPr>
        <w:spacing w:after="200" w:line="276" w:lineRule="auto"/>
        <w:rPr>
          <w:rFonts w:eastAsia="Calibri" w:cs="Times New Roman"/>
        </w:rPr>
      </w:pPr>
      <w:r w:rsidRPr="007D47A4">
        <w:rPr>
          <w:rFonts w:eastAsia="Calibri" w:cs="Times New Roman"/>
        </w:rPr>
        <w:t xml:space="preserve">Budgets for </w:t>
      </w:r>
      <w:r w:rsidR="00DB1863" w:rsidRPr="007D47A4">
        <w:rPr>
          <w:rFonts w:eastAsia="Calibri" w:cs="Times New Roman"/>
        </w:rPr>
        <w:t>next 3 years</w:t>
      </w:r>
      <w:r w:rsidRPr="007D47A4">
        <w:rPr>
          <w:rFonts w:eastAsia="Calibri" w:cs="Times New Roman"/>
        </w:rPr>
        <w:t xml:space="preserve"> </w:t>
      </w:r>
      <w:r w:rsidR="00DB1863" w:rsidRPr="007D47A4">
        <w:rPr>
          <w:rFonts w:eastAsia="Calibri" w:cs="Times New Roman"/>
        </w:rPr>
        <w:t>(</w:t>
      </w:r>
      <w:r w:rsidRPr="007D47A4">
        <w:rPr>
          <w:rFonts w:eastAsia="Calibri" w:cs="Times New Roman"/>
        </w:rPr>
        <w:t>“attrition years”) based on approved budget for the first year, adjusted by a limited range of factors</w:t>
      </w:r>
      <w:r w:rsidR="00DB1863" w:rsidRPr="007D47A4">
        <w:rPr>
          <w:rFonts w:eastAsia="Calibri" w:cs="Times New Roman"/>
        </w:rPr>
        <w:t xml:space="preserve">. Could </w:t>
      </w:r>
      <w:r w:rsidRPr="007D47A4">
        <w:rPr>
          <w:rFonts w:eastAsia="Calibri" w:cs="Times New Roman"/>
        </w:rPr>
        <w:t>include a small escalation factor.</w:t>
      </w:r>
      <w:r w:rsidR="00D75851">
        <w:rPr>
          <w:rStyle w:val="FootnoteReference"/>
          <w:rFonts w:eastAsia="Calibri" w:cs="Times New Roman"/>
        </w:rPr>
        <w:footnoteReference w:id="3"/>
      </w:r>
      <w:r w:rsidR="00D75851" w:rsidRPr="007D47A4" w:rsidDel="00D75851">
        <w:rPr>
          <w:rStyle w:val="FootnoteReference"/>
          <w:rFonts w:eastAsia="Calibri" w:cs="Times New Roman"/>
        </w:rPr>
        <w:t xml:space="preserve"> </w:t>
      </w:r>
    </w:p>
    <w:p w14:paraId="142BDB46" w14:textId="495B1FB7" w:rsidR="008D3CC9" w:rsidRPr="00BB4C25" w:rsidRDefault="00FF7CF6" w:rsidP="00054056">
      <w:pPr>
        <w:pStyle w:val="ListParagraph"/>
        <w:numPr>
          <w:ilvl w:val="0"/>
          <w:numId w:val="5"/>
        </w:numPr>
        <w:spacing w:after="200" w:line="276" w:lineRule="auto"/>
      </w:pPr>
      <w:r w:rsidRPr="007D47A4">
        <w:rPr>
          <w:rFonts w:eastAsia="Calibri" w:cs="Times New Roman"/>
        </w:rPr>
        <w:t>C</w:t>
      </w:r>
      <w:r w:rsidR="00DB1863" w:rsidRPr="007D47A4">
        <w:rPr>
          <w:rFonts w:eastAsia="Calibri" w:cs="Times New Roman"/>
        </w:rPr>
        <w:t>PUC Decision</w:t>
      </w:r>
      <w:r w:rsidRPr="007D47A4">
        <w:rPr>
          <w:rFonts w:eastAsia="Calibri" w:cs="Times New Roman"/>
        </w:rPr>
        <w:t xml:space="preserve"> would approve funding for the test year </w:t>
      </w:r>
      <w:r w:rsidR="00DB1863" w:rsidRPr="007D47A4">
        <w:rPr>
          <w:rFonts w:eastAsia="Calibri" w:cs="Times New Roman"/>
        </w:rPr>
        <w:t>+ attrition years</w:t>
      </w:r>
    </w:p>
    <w:p w14:paraId="47DC8007" w14:textId="77777777" w:rsidR="00D94072" w:rsidRDefault="00D94072" w:rsidP="00BB4C25">
      <w:pPr>
        <w:pStyle w:val="ListParagraph"/>
        <w:spacing w:after="200" w:line="276" w:lineRule="auto"/>
        <w:ind w:left="1080"/>
      </w:pPr>
    </w:p>
    <w:p w14:paraId="318D4CE2" w14:textId="23E179B6" w:rsidR="0077208B" w:rsidRPr="00F56CF4" w:rsidRDefault="0077208B" w:rsidP="00BB4C25">
      <w:pPr>
        <w:pStyle w:val="ListParagraph"/>
        <w:numPr>
          <w:ilvl w:val="0"/>
          <w:numId w:val="15"/>
        </w:numPr>
        <w:rPr>
          <w:b/>
          <w:bCs/>
        </w:rPr>
      </w:pPr>
      <w:r w:rsidRPr="00F56CF4">
        <w:rPr>
          <w:b/>
          <w:bCs/>
        </w:rPr>
        <w:t>Interim Filing</w:t>
      </w:r>
      <w:r w:rsidR="00054056" w:rsidRPr="00F56CF4">
        <w:rPr>
          <w:b/>
          <w:bCs/>
        </w:rPr>
        <w:t>s</w:t>
      </w:r>
    </w:p>
    <w:p w14:paraId="29DBCD56" w14:textId="4BE2B05B" w:rsidR="008909A9" w:rsidRDefault="008909A9" w:rsidP="00054056">
      <w:pPr>
        <w:rPr>
          <w:b/>
          <w:bCs/>
          <w:u w:val="single"/>
        </w:rPr>
      </w:pPr>
    </w:p>
    <w:p w14:paraId="3DD6DF1C" w14:textId="330A4BCC" w:rsidR="005045B8" w:rsidRDefault="00054056" w:rsidP="00054056">
      <w:pPr>
        <w:rPr>
          <w:i/>
          <w:iCs/>
        </w:rPr>
      </w:pPr>
      <w:r>
        <w:rPr>
          <w:i/>
          <w:iCs/>
        </w:rPr>
        <w:t xml:space="preserve">The </w:t>
      </w:r>
      <w:r w:rsidRPr="00054056">
        <w:rPr>
          <w:i/>
          <w:iCs/>
        </w:rPr>
        <w:t>group agreed that trigger</w:t>
      </w:r>
      <w:r>
        <w:rPr>
          <w:i/>
          <w:iCs/>
        </w:rPr>
        <w:t>-</w:t>
      </w:r>
      <w:r w:rsidRPr="00054056">
        <w:rPr>
          <w:i/>
          <w:iCs/>
        </w:rPr>
        <w:t>based mid-cycle filings are needed</w:t>
      </w:r>
      <w:r>
        <w:rPr>
          <w:i/>
          <w:iCs/>
        </w:rPr>
        <w:t xml:space="preserve">. </w:t>
      </w:r>
      <w:r w:rsidRPr="00054056">
        <w:rPr>
          <w:i/>
          <w:iCs/>
        </w:rPr>
        <w:t xml:space="preserve"> Some Members were unsure that a mid-cycle Tier 1 Advice Letter is necessary, though others stated that the Tier 1 Advice Letter as a purely ministerial a certification/stamp of approval that provides an opportunity for accountability and public scrutiny is also important.</w:t>
      </w:r>
      <w:r w:rsidR="005045B8">
        <w:rPr>
          <w:i/>
          <w:iCs/>
        </w:rPr>
        <w:t xml:space="preserve"> </w:t>
      </w:r>
    </w:p>
    <w:p w14:paraId="0A86CA72" w14:textId="77777777" w:rsidR="005045B8" w:rsidRDefault="005045B8" w:rsidP="00054056">
      <w:pPr>
        <w:rPr>
          <w:i/>
          <w:iCs/>
        </w:rPr>
      </w:pPr>
    </w:p>
    <w:p w14:paraId="5294609C" w14:textId="2971DAAF" w:rsidR="00054056" w:rsidRDefault="005045B8" w:rsidP="00054056">
      <w:pPr>
        <w:rPr>
          <w:i/>
          <w:iCs/>
        </w:rPr>
      </w:pPr>
      <w:r>
        <w:rPr>
          <w:i/>
          <w:iCs/>
        </w:rPr>
        <w:t>Members agreed that a trigger-based filing for significant changes is needed, and that a Tier 3 Advice Letter is appropriate. Some Members</w:t>
      </w:r>
      <w:r w:rsidR="00054056" w:rsidRPr="00054056">
        <w:rPr>
          <w:i/>
          <w:iCs/>
        </w:rPr>
        <w:t xml:space="preserve"> questioned whether a Petition for Modification is </w:t>
      </w:r>
      <w:r>
        <w:rPr>
          <w:i/>
          <w:iCs/>
        </w:rPr>
        <w:t xml:space="preserve">an </w:t>
      </w:r>
      <w:r w:rsidR="00054056" w:rsidRPr="00054056">
        <w:rPr>
          <w:i/>
          <w:iCs/>
        </w:rPr>
        <w:t>appropriate</w:t>
      </w:r>
      <w:r>
        <w:rPr>
          <w:i/>
          <w:iCs/>
        </w:rPr>
        <w:t xml:space="preserve"> vehicle for trigger-based filings.</w:t>
      </w:r>
    </w:p>
    <w:p w14:paraId="39AACDB2" w14:textId="68A1F5C3" w:rsidR="005045B8" w:rsidRDefault="005045B8" w:rsidP="00054056">
      <w:pPr>
        <w:rPr>
          <w:i/>
          <w:iCs/>
        </w:rPr>
      </w:pPr>
    </w:p>
    <w:p w14:paraId="66E69E86" w14:textId="59FE0DFA" w:rsidR="00A8228A" w:rsidRPr="00396A45" w:rsidRDefault="005045B8" w:rsidP="00054056">
      <w:pPr>
        <w:rPr>
          <w:i/>
          <w:iCs/>
        </w:rPr>
      </w:pPr>
      <w:r>
        <w:rPr>
          <w:i/>
          <w:iCs/>
        </w:rPr>
        <w:t>In addition, Members made changes in redline to the descriptions of the Mid-Cycle Tier 1 Advice Letter, and the Trigger-Based Filing options during the 11/20 meeting. The updated descriptions are below:</w:t>
      </w:r>
    </w:p>
    <w:p w14:paraId="4A4B56AB" w14:textId="77777777" w:rsidR="00A8228A" w:rsidRDefault="00A8228A" w:rsidP="00810122">
      <w:pPr>
        <w:ind w:left="360"/>
        <w:rPr>
          <w:rFonts w:cs="Times New Roman"/>
          <w:b/>
          <w:bCs/>
        </w:rPr>
      </w:pPr>
    </w:p>
    <w:p w14:paraId="7E0E6798" w14:textId="77777777" w:rsidR="007A62A5" w:rsidRDefault="007A62A5" w:rsidP="00054056">
      <w:pPr>
        <w:rPr>
          <w:rFonts w:cs="Times New Roman"/>
          <w:b/>
          <w:bCs/>
        </w:rPr>
      </w:pPr>
    </w:p>
    <w:p w14:paraId="3E49DC95" w14:textId="4DB04330" w:rsidR="00DB1863" w:rsidRPr="007D47A4" w:rsidRDefault="00DB1863" w:rsidP="00810122">
      <w:pPr>
        <w:ind w:left="360"/>
        <w:rPr>
          <w:rFonts w:cs="Times New Roman"/>
          <w:b/>
          <w:bCs/>
        </w:rPr>
      </w:pPr>
      <w:r w:rsidRPr="007D47A4">
        <w:rPr>
          <w:rFonts w:cs="Times New Roman"/>
          <w:b/>
          <w:bCs/>
        </w:rPr>
        <w:t>Trigger-Based</w:t>
      </w:r>
      <w:r w:rsidR="00810122" w:rsidRPr="007D47A4">
        <w:rPr>
          <w:rFonts w:cs="Times New Roman"/>
          <w:b/>
          <w:bCs/>
        </w:rPr>
        <w:t xml:space="preserve"> – Tier 3 Advice Letter </w:t>
      </w:r>
      <w:r w:rsidR="00EB1DAA">
        <w:rPr>
          <w:rFonts w:cs="Times New Roman"/>
          <w:b/>
          <w:bCs/>
        </w:rPr>
        <w:t xml:space="preserve">(AL) </w:t>
      </w:r>
      <w:r w:rsidR="00810122" w:rsidRPr="007D47A4">
        <w:rPr>
          <w:rFonts w:cs="Times New Roman"/>
          <w:b/>
          <w:bCs/>
        </w:rPr>
        <w:t>or Petition for Modification</w:t>
      </w:r>
      <w:r w:rsidR="00EB1DAA">
        <w:rPr>
          <w:rFonts w:cs="Times New Roman"/>
          <w:b/>
          <w:bCs/>
        </w:rPr>
        <w:t xml:space="preserve"> (PFM)</w:t>
      </w:r>
      <w:r w:rsidRPr="007D47A4">
        <w:rPr>
          <w:rFonts w:cs="Times New Roman"/>
          <w:b/>
          <w:bCs/>
        </w:rPr>
        <w:t>:</w:t>
      </w:r>
    </w:p>
    <w:p w14:paraId="0B29EC91" w14:textId="54B0E2B1" w:rsidR="00810122" w:rsidRPr="007D47A4" w:rsidRDefault="00810122" w:rsidP="00810122">
      <w:pPr>
        <w:pStyle w:val="ListParagraph"/>
        <w:numPr>
          <w:ilvl w:val="0"/>
          <w:numId w:val="7"/>
        </w:numPr>
        <w:ind w:left="1080"/>
        <w:rPr>
          <w:rFonts w:cs="Times New Roman"/>
        </w:rPr>
      </w:pPr>
      <w:r w:rsidRPr="007D47A4">
        <w:rPr>
          <w:rFonts w:cs="Times New Roman"/>
        </w:rPr>
        <w:t>Significant changes would trigger a Tier 3 AL or PFM filing. Triggers</w:t>
      </w:r>
      <w:r w:rsidR="00152DA3">
        <w:rPr>
          <w:rFonts w:cs="Times New Roman"/>
        </w:rPr>
        <w:t xml:space="preserve"> may be backward looking (i.e.</w:t>
      </w:r>
      <w:r w:rsidRPr="007D47A4">
        <w:rPr>
          <w:rFonts w:cs="Times New Roman"/>
        </w:rPr>
        <w:t xml:space="preserve"> based on past performance</w:t>
      </w:r>
      <w:r w:rsidR="00152DA3">
        <w:rPr>
          <w:rFonts w:cs="Times New Roman"/>
        </w:rPr>
        <w:t xml:space="preserve">) </w:t>
      </w:r>
      <w:r w:rsidR="00021B63">
        <w:rPr>
          <w:rFonts w:cs="Times New Roman"/>
        </w:rPr>
        <w:t>and/</w:t>
      </w:r>
      <w:r w:rsidR="00152DA3">
        <w:rPr>
          <w:rFonts w:cs="Times New Roman"/>
        </w:rPr>
        <w:t>or forward looking.</w:t>
      </w:r>
      <w:r w:rsidRPr="007D47A4">
        <w:rPr>
          <w:rFonts w:cs="Times New Roman"/>
        </w:rPr>
        <w:t xml:space="preserve"> </w:t>
      </w:r>
      <w:r w:rsidR="00152DA3">
        <w:rPr>
          <w:rFonts w:cs="Times New Roman"/>
        </w:rPr>
        <w:t xml:space="preserve"> </w:t>
      </w:r>
      <w:r w:rsidR="00C842CF">
        <w:rPr>
          <w:rFonts w:cs="Times New Roman"/>
        </w:rPr>
        <w:t xml:space="preserve">Check-points at 2 </w:t>
      </w:r>
      <w:proofErr w:type="spellStart"/>
      <w:r w:rsidR="00C842CF">
        <w:rPr>
          <w:rFonts w:cs="Times New Roman"/>
        </w:rPr>
        <w:t>yrs</w:t>
      </w:r>
      <w:proofErr w:type="spellEnd"/>
      <w:r w:rsidR="00C842CF">
        <w:rPr>
          <w:rFonts w:cs="Times New Roman"/>
        </w:rPr>
        <w:t xml:space="preserve"> and quarterly(?). </w:t>
      </w:r>
      <w:r w:rsidR="00152DA3">
        <w:rPr>
          <w:rFonts w:cs="Times New Roman"/>
        </w:rPr>
        <w:t>Triggers could</w:t>
      </w:r>
      <w:r w:rsidRPr="007D47A4">
        <w:rPr>
          <w:rFonts w:cs="Times New Roman"/>
        </w:rPr>
        <w:t xml:space="preserve"> include: </w:t>
      </w:r>
    </w:p>
    <w:p w14:paraId="79C0157D" w14:textId="4E753A15" w:rsidR="00810122" w:rsidRPr="007D47A4" w:rsidRDefault="00810122" w:rsidP="00810122">
      <w:pPr>
        <w:pStyle w:val="ListParagraph"/>
        <w:numPr>
          <w:ilvl w:val="1"/>
          <w:numId w:val="7"/>
        </w:numPr>
        <w:ind w:left="1800"/>
        <w:rPr>
          <w:rFonts w:cs="Times New Roman"/>
        </w:rPr>
      </w:pPr>
      <w:r w:rsidRPr="007D47A4">
        <w:rPr>
          <w:rFonts w:cs="Times New Roman"/>
        </w:rPr>
        <w:t xml:space="preserve">Applicant </w:t>
      </w:r>
      <w:r w:rsidR="00C842CF">
        <w:rPr>
          <w:rFonts w:cs="Times New Roman"/>
        </w:rPr>
        <w:t xml:space="preserve">not on track to or </w:t>
      </w:r>
      <w:r w:rsidRPr="007D47A4">
        <w:rPr>
          <w:rFonts w:cs="Times New Roman"/>
        </w:rPr>
        <w:t xml:space="preserve">didn’t meet threshold </w:t>
      </w:r>
      <w:r w:rsidR="005B13F1">
        <w:rPr>
          <w:rFonts w:eastAsia="Calibri" w:cs="Times New Roman"/>
        </w:rPr>
        <w:t>(e.g. significant C/E drop)</w:t>
      </w:r>
      <w:r w:rsidR="00C842CF">
        <w:rPr>
          <w:rFonts w:eastAsia="Calibri" w:cs="Times New Roman"/>
        </w:rPr>
        <w:t xml:space="preserve"> (what level?)</w:t>
      </w:r>
    </w:p>
    <w:p w14:paraId="0BFC61F8" w14:textId="135FEF92" w:rsidR="00810122" w:rsidRPr="007D47A4" w:rsidRDefault="00810122" w:rsidP="00810122">
      <w:pPr>
        <w:pStyle w:val="ListParagraph"/>
        <w:numPr>
          <w:ilvl w:val="1"/>
          <w:numId w:val="7"/>
        </w:numPr>
        <w:ind w:left="1800"/>
        <w:rPr>
          <w:rFonts w:cs="Times New Roman"/>
        </w:rPr>
      </w:pPr>
      <w:r w:rsidRPr="007D47A4">
        <w:rPr>
          <w:rFonts w:cs="Times New Roman"/>
        </w:rPr>
        <w:t xml:space="preserve">Applicant not on track to </w:t>
      </w:r>
      <w:r w:rsidR="00C842CF">
        <w:rPr>
          <w:rFonts w:cs="Times New Roman"/>
        </w:rPr>
        <w:t xml:space="preserve">or didn’t </w:t>
      </w:r>
      <w:r w:rsidRPr="007D47A4">
        <w:rPr>
          <w:rFonts w:cs="Times New Roman"/>
        </w:rPr>
        <w:t>meet savings goals</w:t>
      </w:r>
      <w:r w:rsidR="00C842CF">
        <w:rPr>
          <w:rFonts w:cs="Times New Roman"/>
        </w:rPr>
        <w:t xml:space="preserve"> (what level?)</w:t>
      </w:r>
    </w:p>
    <w:p w14:paraId="51428848" w14:textId="1F5EE972" w:rsidR="00810122" w:rsidRPr="007D47A4" w:rsidRDefault="00810122" w:rsidP="00810122">
      <w:pPr>
        <w:pStyle w:val="ListParagraph"/>
        <w:numPr>
          <w:ilvl w:val="1"/>
          <w:numId w:val="7"/>
        </w:numPr>
        <w:ind w:left="1800"/>
        <w:rPr>
          <w:rFonts w:cs="Times New Roman"/>
        </w:rPr>
      </w:pPr>
      <w:r w:rsidRPr="007D47A4">
        <w:rPr>
          <w:rFonts w:cs="Times New Roman"/>
        </w:rPr>
        <w:t>Insufficient budget</w:t>
      </w:r>
    </w:p>
    <w:p w14:paraId="34D381A2" w14:textId="4B544A42" w:rsidR="00DB1863" w:rsidRDefault="00BF327F" w:rsidP="00810122">
      <w:pPr>
        <w:pStyle w:val="ListParagraph"/>
        <w:numPr>
          <w:ilvl w:val="0"/>
          <w:numId w:val="7"/>
        </w:numPr>
        <w:ind w:left="1080"/>
        <w:rPr>
          <w:rFonts w:cs="Times New Roman"/>
        </w:rPr>
      </w:pPr>
      <w:r>
        <w:rPr>
          <w:rFonts w:cs="Times New Roman"/>
        </w:rPr>
        <w:lastRenderedPageBreak/>
        <w:t>Type</w:t>
      </w:r>
      <w:r w:rsidRPr="007D47A4">
        <w:rPr>
          <w:rFonts w:cs="Times New Roman"/>
        </w:rPr>
        <w:t xml:space="preserve"> </w:t>
      </w:r>
      <w:r w:rsidR="00810122" w:rsidRPr="007D47A4">
        <w:rPr>
          <w:rFonts w:cs="Times New Roman"/>
        </w:rPr>
        <w:t>of the “trigger</w:t>
      </w:r>
      <w:r w:rsidR="007F7AB7">
        <w:rPr>
          <w:rFonts w:cs="Times New Roman"/>
        </w:rPr>
        <w:t>-based</w:t>
      </w:r>
      <w:r w:rsidR="00810122" w:rsidRPr="007D47A4">
        <w:rPr>
          <w:rFonts w:cs="Times New Roman"/>
        </w:rPr>
        <w:t xml:space="preserve"> filing”</w:t>
      </w:r>
      <w:r>
        <w:rPr>
          <w:rFonts w:cs="Times New Roman"/>
        </w:rPr>
        <w:t xml:space="preserve"> (</w:t>
      </w:r>
      <w:r w:rsidR="007F7AB7">
        <w:rPr>
          <w:rFonts w:cs="Times New Roman"/>
        </w:rPr>
        <w:t xml:space="preserve">i.e. </w:t>
      </w:r>
      <w:r>
        <w:rPr>
          <w:rFonts w:cs="Times New Roman"/>
        </w:rPr>
        <w:t>AL or PFM)</w:t>
      </w:r>
      <w:r w:rsidR="00810122" w:rsidRPr="007D47A4">
        <w:rPr>
          <w:rFonts w:cs="Times New Roman"/>
        </w:rPr>
        <w:t xml:space="preserve"> </w:t>
      </w:r>
      <w:r w:rsidR="007F7AB7">
        <w:rPr>
          <w:rFonts w:cs="Times New Roman"/>
        </w:rPr>
        <w:t xml:space="preserve">and content of that filing </w:t>
      </w:r>
      <w:r w:rsidR="00810122" w:rsidRPr="007D47A4">
        <w:rPr>
          <w:rFonts w:cs="Times New Roman"/>
        </w:rPr>
        <w:t xml:space="preserve">would be determined by the </w:t>
      </w:r>
      <w:r w:rsidR="007F7AB7">
        <w:rPr>
          <w:rFonts w:cs="Times New Roman"/>
        </w:rPr>
        <w:t>type of trigger</w:t>
      </w:r>
    </w:p>
    <w:p w14:paraId="031F1B74" w14:textId="6A397E0F" w:rsidR="00810122" w:rsidRDefault="00810122" w:rsidP="00810122">
      <w:pPr>
        <w:rPr>
          <w:rFonts w:cs="Times New Roman"/>
        </w:rPr>
      </w:pPr>
    </w:p>
    <w:p w14:paraId="3AA5F95D" w14:textId="0C5C3E8D" w:rsidR="000A6F69" w:rsidRDefault="000A6F69" w:rsidP="00810122">
      <w:pPr>
        <w:rPr>
          <w:rFonts w:cs="Times New Roman"/>
        </w:rPr>
      </w:pPr>
    </w:p>
    <w:p w14:paraId="6601FFBD" w14:textId="77777777" w:rsidR="00D94072" w:rsidRPr="007D47A4" w:rsidRDefault="00D94072" w:rsidP="00D94072">
      <w:pPr>
        <w:ind w:left="360"/>
        <w:rPr>
          <w:rFonts w:cs="Times New Roman"/>
          <w:b/>
          <w:bCs/>
        </w:rPr>
      </w:pPr>
      <w:r w:rsidRPr="007D47A4">
        <w:rPr>
          <w:rFonts w:cs="Times New Roman"/>
          <w:b/>
          <w:bCs/>
        </w:rPr>
        <w:t>Mid-Cycle Tier 1 Advice Letter</w:t>
      </w:r>
      <w:r>
        <w:rPr>
          <w:rFonts w:cs="Times New Roman"/>
          <w:b/>
          <w:bCs/>
        </w:rPr>
        <w:t xml:space="preserve"> </w:t>
      </w:r>
    </w:p>
    <w:p w14:paraId="75BCDDE2" w14:textId="77777777" w:rsidR="00D94072" w:rsidRPr="007D47A4" w:rsidRDefault="00D94072" w:rsidP="00D94072">
      <w:pPr>
        <w:pStyle w:val="ListParagraph"/>
        <w:numPr>
          <w:ilvl w:val="0"/>
          <w:numId w:val="6"/>
        </w:numPr>
        <w:ind w:left="1080"/>
        <w:rPr>
          <w:rFonts w:cs="Times New Roman"/>
        </w:rPr>
      </w:pPr>
      <w:r w:rsidRPr="007D47A4">
        <w:rPr>
          <w:rFonts w:cs="Times New Roman"/>
          <w:bCs/>
        </w:rPr>
        <w:t xml:space="preserve">Ministerial submission and </w:t>
      </w:r>
      <w:r>
        <w:rPr>
          <w:rFonts w:cs="Times New Roman"/>
          <w:bCs/>
        </w:rPr>
        <w:t>on track w/</w:t>
      </w:r>
      <w:r w:rsidRPr="007D47A4">
        <w:rPr>
          <w:rFonts w:cs="Times New Roman"/>
          <w:bCs/>
        </w:rPr>
        <w:t>budgets, savings, or cost-effectiveness forecasts</w:t>
      </w:r>
    </w:p>
    <w:p w14:paraId="37709DD1" w14:textId="40E43965" w:rsidR="00D94072" w:rsidRDefault="00D94072" w:rsidP="00D94072">
      <w:pPr>
        <w:pStyle w:val="ListParagraph"/>
        <w:numPr>
          <w:ilvl w:val="0"/>
          <w:numId w:val="6"/>
        </w:numPr>
        <w:ind w:left="1080"/>
        <w:rPr>
          <w:rFonts w:cs="Times New Roman"/>
        </w:rPr>
      </w:pPr>
      <w:r w:rsidRPr="007D47A4">
        <w:rPr>
          <w:rFonts w:cs="Times New Roman"/>
        </w:rPr>
        <w:t>2 years</w:t>
      </w:r>
      <w:r>
        <w:rPr>
          <w:rFonts w:cs="Times New Roman"/>
        </w:rPr>
        <w:t xml:space="preserve"> after 4-year EE Budget Application concurrent w/Annual Report</w:t>
      </w:r>
    </w:p>
    <w:p w14:paraId="0E7A9D9A" w14:textId="65EB0D70" w:rsidR="00D94072" w:rsidRDefault="00D94072" w:rsidP="00D94072">
      <w:pPr>
        <w:rPr>
          <w:rFonts w:cs="Times New Roman"/>
        </w:rPr>
      </w:pPr>
    </w:p>
    <w:p w14:paraId="056F6BB7" w14:textId="02BDC229" w:rsidR="00D94072" w:rsidRPr="00F56CF4" w:rsidRDefault="00D94072" w:rsidP="00D94072">
      <w:pPr>
        <w:pStyle w:val="ListParagraph"/>
        <w:numPr>
          <w:ilvl w:val="0"/>
          <w:numId w:val="15"/>
        </w:numPr>
        <w:rPr>
          <w:rFonts w:cs="Times New Roman"/>
          <w:b/>
          <w:bCs/>
        </w:rPr>
      </w:pPr>
      <w:r w:rsidRPr="00F56CF4">
        <w:rPr>
          <w:rFonts w:cs="Times New Roman"/>
          <w:b/>
          <w:bCs/>
        </w:rPr>
        <w:t>Regulatory Processes</w:t>
      </w:r>
    </w:p>
    <w:p w14:paraId="44CE3E70" w14:textId="23C31897" w:rsidR="007B6280" w:rsidRDefault="007B6280" w:rsidP="007B6280">
      <w:pPr>
        <w:rPr>
          <w:rFonts w:cs="Times New Roman"/>
        </w:rPr>
      </w:pPr>
    </w:p>
    <w:p w14:paraId="40F877BF" w14:textId="603CF7C0" w:rsidR="00A26A9F" w:rsidRDefault="00A26A9F" w:rsidP="007B6280">
      <w:pPr>
        <w:rPr>
          <w:rFonts w:cs="Times New Roman"/>
          <w:i/>
          <w:iCs/>
        </w:rPr>
      </w:pPr>
      <w:r w:rsidRPr="00BB4C25">
        <w:rPr>
          <w:rFonts w:cs="Times New Roman"/>
          <w:i/>
          <w:iCs/>
        </w:rPr>
        <w:t xml:space="preserve">The group </w:t>
      </w:r>
      <w:r w:rsidRPr="00A26A9F">
        <w:rPr>
          <w:rFonts w:cs="Times New Roman"/>
          <w:i/>
          <w:iCs/>
        </w:rPr>
        <w:t xml:space="preserve">identified the following regulatory processes for the proposed filings. In particular, </w:t>
      </w:r>
      <w:r w:rsidRPr="00BB4C25">
        <w:rPr>
          <w:i/>
          <w:iCs/>
        </w:rPr>
        <w:t>Members noted the CAEECC’s recommendation to the CPUC should state that briefs and testimony are recommended</w:t>
      </w:r>
      <w:r w:rsidR="004F4605">
        <w:rPr>
          <w:i/>
          <w:iCs/>
        </w:rPr>
        <w:t xml:space="preserve"> for the </w:t>
      </w:r>
      <w:proofErr w:type="spellStart"/>
      <w:r w:rsidR="004F4605">
        <w:rPr>
          <w:i/>
          <w:iCs/>
        </w:rPr>
        <w:t>intial</w:t>
      </w:r>
      <w:proofErr w:type="spellEnd"/>
      <w:r w:rsidR="004F4605">
        <w:rPr>
          <w:i/>
          <w:iCs/>
        </w:rPr>
        <w:t xml:space="preserve"> application</w:t>
      </w:r>
      <w:r w:rsidRPr="00BB4C25">
        <w:rPr>
          <w:i/>
          <w:iCs/>
        </w:rPr>
        <w:t xml:space="preserve">, with the need for hearings determined by the content of those briefs and testimony. Members also </w:t>
      </w:r>
      <w:r>
        <w:rPr>
          <w:i/>
          <w:iCs/>
        </w:rPr>
        <w:t>emphasized</w:t>
      </w:r>
      <w:r w:rsidRPr="00BB4C25">
        <w:rPr>
          <w:i/>
          <w:iCs/>
        </w:rPr>
        <w:t xml:space="preserve"> that there is a need for the policy framework to be stabilized approximately 6 to 9 months prior to the application filing.</w:t>
      </w:r>
    </w:p>
    <w:p w14:paraId="5E9994E5" w14:textId="77777777" w:rsidR="00A26A9F" w:rsidRPr="00BB4C25" w:rsidRDefault="00A26A9F" w:rsidP="007B6280">
      <w:pPr>
        <w:rPr>
          <w:rFonts w:cs="Times New Roman"/>
          <w:i/>
          <w:iCs/>
        </w:rPr>
      </w:pPr>
    </w:p>
    <w:p w14:paraId="34F214C7" w14:textId="77777777" w:rsidR="007B6280" w:rsidRDefault="007B6280" w:rsidP="00BB4C25">
      <w:pPr>
        <w:ind w:left="720"/>
        <w:rPr>
          <w:rFonts w:cs="Times New Roman"/>
        </w:rPr>
      </w:pPr>
      <w:r w:rsidRPr="00BB4C25">
        <w:rPr>
          <w:rFonts w:cs="Times New Roman"/>
          <w:b/>
          <w:bCs/>
        </w:rPr>
        <w:t>EE Budget Application:</w:t>
      </w:r>
      <w:r>
        <w:rPr>
          <w:rFonts w:cs="Times New Roman"/>
        </w:rPr>
        <w:t xml:space="preserve"> </w:t>
      </w:r>
    </w:p>
    <w:p w14:paraId="3A7387E8" w14:textId="77777777" w:rsidR="007B6280" w:rsidRDefault="007B6280" w:rsidP="00BB4C25">
      <w:pPr>
        <w:pStyle w:val="ListParagraph"/>
        <w:numPr>
          <w:ilvl w:val="0"/>
          <w:numId w:val="20"/>
        </w:numPr>
        <w:ind w:left="1440"/>
        <w:rPr>
          <w:rFonts w:cs="Times New Roman"/>
        </w:rPr>
      </w:pPr>
      <w:r w:rsidRPr="007B6280">
        <w:rPr>
          <w:rFonts w:cs="Times New Roman"/>
        </w:rPr>
        <w:t>Policy framework should be stable (6-9 mo</w:t>
      </w:r>
      <w:r>
        <w:rPr>
          <w:rFonts w:cs="Times New Roman"/>
        </w:rPr>
        <w:t>nth</w:t>
      </w:r>
      <w:r w:rsidRPr="007B6280">
        <w:rPr>
          <w:rFonts w:cs="Times New Roman"/>
        </w:rPr>
        <w:t xml:space="preserve">s before filing) and inform applications. </w:t>
      </w:r>
    </w:p>
    <w:p w14:paraId="3C8CA1FD" w14:textId="77777777" w:rsidR="007B6280" w:rsidRDefault="007B6280" w:rsidP="00BB4C25">
      <w:pPr>
        <w:pStyle w:val="ListParagraph"/>
        <w:numPr>
          <w:ilvl w:val="0"/>
          <w:numId w:val="20"/>
        </w:numPr>
        <w:ind w:left="1440"/>
        <w:rPr>
          <w:rFonts w:cs="Times New Roman"/>
        </w:rPr>
      </w:pPr>
      <w:r w:rsidRPr="007B6280">
        <w:rPr>
          <w:rFonts w:cs="Times New Roman"/>
        </w:rPr>
        <w:t>Application with testimony/briefs.</w:t>
      </w:r>
    </w:p>
    <w:p w14:paraId="40FB0C85" w14:textId="77777777" w:rsidR="007B6280" w:rsidRDefault="007B6280" w:rsidP="00BB4C25">
      <w:pPr>
        <w:pStyle w:val="ListParagraph"/>
        <w:numPr>
          <w:ilvl w:val="0"/>
          <w:numId w:val="20"/>
        </w:numPr>
        <w:ind w:left="1440"/>
        <w:rPr>
          <w:rFonts w:cs="Times New Roman"/>
        </w:rPr>
      </w:pPr>
      <w:r w:rsidRPr="007B6280">
        <w:rPr>
          <w:rFonts w:cs="Times New Roman"/>
        </w:rPr>
        <w:t xml:space="preserve">ALJ/Assigned Commissioner decides whether hearings, but more likely hearings than current process. </w:t>
      </w:r>
    </w:p>
    <w:p w14:paraId="6520CEEE" w14:textId="00EDE1C6" w:rsidR="007B6280" w:rsidRPr="007B6280" w:rsidRDefault="007B6280" w:rsidP="00BB4C25">
      <w:pPr>
        <w:pStyle w:val="ListParagraph"/>
        <w:numPr>
          <w:ilvl w:val="0"/>
          <w:numId w:val="20"/>
        </w:numPr>
        <w:ind w:left="1440"/>
        <w:rPr>
          <w:rFonts w:cs="Times New Roman"/>
        </w:rPr>
      </w:pPr>
      <w:r w:rsidRPr="007B6280">
        <w:rPr>
          <w:rFonts w:cs="Times New Roman"/>
        </w:rPr>
        <w:t xml:space="preserve"> Assuming that this would need to take place in current 18 month required window (which could be expanded by CPUC).</w:t>
      </w:r>
    </w:p>
    <w:p w14:paraId="785185A7" w14:textId="6A8141B0" w:rsidR="007B6280" w:rsidRDefault="007B6280" w:rsidP="00BB4C25">
      <w:pPr>
        <w:ind w:left="720"/>
        <w:rPr>
          <w:rFonts w:cs="Times New Roman"/>
        </w:rPr>
      </w:pPr>
    </w:p>
    <w:p w14:paraId="1A00C5FF" w14:textId="77777777" w:rsidR="007B6280" w:rsidRDefault="007B6280" w:rsidP="00BB4C25">
      <w:pPr>
        <w:ind w:left="720"/>
      </w:pPr>
      <w:r w:rsidRPr="00BB4C25">
        <w:rPr>
          <w:rFonts w:cs="Times New Roman"/>
          <w:b/>
          <w:bCs/>
        </w:rPr>
        <w:t>Mid-Cycle Filing (Tier 1 Advice Letter)</w:t>
      </w:r>
      <w:r>
        <w:rPr>
          <w:rFonts w:cs="Times New Roman"/>
          <w:b/>
          <w:bCs/>
        </w:rPr>
        <w:t>:</w:t>
      </w:r>
      <w:r w:rsidRPr="007B6280">
        <w:t xml:space="preserve"> </w:t>
      </w:r>
    </w:p>
    <w:p w14:paraId="7BC1FE09" w14:textId="033B6E3D" w:rsidR="007B6280" w:rsidRPr="007B6280" w:rsidRDefault="007B6280" w:rsidP="00BB4C25">
      <w:pPr>
        <w:pStyle w:val="ListParagraph"/>
        <w:numPr>
          <w:ilvl w:val="0"/>
          <w:numId w:val="19"/>
        </w:numPr>
        <w:ind w:left="1440"/>
        <w:rPr>
          <w:rFonts w:cs="Times New Roman"/>
        </w:rPr>
      </w:pPr>
      <w:r w:rsidRPr="007B6280">
        <w:rPr>
          <w:rFonts w:cs="Times New Roman"/>
        </w:rPr>
        <w:t>Effective when filed (i.e., Considered approved unless protested, which is rare)</w:t>
      </w:r>
    </w:p>
    <w:p w14:paraId="5ED88F88" w14:textId="0A481638" w:rsidR="007B6280" w:rsidRDefault="007B6280" w:rsidP="00BB4C25">
      <w:pPr>
        <w:ind w:left="720"/>
        <w:rPr>
          <w:rFonts w:cs="Times New Roman"/>
        </w:rPr>
      </w:pPr>
    </w:p>
    <w:p w14:paraId="47AB726A" w14:textId="4FB23047" w:rsidR="007B6280" w:rsidRDefault="007B6280" w:rsidP="00BB4C25">
      <w:pPr>
        <w:ind w:left="720"/>
        <w:rPr>
          <w:rFonts w:cs="Times New Roman"/>
        </w:rPr>
      </w:pPr>
      <w:r w:rsidRPr="00BB4C25">
        <w:rPr>
          <w:rFonts w:cs="Times New Roman"/>
          <w:b/>
          <w:bCs/>
        </w:rPr>
        <w:t>Trigger-Based Filing (Tier 3 Advice Letter</w:t>
      </w:r>
      <w:r>
        <w:rPr>
          <w:rFonts w:cs="Times New Roman"/>
          <w:b/>
          <w:bCs/>
        </w:rPr>
        <w:t>):</w:t>
      </w:r>
    </w:p>
    <w:p w14:paraId="08A3C8EE" w14:textId="4B9626D5" w:rsidR="007B6280" w:rsidRDefault="007B6280" w:rsidP="00BB4C25">
      <w:pPr>
        <w:pStyle w:val="ListParagraph"/>
        <w:numPr>
          <w:ilvl w:val="0"/>
          <w:numId w:val="18"/>
        </w:numPr>
        <w:ind w:left="1440"/>
        <w:rPr>
          <w:rFonts w:cs="Times New Roman"/>
        </w:rPr>
      </w:pPr>
      <w:r w:rsidRPr="007B6280">
        <w:rPr>
          <w:rFonts w:cs="Times New Roman"/>
        </w:rPr>
        <w:t>E</w:t>
      </w:r>
      <w:r>
        <w:rPr>
          <w:rFonts w:cs="Times New Roman"/>
        </w:rPr>
        <w:t xml:space="preserve">nergy </w:t>
      </w:r>
      <w:r w:rsidRPr="007B6280">
        <w:rPr>
          <w:rFonts w:cs="Times New Roman"/>
        </w:rPr>
        <w:t>D</w:t>
      </w:r>
      <w:r>
        <w:rPr>
          <w:rFonts w:cs="Times New Roman"/>
        </w:rPr>
        <w:t>ivision</w:t>
      </w:r>
      <w:r w:rsidRPr="007B6280">
        <w:rPr>
          <w:rFonts w:cs="Times New Roman"/>
        </w:rPr>
        <w:t xml:space="preserve"> offers draft resolution, </w:t>
      </w:r>
      <w:proofErr w:type="gramStart"/>
      <w:r w:rsidRPr="007B6280">
        <w:rPr>
          <w:rFonts w:cs="Times New Roman"/>
        </w:rPr>
        <w:t>parties</w:t>
      </w:r>
      <w:proofErr w:type="gramEnd"/>
      <w:r w:rsidRPr="007B6280">
        <w:rPr>
          <w:rFonts w:cs="Times New Roman"/>
        </w:rPr>
        <w:t xml:space="preserve"> comment, and then Commission makes a decision. </w:t>
      </w:r>
    </w:p>
    <w:p w14:paraId="5A5C86B4" w14:textId="08098EEC" w:rsidR="007B6280" w:rsidRDefault="007B6280" w:rsidP="00BB4C25">
      <w:pPr>
        <w:ind w:left="720"/>
        <w:rPr>
          <w:rFonts w:cs="Times New Roman"/>
        </w:rPr>
      </w:pPr>
    </w:p>
    <w:p w14:paraId="71BCBAD7" w14:textId="0604EF67" w:rsidR="007B6280" w:rsidRPr="007B6280" w:rsidRDefault="007B6280" w:rsidP="00BB4C25">
      <w:pPr>
        <w:ind w:left="720"/>
        <w:rPr>
          <w:rFonts w:cs="Times New Roman"/>
        </w:rPr>
      </w:pPr>
      <w:r w:rsidRPr="00D55336">
        <w:rPr>
          <w:rFonts w:cs="Times New Roman"/>
          <w:b/>
          <w:bCs/>
        </w:rPr>
        <w:t xml:space="preserve">Trigger-Based Filing </w:t>
      </w:r>
      <w:r>
        <w:rPr>
          <w:rFonts w:cs="Times New Roman"/>
          <w:b/>
          <w:bCs/>
        </w:rPr>
        <w:t>(</w:t>
      </w:r>
      <w:r w:rsidRPr="00D55336">
        <w:rPr>
          <w:rFonts w:cs="Times New Roman"/>
          <w:b/>
          <w:bCs/>
        </w:rPr>
        <w:t>Petition for Modification):</w:t>
      </w:r>
    </w:p>
    <w:p w14:paraId="0A8907A9" w14:textId="614DDD9B" w:rsidR="007B6280" w:rsidRPr="007B6280" w:rsidRDefault="007B6280" w:rsidP="00BB4C25">
      <w:pPr>
        <w:pStyle w:val="ListParagraph"/>
        <w:numPr>
          <w:ilvl w:val="0"/>
          <w:numId w:val="18"/>
        </w:numPr>
        <w:ind w:left="1440"/>
        <w:rPr>
          <w:rFonts w:cs="Times New Roman"/>
        </w:rPr>
      </w:pPr>
      <w:r>
        <w:rPr>
          <w:rFonts w:cs="Times New Roman"/>
        </w:rPr>
        <w:t>P</w:t>
      </w:r>
      <w:r w:rsidRPr="007B6280">
        <w:rPr>
          <w:rFonts w:cs="Times New Roman"/>
        </w:rPr>
        <w:t>roceeding is re-opened, and requires Commission vote if taken up.</w:t>
      </w:r>
    </w:p>
    <w:p w14:paraId="48448B6C" w14:textId="77777777" w:rsidR="007B6280" w:rsidRDefault="007B6280" w:rsidP="00BB4C25">
      <w:pPr>
        <w:ind w:left="720"/>
        <w:rPr>
          <w:rFonts w:cs="Times New Roman"/>
        </w:rPr>
      </w:pPr>
    </w:p>
    <w:p w14:paraId="0183DE00" w14:textId="77777777" w:rsidR="007B6280" w:rsidRPr="007B6280" w:rsidRDefault="007B6280" w:rsidP="00BB4C25">
      <w:pPr>
        <w:ind w:left="720"/>
        <w:rPr>
          <w:rFonts w:cs="Times New Roman"/>
        </w:rPr>
      </w:pPr>
    </w:p>
    <w:p w14:paraId="62059781" w14:textId="649F52BD" w:rsidR="00D94072" w:rsidRPr="00F56CF4" w:rsidRDefault="00D94072" w:rsidP="00A26A9F">
      <w:pPr>
        <w:pStyle w:val="ListParagraph"/>
        <w:numPr>
          <w:ilvl w:val="0"/>
          <w:numId w:val="15"/>
        </w:numPr>
        <w:rPr>
          <w:rFonts w:cs="Times New Roman"/>
          <w:b/>
          <w:bCs/>
        </w:rPr>
      </w:pPr>
      <w:r w:rsidRPr="00F56CF4">
        <w:rPr>
          <w:rFonts w:cs="Times New Roman"/>
          <w:b/>
          <w:bCs/>
        </w:rPr>
        <w:t>Roles &amp; Responsibilities</w:t>
      </w:r>
    </w:p>
    <w:p w14:paraId="31B211AA" w14:textId="0335BAF1" w:rsidR="007B6280" w:rsidRDefault="007B6280" w:rsidP="00A26A9F">
      <w:pPr>
        <w:ind w:left="720"/>
        <w:rPr>
          <w:rFonts w:cs="Times New Roman"/>
        </w:rPr>
      </w:pPr>
    </w:p>
    <w:p w14:paraId="6ACBC85C" w14:textId="5C394686" w:rsidR="00A26A9F" w:rsidRDefault="00A26A9F" w:rsidP="00BB4C25">
      <w:pPr>
        <w:rPr>
          <w:rFonts w:cs="Times New Roman"/>
        </w:rPr>
      </w:pPr>
      <w:r w:rsidRPr="00D55336">
        <w:rPr>
          <w:rFonts w:cs="Times New Roman"/>
          <w:i/>
          <w:iCs/>
        </w:rPr>
        <w:t xml:space="preserve">The group </w:t>
      </w:r>
      <w:r w:rsidRPr="00A26A9F">
        <w:rPr>
          <w:rFonts w:cs="Times New Roman"/>
          <w:i/>
          <w:iCs/>
        </w:rPr>
        <w:t xml:space="preserve">identified the </w:t>
      </w:r>
      <w:r w:rsidRPr="00D55336">
        <w:rPr>
          <w:rFonts w:cs="Times New Roman"/>
          <w:i/>
          <w:iCs/>
        </w:rPr>
        <w:t xml:space="preserve">following </w:t>
      </w:r>
      <w:r>
        <w:rPr>
          <w:rFonts w:cs="Times New Roman"/>
          <w:i/>
          <w:iCs/>
        </w:rPr>
        <w:t>roles and responsibilities for stakeholders/CAEECC, PAs and the Energy Division</w:t>
      </w:r>
      <w:r w:rsidRPr="00D55336">
        <w:rPr>
          <w:rFonts w:cs="Times New Roman"/>
          <w:i/>
          <w:iCs/>
        </w:rPr>
        <w:t xml:space="preserve"> for the proposed filings.</w:t>
      </w:r>
      <w:r w:rsidRPr="00BB4C25">
        <w:rPr>
          <w:i/>
          <w:iCs/>
        </w:rPr>
        <w:t xml:space="preserve">  </w:t>
      </w:r>
    </w:p>
    <w:p w14:paraId="703311E7" w14:textId="77777777" w:rsidR="00A26A9F" w:rsidRDefault="00A26A9F" w:rsidP="00BB4C25">
      <w:pPr>
        <w:ind w:left="720"/>
        <w:rPr>
          <w:rFonts w:cs="Times New Roman"/>
        </w:rPr>
      </w:pPr>
    </w:p>
    <w:p w14:paraId="757FB273" w14:textId="77777777" w:rsidR="00F56CF4" w:rsidRDefault="00F56CF4" w:rsidP="00BB4C25">
      <w:pPr>
        <w:ind w:left="720"/>
        <w:rPr>
          <w:rFonts w:cs="Times New Roman"/>
          <w:b/>
          <w:bCs/>
        </w:rPr>
      </w:pPr>
    </w:p>
    <w:p w14:paraId="0C74C439" w14:textId="1C536EA7" w:rsidR="00D94072" w:rsidRPr="00BB4C25" w:rsidRDefault="00D94072" w:rsidP="00BB4C25">
      <w:pPr>
        <w:ind w:left="720"/>
        <w:rPr>
          <w:rFonts w:cs="Times New Roman"/>
          <w:b/>
          <w:bCs/>
        </w:rPr>
      </w:pPr>
      <w:r w:rsidRPr="00BB4C25">
        <w:rPr>
          <w:rFonts w:cs="Times New Roman"/>
          <w:b/>
          <w:bCs/>
        </w:rPr>
        <w:lastRenderedPageBreak/>
        <w:t>Stakeholders/CAEECC</w:t>
      </w:r>
      <w:r w:rsidR="00F56CF4">
        <w:rPr>
          <w:rFonts w:cs="Times New Roman"/>
          <w:b/>
          <w:bCs/>
        </w:rPr>
        <w:t>:</w:t>
      </w:r>
    </w:p>
    <w:p w14:paraId="0D300961" w14:textId="6172B6C6" w:rsidR="007B6280" w:rsidRDefault="007B6280" w:rsidP="00BB4C25">
      <w:pPr>
        <w:ind w:left="720"/>
        <w:rPr>
          <w:rFonts w:cs="Times New Roman"/>
          <w:b/>
          <w:bCs/>
        </w:rPr>
      </w:pPr>
    </w:p>
    <w:p w14:paraId="08DABAA0" w14:textId="63C50C27" w:rsidR="007B6280" w:rsidRDefault="007B6280" w:rsidP="00BB4C25">
      <w:pPr>
        <w:ind w:left="1440"/>
        <w:rPr>
          <w:rFonts w:cs="Times New Roman"/>
          <w:b/>
          <w:bCs/>
        </w:rPr>
      </w:pPr>
      <w:r w:rsidRPr="00BB4C25">
        <w:rPr>
          <w:rFonts w:cs="Times New Roman"/>
          <w:b/>
          <w:bCs/>
          <w:i/>
          <w:iCs/>
        </w:rPr>
        <w:t>EE Budget Application:</w:t>
      </w:r>
      <w:r w:rsidR="00F84A52" w:rsidRPr="00F84A52">
        <w:t xml:space="preserve"> </w:t>
      </w:r>
      <w:r w:rsidR="00F84A52" w:rsidRPr="00BB4C25">
        <w:rPr>
          <w:rFonts w:cs="Times New Roman"/>
        </w:rPr>
        <w:t>Potentially four-elements of stakeholder engagement; A) Regular data-driven updates on how EE port</w:t>
      </w:r>
      <w:r w:rsidR="00F84A52">
        <w:rPr>
          <w:rFonts w:cs="Times New Roman"/>
        </w:rPr>
        <w:t>f</w:t>
      </w:r>
      <w:r w:rsidR="00F84A52" w:rsidRPr="00BB4C25">
        <w:rPr>
          <w:rFonts w:cs="Times New Roman"/>
        </w:rPr>
        <w:t>olio is doing (e.g., quarterly or every 6 months) at Full CAEECC: B) CAEECC joint problem-solving workshops on major cross-cutting issues/challenges related to upcoming a</w:t>
      </w:r>
      <w:r w:rsidR="00F84A52">
        <w:rPr>
          <w:rFonts w:cs="Times New Roman"/>
        </w:rPr>
        <w:t>p</w:t>
      </w:r>
      <w:r w:rsidR="00F84A52" w:rsidRPr="00BB4C25">
        <w:rPr>
          <w:rFonts w:cs="Times New Roman"/>
        </w:rPr>
        <w:t>plications (approximately 6 months ahead of filings)  C) Pre-filing preview at CAEECC (2-3 months ahead of filing); and D) formal intervention once filed by interested stakeholders</w:t>
      </w:r>
    </w:p>
    <w:p w14:paraId="7B501E75" w14:textId="6D5E2C2F" w:rsidR="007B6280" w:rsidRDefault="007B6280" w:rsidP="004F4605">
      <w:pPr>
        <w:rPr>
          <w:rFonts w:cs="Times New Roman"/>
          <w:b/>
          <w:bCs/>
        </w:rPr>
      </w:pPr>
    </w:p>
    <w:p w14:paraId="7BAA31FB" w14:textId="4B4C7241" w:rsidR="007B6280" w:rsidRDefault="007B6280" w:rsidP="00BB4C25">
      <w:pPr>
        <w:ind w:left="1440"/>
        <w:rPr>
          <w:rFonts w:cs="Times New Roman"/>
          <w:b/>
          <w:bCs/>
        </w:rPr>
      </w:pPr>
    </w:p>
    <w:p w14:paraId="4EC7FC0F" w14:textId="6941FDF4" w:rsidR="007B6280" w:rsidRDefault="007B6280">
      <w:pPr>
        <w:ind w:left="1440"/>
        <w:rPr>
          <w:rFonts w:cs="Times New Roman"/>
        </w:rPr>
      </w:pPr>
      <w:r w:rsidRPr="00BB4C25">
        <w:rPr>
          <w:rFonts w:cs="Times New Roman"/>
          <w:b/>
          <w:bCs/>
          <w:i/>
          <w:iCs/>
        </w:rPr>
        <w:t>Trigger Based</w:t>
      </w:r>
      <w:r w:rsidR="00F84A52" w:rsidRPr="00BB4C25">
        <w:rPr>
          <w:rFonts w:cs="Times New Roman"/>
          <w:b/>
          <w:bCs/>
          <w:i/>
          <w:iCs/>
        </w:rPr>
        <w:t xml:space="preserve"> </w:t>
      </w:r>
      <w:r w:rsidRPr="00BB4C25">
        <w:rPr>
          <w:rFonts w:cs="Times New Roman"/>
          <w:b/>
          <w:bCs/>
          <w:i/>
          <w:iCs/>
        </w:rPr>
        <w:t>Filing (</w:t>
      </w:r>
      <w:r w:rsidR="00F84A52" w:rsidRPr="00BB4C25">
        <w:rPr>
          <w:rFonts w:cs="Times New Roman"/>
          <w:b/>
          <w:bCs/>
          <w:i/>
          <w:iCs/>
        </w:rPr>
        <w:t>Tier 3 AL or PFM):</w:t>
      </w:r>
      <w:r w:rsidR="00F84A52" w:rsidRPr="00F84A52">
        <w:t xml:space="preserve"> </w:t>
      </w:r>
      <w:r w:rsidR="00F84A52">
        <w:t>C</w:t>
      </w:r>
      <w:r w:rsidR="00F84A52" w:rsidRPr="00BB4C25">
        <w:rPr>
          <w:rFonts w:cs="Times New Roman"/>
        </w:rPr>
        <w:t>AEECC is apprised of trigger and consulted on approach(es) to addressing underlying trigger issue (roll into quarterly CAEECC discussions if possible)</w:t>
      </w:r>
    </w:p>
    <w:p w14:paraId="23B8719A" w14:textId="75EAF35D" w:rsidR="004F4605" w:rsidRDefault="004F4605">
      <w:pPr>
        <w:ind w:left="1440"/>
        <w:rPr>
          <w:rFonts w:cs="Times New Roman"/>
        </w:rPr>
      </w:pPr>
    </w:p>
    <w:p w14:paraId="51872F7E" w14:textId="4A35E697" w:rsidR="004F4605" w:rsidRPr="00BB4C25" w:rsidRDefault="004F4605" w:rsidP="00BB4C25">
      <w:pPr>
        <w:ind w:left="1440"/>
        <w:rPr>
          <w:rFonts w:cs="Times New Roman"/>
        </w:rPr>
      </w:pPr>
      <w:r w:rsidRPr="00FE462A">
        <w:rPr>
          <w:rFonts w:cs="Times New Roman"/>
          <w:b/>
          <w:bCs/>
          <w:i/>
          <w:iCs/>
        </w:rPr>
        <w:t>Mid-Cycle Tier 1 Advice Letter:</w:t>
      </w:r>
      <w:r w:rsidRPr="00F84A52">
        <w:t xml:space="preserve"> </w:t>
      </w:r>
      <w:r>
        <w:rPr>
          <w:rFonts w:cs="Times New Roman"/>
        </w:rPr>
        <w:t>Courtesy</w:t>
      </w:r>
      <w:r w:rsidRPr="00FE462A">
        <w:rPr>
          <w:rFonts w:cs="Times New Roman"/>
        </w:rPr>
        <w:t xml:space="preserve"> preview at CAEECC</w:t>
      </w:r>
    </w:p>
    <w:p w14:paraId="0B78DD14" w14:textId="77777777" w:rsidR="007B6280" w:rsidRPr="00BB4C25" w:rsidRDefault="007B6280" w:rsidP="00BB4C25">
      <w:pPr>
        <w:ind w:left="720"/>
        <w:rPr>
          <w:rFonts w:cs="Times New Roman"/>
          <w:b/>
          <w:bCs/>
        </w:rPr>
      </w:pPr>
    </w:p>
    <w:p w14:paraId="644C60F8" w14:textId="47C8CCB1" w:rsidR="00D94072" w:rsidRPr="00BB4C25" w:rsidRDefault="00D94072" w:rsidP="00BB4C25">
      <w:pPr>
        <w:ind w:left="720"/>
        <w:rPr>
          <w:rFonts w:cs="Times New Roman"/>
          <w:b/>
          <w:bCs/>
        </w:rPr>
      </w:pPr>
      <w:r w:rsidRPr="00BB4C25">
        <w:rPr>
          <w:rFonts w:cs="Times New Roman"/>
          <w:b/>
          <w:bCs/>
        </w:rPr>
        <w:t>PAs</w:t>
      </w:r>
      <w:r w:rsidR="00F56CF4">
        <w:rPr>
          <w:rFonts w:cs="Times New Roman"/>
          <w:b/>
          <w:bCs/>
        </w:rPr>
        <w:t>:</w:t>
      </w:r>
    </w:p>
    <w:p w14:paraId="58196634" w14:textId="31EA2FC4" w:rsidR="007B6280" w:rsidRDefault="007B6280" w:rsidP="00BB4C25">
      <w:pPr>
        <w:ind w:left="720"/>
        <w:rPr>
          <w:rFonts w:cs="Times New Roman"/>
          <w:b/>
          <w:bCs/>
        </w:rPr>
      </w:pPr>
    </w:p>
    <w:p w14:paraId="00373C3D" w14:textId="014BB5E2" w:rsidR="00F84A52" w:rsidRDefault="00F84A52" w:rsidP="00BB4C25">
      <w:pPr>
        <w:ind w:left="1440"/>
        <w:rPr>
          <w:rFonts w:cs="Times New Roman"/>
          <w:b/>
          <w:bCs/>
        </w:rPr>
      </w:pPr>
      <w:r w:rsidRPr="00BB4C25">
        <w:rPr>
          <w:rFonts w:cs="Times New Roman"/>
          <w:b/>
          <w:bCs/>
          <w:i/>
          <w:iCs/>
        </w:rPr>
        <w:t>EE Budget Application:</w:t>
      </w:r>
      <w:r w:rsidRPr="00F84A52">
        <w:t xml:space="preserve"> </w:t>
      </w:r>
      <w:r w:rsidRPr="00BB4C25">
        <w:rPr>
          <w:rFonts w:cs="Times New Roman"/>
        </w:rPr>
        <w:t>Pre-filing stakeholder engagement; and filing w/budgets, savings, C/E forecasts for full budget cycle</w:t>
      </w:r>
      <w:r>
        <w:rPr>
          <w:rFonts w:cs="Times New Roman"/>
        </w:rPr>
        <w:t xml:space="preserve"> (program costs) /test year plus any attrition year adjustments (</w:t>
      </w:r>
      <w:proofErr w:type="spellStart"/>
      <w:r>
        <w:rPr>
          <w:rFonts w:cs="Times New Roman"/>
        </w:rPr>
        <w:t>non program</w:t>
      </w:r>
      <w:proofErr w:type="spellEnd"/>
      <w:r>
        <w:rPr>
          <w:rFonts w:cs="Times New Roman"/>
        </w:rPr>
        <w:t xml:space="preserve"> costs)</w:t>
      </w:r>
      <w:r w:rsidRPr="00BB4C25">
        <w:rPr>
          <w:rFonts w:cs="Times New Roman"/>
        </w:rPr>
        <w:t>, and supporting testimony and exhibits.</w:t>
      </w:r>
    </w:p>
    <w:p w14:paraId="5226CF61" w14:textId="35EEA61D" w:rsidR="00F84A52" w:rsidRDefault="00F84A52" w:rsidP="004F4605">
      <w:pPr>
        <w:rPr>
          <w:rFonts w:cs="Times New Roman"/>
          <w:b/>
          <w:bCs/>
        </w:rPr>
      </w:pPr>
    </w:p>
    <w:p w14:paraId="1F677344" w14:textId="38914693" w:rsidR="00F84A52" w:rsidRDefault="00F84A52" w:rsidP="00BB4C25">
      <w:pPr>
        <w:ind w:left="1440"/>
        <w:rPr>
          <w:rFonts w:cs="Times New Roman"/>
          <w:b/>
          <w:bCs/>
        </w:rPr>
      </w:pPr>
      <w:r w:rsidRPr="00F84A52">
        <w:rPr>
          <w:rFonts w:cs="Times New Roman"/>
          <w:b/>
          <w:bCs/>
          <w:i/>
          <w:iCs/>
        </w:rPr>
        <w:t xml:space="preserve">Mid-Cycle Tier 1 Advice Letter: </w:t>
      </w:r>
      <w:r>
        <w:rPr>
          <w:rFonts w:cs="Times New Roman"/>
        </w:rPr>
        <w:t>D</w:t>
      </w:r>
      <w:r w:rsidRPr="00F84A52">
        <w:rPr>
          <w:rFonts w:cs="Times New Roman"/>
        </w:rPr>
        <w:t>evelop filing and file</w:t>
      </w:r>
    </w:p>
    <w:p w14:paraId="15CC9141" w14:textId="63ED3697" w:rsidR="00F84A52" w:rsidRDefault="00F84A52" w:rsidP="00BB4C25">
      <w:pPr>
        <w:ind w:left="1440"/>
        <w:rPr>
          <w:rFonts w:cs="Times New Roman"/>
          <w:b/>
          <w:bCs/>
        </w:rPr>
      </w:pPr>
    </w:p>
    <w:p w14:paraId="1E541FBD" w14:textId="41869F2E" w:rsidR="00F84A52" w:rsidRPr="00F84A52" w:rsidRDefault="00F84A52" w:rsidP="00BB4C25">
      <w:pPr>
        <w:ind w:left="1440"/>
        <w:rPr>
          <w:rFonts w:cs="Times New Roman"/>
          <w:b/>
          <w:bCs/>
        </w:rPr>
      </w:pPr>
      <w:r w:rsidRPr="00F84A52">
        <w:rPr>
          <w:rFonts w:cs="Times New Roman"/>
          <w:b/>
          <w:bCs/>
          <w:i/>
          <w:iCs/>
        </w:rPr>
        <w:t>Trigger Based Filing (Tier 3 AL or PFM):</w:t>
      </w:r>
      <w:r>
        <w:rPr>
          <w:rFonts w:cs="Times New Roman"/>
          <w:b/>
          <w:bCs/>
        </w:rPr>
        <w:t xml:space="preserve"> </w:t>
      </w:r>
      <w:r>
        <w:rPr>
          <w:rFonts w:cs="Times New Roman"/>
        </w:rPr>
        <w:t>Engage</w:t>
      </w:r>
      <w:r w:rsidRPr="00F84A52">
        <w:rPr>
          <w:rFonts w:cs="Times New Roman"/>
        </w:rPr>
        <w:t xml:space="preserve"> with stakeholders on approach(es) to addressing underlying trigger issue, develop filing and file</w:t>
      </w:r>
    </w:p>
    <w:p w14:paraId="55363FCD" w14:textId="77777777" w:rsidR="00F84A52" w:rsidRDefault="00F84A52" w:rsidP="00BB4C25">
      <w:pPr>
        <w:ind w:left="720"/>
        <w:rPr>
          <w:rFonts w:cs="Times New Roman"/>
          <w:b/>
          <w:bCs/>
        </w:rPr>
      </w:pPr>
    </w:p>
    <w:p w14:paraId="67DB6269" w14:textId="77777777" w:rsidR="00F84A52" w:rsidRDefault="00F84A52" w:rsidP="00BB4C25">
      <w:pPr>
        <w:ind w:left="720"/>
        <w:rPr>
          <w:rFonts w:cs="Times New Roman"/>
          <w:b/>
          <w:bCs/>
        </w:rPr>
      </w:pPr>
    </w:p>
    <w:p w14:paraId="59767418" w14:textId="50D1EDE0" w:rsidR="00D94072" w:rsidRPr="00F84A52" w:rsidRDefault="00F84A52" w:rsidP="00BB4C25">
      <w:pPr>
        <w:ind w:left="720"/>
        <w:rPr>
          <w:rFonts w:cs="Times New Roman"/>
          <w:b/>
          <w:bCs/>
        </w:rPr>
      </w:pPr>
      <w:r>
        <w:rPr>
          <w:rFonts w:cs="Times New Roman"/>
          <w:b/>
          <w:bCs/>
        </w:rPr>
        <w:t>Energy Division:</w:t>
      </w:r>
    </w:p>
    <w:p w14:paraId="7AC4DF85" w14:textId="77777777" w:rsidR="00F84A52" w:rsidRDefault="00F84A52" w:rsidP="00BB4C25">
      <w:pPr>
        <w:ind w:left="720"/>
        <w:rPr>
          <w:rFonts w:cs="Times New Roman"/>
        </w:rPr>
      </w:pPr>
    </w:p>
    <w:p w14:paraId="6DBFDC89" w14:textId="214195F3" w:rsidR="00F84A52" w:rsidRDefault="00F84A52" w:rsidP="00BB4C25">
      <w:pPr>
        <w:ind w:left="1440"/>
        <w:rPr>
          <w:rFonts w:cs="Times New Roman"/>
          <w:b/>
          <w:bCs/>
        </w:rPr>
      </w:pPr>
      <w:r w:rsidRPr="00D55336">
        <w:rPr>
          <w:rFonts w:cs="Times New Roman"/>
          <w:b/>
          <w:bCs/>
          <w:i/>
          <w:iCs/>
        </w:rPr>
        <w:t>EE Budget Application:</w:t>
      </w:r>
      <w:r w:rsidRPr="00F84A52">
        <w:t xml:space="preserve"> </w:t>
      </w:r>
      <w:r w:rsidR="004F4605">
        <w:t>ED p</w:t>
      </w:r>
      <w:r w:rsidRPr="00F84A52">
        <w:t>articipates in CAEECC discussions as ex-officio members; Staff deep dive once filed</w:t>
      </w:r>
    </w:p>
    <w:p w14:paraId="10FF09EE" w14:textId="77777777" w:rsidR="00F84A52" w:rsidRDefault="00F84A52" w:rsidP="00BB4C25">
      <w:pPr>
        <w:rPr>
          <w:rFonts w:cs="Times New Roman"/>
          <w:b/>
          <w:bCs/>
        </w:rPr>
      </w:pPr>
    </w:p>
    <w:p w14:paraId="232C9CCB" w14:textId="2B9EE5DA" w:rsidR="00F84A52" w:rsidRDefault="00F84A52">
      <w:pPr>
        <w:ind w:left="1440"/>
        <w:rPr>
          <w:rFonts w:cs="Times New Roman"/>
        </w:rPr>
      </w:pPr>
      <w:r w:rsidRPr="00D55336">
        <w:rPr>
          <w:rFonts w:cs="Times New Roman"/>
          <w:b/>
          <w:bCs/>
          <w:i/>
          <w:iCs/>
        </w:rPr>
        <w:t>Trigger Based Filing (Tier 3 AL or PFM):</w:t>
      </w:r>
      <w:r>
        <w:rPr>
          <w:rFonts w:cs="Times New Roman"/>
          <w:b/>
          <w:bCs/>
        </w:rPr>
        <w:t xml:space="preserve"> </w:t>
      </w:r>
      <w:r w:rsidRPr="00F84A52">
        <w:rPr>
          <w:rFonts w:cs="Times New Roman"/>
        </w:rPr>
        <w:t>Same as current process (i.e., reviews and provides recommendations to decision makers)</w:t>
      </w:r>
    </w:p>
    <w:p w14:paraId="09E4A734" w14:textId="23EF228D" w:rsidR="004F4605" w:rsidRDefault="004F4605">
      <w:pPr>
        <w:ind w:left="1440"/>
        <w:rPr>
          <w:rFonts w:cs="Times New Roman"/>
          <w:b/>
          <w:bCs/>
        </w:rPr>
      </w:pPr>
    </w:p>
    <w:p w14:paraId="1E40C9A1" w14:textId="77777777" w:rsidR="004F4605" w:rsidRDefault="004F4605" w:rsidP="004F4605">
      <w:pPr>
        <w:ind w:left="1440"/>
        <w:rPr>
          <w:rFonts w:cs="Times New Roman"/>
          <w:b/>
          <w:bCs/>
        </w:rPr>
      </w:pPr>
      <w:r w:rsidRPr="00D55336">
        <w:rPr>
          <w:rFonts w:cs="Times New Roman"/>
          <w:b/>
          <w:bCs/>
          <w:i/>
          <w:iCs/>
        </w:rPr>
        <w:t xml:space="preserve">Mid-Cycle Tier 1 Advice Letter: </w:t>
      </w:r>
      <w:r w:rsidRPr="00F84A52">
        <w:rPr>
          <w:rFonts w:cs="Times New Roman"/>
        </w:rPr>
        <w:t>Same as current process (i.e., reviews and provides recommendations to decision makers)</w:t>
      </w:r>
    </w:p>
    <w:p w14:paraId="280D3897" w14:textId="77777777" w:rsidR="004F4605" w:rsidRPr="00D55336" w:rsidRDefault="004F4605" w:rsidP="00BB4C25">
      <w:pPr>
        <w:ind w:left="1440"/>
        <w:rPr>
          <w:rFonts w:cs="Times New Roman"/>
          <w:b/>
          <w:bCs/>
        </w:rPr>
      </w:pPr>
    </w:p>
    <w:p w14:paraId="1BA057C5" w14:textId="77777777" w:rsidR="00D94072" w:rsidRDefault="00D94072" w:rsidP="00BB4C25">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14:paraId="66BB4BCA" w14:textId="1D067417" w:rsidR="000A6F69" w:rsidRPr="000A6F69" w:rsidRDefault="000A6F69" w:rsidP="00CC0CA5">
      <w:pPr>
        <w:spacing w:after="200" w:line="276" w:lineRule="auto"/>
        <w:jc w:val="center"/>
        <w:rPr>
          <w:rFonts w:ascii="Times New Roman" w:eastAsia="Calibri" w:hAnsi="Times New Roman" w:cs="Times New Roman"/>
          <w:b/>
          <w:sz w:val="28"/>
          <w:szCs w:val="28"/>
        </w:rPr>
      </w:pPr>
      <w:r w:rsidRPr="000A6F69">
        <w:rPr>
          <w:rFonts w:ascii="Times New Roman" w:eastAsia="Calibri" w:hAnsi="Times New Roman" w:cs="Times New Roman"/>
          <w:b/>
          <w:sz w:val="28"/>
          <w:szCs w:val="28"/>
        </w:rPr>
        <w:lastRenderedPageBreak/>
        <w:t>Appendix A: Public Advocates Office Straw Proposal on EE Application and Mid-Cycle Review Contents (10/30/2019)</w:t>
      </w:r>
    </w:p>
    <w:p w14:paraId="3A57736D" w14:textId="77777777" w:rsidR="000A6F69" w:rsidRPr="000A6F69" w:rsidRDefault="000A6F69" w:rsidP="000A6F69">
      <w:pPr>
        <w:spacing w:after="200" w:line="276" w:lineRule="auto"/>
        <w:rPr>
          <w:rFonts w:ascii="Times New Roman" w:eastAsia="Calibri" w:hAnsi="Times New Roman" w:cs="Times New Roman"/>
          <w:b/>
          <w:u w:val="single"/>
        </w:rPr>
      </w:pPr>
      <w:r w:rsidRPr="000A6F69">
        <w:rPr>
          <w:rFonts w:ascii="Times New Roman" w:eastAsia="Calibri" w:hAnsi="Times New Roman" w:cs="Times New Roman"/>
          <w:b/>
          <w:u w:val="single"/>
        </w:rPr>
        <w:t>Problem Statement</w:t>
      </w:r>
    </w:p>
    <w:p w14:paraId="47F3FDC8" w14:textId="77777777" w:rsidR="000A6F69" w:rsidRPr="000A6F69" w:rsidRDefault="000A6F69" w:rsidP="000A6F69">
      <w:pPr>
        <w:spacing w:after="200" w:line="276" w:lineRule="auto"/>
        <w:rPr>
          <w:rFonts w:ascii="Times New Roman" w:eastAsia="Calibri" w:hAnsi="Times New Roman" w:cs="Times New Roman"/>
        </w:rPr>
      </w:pPr>
      <w:r w:rsidRPr="000A6F69">
        <w:rPr>
          <w:rFonts w:ascii="Times New Roman" w:eastAsia="Calibri" w:hAnsi="Times New Roman" w:cs="Times New Roman"/>
        </w:rPr>
        <w:t>The currently approved EE business plans contain limited information on and review of forecasted budgets, savings, and cost-effectiveness.  This lack of detail in the approved business plans requires that the scope of ABAL review include non-ministerial factual and policy questions that are difficult for the Energy Division staff to resolve in a timely manner that is consistent with Commission decisions.</w:t>
      </w:r>
    </w:p>
    <w:p w14:paraId="765BABAF" w14:textId="77777777" w:rsidR="000A6F69" w:rsidRPr="000A6F69" w:rsidRDefault="000A6F69" w:rsidP="000A6F69">
      <w:pPr>
        <w:spacing w:after="200" w:line="276" w:lineRule="auto"/>
        <w:rPr>
          <w:rFonts w:ascii="Times New Roman" w:eastAsia="Calibri" w:hAnsi="Times New Roman" w:cs="Times New Roman"/>
        </w:rPr>
      </w:pPr>
      <w:r w:rsidRPr="000A6F69">
        <w:rPr>
          <w:rFonts w:ascii="Times New Roman" w:eastAsia="Calibri" w:hAnsi="Times New Roman" w:cs="Times New Roman"/>
        </w:rPr>
        <w:t>In order to make the Business Plan/ABAL construct more effective, the scope and level of detail in Business Plan application proceedings must increase substantially so that the Commission can resolve factual and policy disputes in these formal proceedings.</w:t>
      </w:r>
    </w:p>
    <w:p w14:paraId="35D64419" w14:textId="77777777" w:rsidR="000A6F69" w:rsidRPr="000A6F69" w:rsidRDefault="000A6F69" w:rsidP="000A6F69">
      <w:pPr>
        <w:spacing w:after="200" w:line="276" w:lineRule="auto"/>
        <w:rPr>
          <w:rFonts w:ascii="Times New Roman" w:eastAsia="Calibri" w:hAnsi="Times New Roman" w:cs="Times New Roman"/>
        </w:rPr>
      </w:pPr>
      <w:r w:rsidRPr="000A6F69">
        <w:rPr>
          <w:rFonts w:ascii="Times New Roman" w:eastAsia="Calibri" w:hAnsi="Times New Roman" w:cs="Times New Roman"/>
        </w:rPr>
        <w:t>In practice, this will mean that applicants will need to justify the reasonableness of budgets and savings and cost-effectiveness forecasts.  This would include detailed showings of current and proposed expenditures and zero-based budgeting</w:t>
      </w:r>
      <w:r w:rsidRPr="000A6F69">
        <w:rPr>
          <w:rFonts w:ascii="Times New Roman" w:eastAsia="Calibri" w:hAnsi="Times New Roman" w:cs="Times New Roman"/>
          <w:vertAlign w:val="superscript"/>
        </w:rPr>
        <w:footnoteReference w:id="4"/>
      </w:r>
      <w:r w:rsidRPr="000A6F69">
        <w:rPr>
          <w:rFonts w:ascii="Times New Roman" w:eastAsia="Calibri" w:hAnsi="Times New Roman" w:cs="Times New Roman"/>
        </w:rPr>
        <w:t xml:space="preserve"> exercises as well as detailed testimony on forecasting inputs, methods, and results for the approval period.</w:t>
      </w:r>
    </w:p>
    <w:p w14:paraId="77FF3FBB" w14:textId="77777777" w:rsidR="000A6F69" w:rsidRPr="000A6F69" w:rsidRDefault="000A6F69" w:rsidP="000A6F69">
      <w:pPr>
        <w:spacing w:after="200" w:line="276" w:lineRule="auto"/>
        <w:rPr>
          <w:rFonts w:ascii="Times New Roman" w:eastAsia="Calibri" w:hAnsi="Times New Roman" w:cs="Times New Roman"/>
          <w:b/>
          <w:u w:val="single"/>
        </w:rPr>
      </w:pPr>
      <w:r w:rsidRPr="000A6F69">
        <w:rPr>
          <w:rFonts w:ascii="Times New Roman" w:eastAsia="Calibri" w:hAnsi="Times New Roman" w:cs="Times New Roman"/>
          <w:b/>
          <w:u w:val="single"/>
        </w:rPr>
        <w:t>Proposed Scope</w:t>
      </w:r>
    </w:p>
    <w:p w14:paraId="163CE22C" w14:textId="77777777" w:rsidR="000A6F69" w:rsidRPr="000A6F69" w:rsidRDefault="000A6F69" w:rsidP="000A6F69">
      <w:pPr>
        <w:numPr>
          <w:ilvl w:val="0"/>
          <w:numId w:val="10"/>
        </w:numPr>
        <w:spacing w:after="200" w:line="276" w:lineRule="auto"/>
        <w:contextualSpacing/>
        <w:rPr>
          <w:rFonts w:ascii="Times New Roman" w:eastAsia="Calibri" w:hAnsi="Times New Roman" w:cs="Times New Roman"/>
        </w:rPr>
      </w:pPr>
      <w:r w:rsidRPr="000A6F69">
        <w:rPr>
          <w:rFonts w:ascii="Times New Roman" w:eastAsia="Calibri" w:hAnsi="Times New Roman" w:cs="Times New Roman"/>
        </w:rPr>
        <w:t>Information to be included in EE applications</w:t>
      </w:r>
    </w:p>
    <w:p w14:paraId="38BD6191" w14:textId="77777777" w:rsidR="000A6F69" w:rsidRPr="000A6F69" w:rsidRDefault="000A6F69" w:rsidP="000A6F69">
      <w:pPr>
        <w:numPr>
          <w:ilvl w:val="0"/>
          <w:numId w:val="10"/>
        </w:numPr>
        <w:spacing w:after="200" w:line="276" w:lineRule="auto"/>
        <w:contextualSpacing/>
        <w:rPr>
          <w:rFonts w:ascii="Times New Roman" w:eastAsia="Calibri" w:hAnsi="Times New Roman" w:cs="Times New Roman"/>
        </w:rPr>
      </w:pPr>
      <w:r w:rsidRPr="000A6F69">
        <w:rPr>
          <w:rFonts w:ascii="Times New Roman" w:eastAsia="Calibri" w:hAnsi="Times New Roman" w:cs="Times New Roman"/>
        </w:rPr>
        <w:t>Required testimony for EE applications</w:t>
      </w:r>
    </w:p>
    <w:p w14:paraId="5454B843" w14:textId="77777777" w:rsidR="000A6F69" w:rsidRPr="000A6F69" w:rsidRDefault="000A6F69" w:rsidP="000A6F69">
      <w:pPr>
        <w:numPr>
          <w:ilvl w:val="0"/>
          <w:numId w:val="10"/>
        </w:numPr>
        <w:spacing w:after="200" w:line="276" w:lineRule="auto"/>
        <w:contextualSpacing/>
        <w:rPr>
          <w:rFonts w:ascii="Times New Roman" w:eastAsia="Calibri" w:hAnsi="Times New Roman" w:cs="Times New Roman"/>
        </w:rPr>
      </w:pPr>
      <w:r w:rsidRPr="000A6F69">
        <w:rPr>
          <w:rFonts w:ascii="Times New Roman" w:eastAsia="Calibri" w:hAnsi="Times New Roman" w:cs="Times New Roman"/>
        </w:rPr>
        <w:t>Required exhibits for EE applications</w:t>
      </w:r>
    </w:p>
    <w:p w14:paraId="689D7BD1" w14:textId="77777777" w:rsidR="00242FAC" w:rsidRDefault="00242FAC" w:rsidP="000A6F69">
      <w:pPr>
        <w:spacing w:after="200" w:line="276" w:lineRule="auto"/>
        <w:rPr>
          <w:rFonts w:ascii="Times New Roman" w:eastAsia="Calibri" w:hAnsi="Times New Roman" w:cs="Times New Roman"/>
          <w:b/>
          <w:u w:val="single"/>
        </w:rPr>
      </w:pPr>
    </w:p>
    <w:p w14:paraId="512DD235" w14:textId="318579C6" w:rsidR="000A6F69" w:rsidRPr="000A6F69" w:rsidRDefault="000A6F69" w:rsidP="000A6F69">
      <w:pPr>
        <w:spacing w:after="200" w:line="276" w:lineRule="auto"/>
        <w:rPr>
          <w:rFonts w:ascii="Times New Roman" w:eastAsia="Calibri" w:hAnsi="Times New Roman" w:cs="Times New Roman"/>
          <w:b/>
          <w:u w:val="single"/>
        </w:rPr>
      </w:pPr>
      <w:r w:rsidRPr="000A6F69">
        <w:rPr>
          <w:rFonts w:ascii="Times New Roman" w:eastAsia="Calibri" w:hAnsi="Times New Roman" w:cs="Times New Roman"/>
          <w:b/>
          <w:u w:val="single"/>
        </w:rPr>
        <w:t>Options for Application Structure and Contents</w:t>
      </w:r>
    </w:p>
    <w:p w14:paraId="65E61C5C" w14:textId="77777777" w:rsidR="000A6F69" w:rsidRPr="000A6F69" w:rsidRDefault="000A6F69" w:rsidP="000A6F69">
      <w:pPr>
        <w:spacing w:after="200" w:line="276" w:lineRule="auto"/>
        <w:rPr>
          <w:rFonts w:ascii="Times New Roman" w:eastAsia="Calibri" w:hAnsi="Times New Roman" w:cs="Times New Roman"/>
        </w:rPr>
      </w:pPr>
      <w:r w:rsidRPr="000A6F69">
        <w:rPr>
          <w:rFonts w:ascii="Times New Roman" w:eastAsia="Calibri" w:hAnsi="Times New Roman" w:cs="Times New Roman"/>
        </w:rPr>
        <w:t>Public Advocates Office proposes two different alternatives for the CAEECC’s consideration.  Both proposals assume the developing CAEECC consensus for a shorter, fixed-term funding cycle.</w:t>
      </w:r>
    </w:p>
    <w:p w14:paraId="47DADED9" w14:textId="77777777" w:rsidR="000A6F69" w:rsidRPr="000A6F69" w:rsidRDefault="000A6F69" w:rsidP="000A6F69">
      <w:pPr>
        <w:spacing w:after="200" w:line="276" w:lineRule="auto"/>
        <w:rPr>
          <w:rFonts w:ascii="Times New Roman" w:eastAsia="Calibri" w:hAnsi="Times New Roman" w:cs="Times New Roman"/>
          <w:b/>
        </w:rPr>
      </w:pPr>
      <w:r w:rsidRPr="000A6F69">
        <w:rPr>
          <w:rFonts w:ascii="Times New Roman" w:eastAsia="Calibri" w:hAnsi="Times New Roman" w:cs="Times New Roman"/>
          <w:b/>
          <w:i/>
        </w:rPr>
        <w:t>Option 1: Robust Reasonableness Showing with Full-Cycle Budget, Savings, and Cost-Effectiveness</w:t>
      </w:r>
    </w:p>
    <w:p w14:paraId="32A3F41D" w14:textId="77777777" w:rsidR="000A6F69" w:rsidRPr="000A6F69" w:rsidRDefault="000A6F69" w:rsidP="000A6F69">
      <w:pPr>
        <w:spacing w:after="200" w:line="276" w:lineRule="auto"/>
        <w:rPr>
          <w:rFonts w:ascii="Times New Roman" w:eastAsia="Calibri" w:hAnsi="Times New Roman" w:cs="Times New Roman"/>
        </w:rPr>
      </w:pPr>
      <w:r w:rsidRPr="000A6F69">
        <w:rPr>
          <w:rFonts w:ascii="Times New Roman" w:eastAsia="Calibri" w:hAnsi="Times New Roman" w:cs="Times New Roman"/>
        </w:rPr>
        <w:t>This option is similar in concept to the current budget, savings, and cost-effectiveness forecasts included in current and past EE applications, except that the Commission would require additional detail in the applicant showing to ensure a robust and sufficient record to inform Commission decisions.</w:t>
      </w:r>
    </w:p>
    <w:p w14:paraId="56D8C8BC" w14:textId="77777777" w:rsidR="000A6F69" w:rsidRPr="000A6F69" w:rsidRDefault="000A6F69" w:rsidP="000A6F69">
      <w:pPr>
        <w:spacing w:after="200" w:line="276" w:lineRule="auto"/>
        <w:rPr>
          <w:rFonts w:ascii="Times New Roman" w:eastAsia="Calibri" w:hAnsi="Times New Roman" w:cs="Times New Roman"/>
        </w:rPr>
      </w:pPr>
      <w:r w:rsidRPr="000A6F69">
        <w:rPr>
          <w:rFonts w:ascii="Times New Roman" w:eastAsia="Calibri" w:hAnsi="Times New Roman" w:cs="Times New Roman"/>
        </w:rPr>
        <w:lastRenderedPageBreak/>
        <w:t xml:space="preserve">As noted above, a cornerstone of the required showing for either proposed option is a zero-based budgeting exercise, wherein the applicant would justify in detailed testimony the reasonableness and prudence of all forecasted expenditures.  This would include a detailed presentation of forecast costs in all significant cost categories (e.g. labor/non-labor/capital/contract costs; admin/implementation/marketing costs; sector by sector costs, etc.).  While zero-based, the budget showing would also be required to include comparisons to recent program expenditures in the relevant budget categories in order to assess trends and adjust for changing circumstances.  As in all application proceedings, the burden would rest with the applicant to demonstrate the reasonableness of the relief requested. </w:t>
      </w:r>
    </w:p>
    <w:p w14:paraId="5599CA15" w14:textId="77777777" w:rsidR="000A6F69" w:rsidRPr="000A6F69" w:rsidRDefault="000A6F69" w:rsidP="000A6F69">
      <w:pPr>
        <w:spacing w:after="200" w:line="276" w:lineRule="auto"/>
        <w:rPr>
          <w:rFonts w:ascii="Times New Roman" w:eastAsia="Calibri" w:hAnsi="Times New Roman" w:cs="Times New Roman"/>
        </w:rPr>
      </w:pPr>
      <w:r w:rsidRPr="000A6F69">
        <w:rPr>
          <w:rFonts w:ascii="Times New Roman" w:eastAsia="Calibri" w:hAnsi="Times New Roman" w:cs="Times New Roman"/>
        </w:rPr>
        <w:t>For this option, the detailed budget testimony and supporting workpapers and exhibits would cover all years in the full application cycle.  Similarly, the savings and cost-effectiveness showings would require detailed testimony on the inputs, assumptions, and methods embedded in the forecast as well as the reasonableness of the forecast results.  In addition, testimony and exhibits would be required to demonstrate the reasonableness of the forecasts in light of historical performance, including realization rates, impact evaluation adjustments, and other relevant information.</w:t>
      </w:r>
    </w:p>
    <w:p w14:paraId="07EA7627" w14:textId="77777777" w:rsidR="000A6F69" w:rsidRPr="000A6F69" w:rsidRDefault="000A6F69" w:rsidP="000A6F69">
      <w:pPr>
        <w:spacing w:after="200" w:line="276" w:lineRule="auto"/>
        <w:rPr>
          <w:rFonts w:ascii="Times New Roman" w:eastAsia="Calibri" w:hAnsi="Times New Roman" w:cs="Times New Roman"/>
        </w:rPr>
      </w:pPr>
      <w:r w:rsidRPr="000A6F69">
        <w:rPr>
          <w:rFonts w:ascii="Times New Roman" w:eastAsia="Calibri" w:hAnsi="Times New Roman" w:cs="Times New Roman"/>
        </w:rPr>
        <w:t xml:space="preserve">In this option, the Commission would approve funding for the full application cycle in its decision, including the associated revenue requirement for each year in the cycle.  </w:t>
      </w:r>
    </w:p>
    <w:p w14:paraId="48C36692" w14:textId="77777777" w:rsidR="000A6F69" w:rsidRPr="000A6F69" w:rsidRDefault="000A6F69" w:rsidP="000A6F69">
      <w:pPr>
        <w:spacing w:after="200" w:line="276" w:lineRule="auto"/>
        <w:rPr>
          <w:rFonts w:ascii="Times New Roman" w:eastAsia="Calibri" w:hAnsi="Times New Roman" w:cs="Times New Roman"/>
        </w:rPr>
      </w:pPr>
      <w:r w:rsidRPr="000A6F69">
        <w:rPr>
          <w:rFonts w:ascii="Times New Roman" w:eastAsia="Calibri" w:hAnsi="Times New Roman" w:cs="Times New Roman"/>
        </w:rPr>
        <w:t>For this option, one feature to note is that because this review and approval would cover all years in the cycle, the longer the cycle the more difficult it will be for the applicant to produce a credible forecast.</w:t>
      </w:r>
    </w:p>
    <w:p w14:paraId="0B42D5EB" w14:textId="77777777" w:rsidR="000A6F69" w:rsidRPr="000A6F69" w:rsidRDefault="000A6F69" w:rsidP="000A6F69">
      <w:pPr>
        <w:spacing w:after="200" w:line="276" w:lineRule="auto"/>
        <w:rPr>
          <w:rFonts w:ascii="Times New Roman" w:eastAsia="Calibri" w:hAnsi="Times New Roman" w:cs="Times New Roman"/>
          <w:i/>
        </w:rPr>
      </w:pPr>
      <w:r w:rsidRPr="000A6F69">
        <w:rPr>
          <w:rFonts w:ascii="Times New Roman" w:eastAsia="Calibri" w:hAnsi="Times New Roman" w:cs="Times New Roman"/>
          <w:b/>
          <w:i/>
        </w:rPr>
        <w:t>Option 2: Robust Reasonableness Showing with Test Year and Attrition Years</w:t>
      </w:r>
    </w:p>
    <w:p w14:paraId="1E155AE9" w14:textId="77777777" w:rsidR="000A6F69" w:rsidRPr="000A6F69" w:rsidRDefault="000A6F69" w:rsidP="000A6F69">
      <w:pPr>
        <w:spacing w:after="200" w:line="276" w:lineRule="auto"/>
        <w:rPr>
          <w:rFonts w:ascii="Times New Roman" w:eastAsia="Calibri" w:hAnsi="Times New Roman" w:cs="Times New Roman"/>
        </w:rPr>
      </w:pPr>
      <w:r w:rsidRPr="000A6F69">
        <w:rPr>
          <w:rFonts w:ascii="Times New Roman" w:eastAsia="Calibri" w:hAnsi="Times New Roman" w:cs="Times New Roman"/>
        </w:rPr>
        <w:t xml:space="preserve">In this option, the applicant showing would similar in requirements to that outlined for Option 1, including zero-based budgeting, detailed testimony and showings on budget, savings, and cost-effectiveness.  However, the detailed showing would only cover the first year (known as the “test year”) of the application cycle.  </w:t>
      </w:r>
    </w:p>
    <w:p w14:paraId="344D5B83" w14:textId="77777777" w:rsidR="000A6F69" w:rsidRPr="000A6F69" w:rsidRDefault="000A6F69" w:rsidP="000A6F69">
      <w:pPr>
        <w:spacing w:after="200" w:line="276" w:lineRule="auto"/>
        <w:rPr>
          <w:rFonts w:ascii="Times New Roman" w:eastAsia="Calibri" w:hAnsi="Times New Roman" w:cs="Times New Roman"/>
        </w:rPr>
      </w:pPr>
      <w:r w:rsidRPr="000A6F69">
        <w:rPr>
          <w:rFonts w:ascii="Times New Roman" w:eastAsia="Calibri" w:hAnsi="Times New Roman" w:cs="Times New Roman"/>
        </w:rPr>
        <w:t xml:space="preserve">Budgets for subsequent years in the application cycle (also known as “attrition years”) would be based on the approved budget for the first year, adjusted by a limited range of factors.  These would include significant known and planned adjustments (e.g. a measure or group of measures accounting for significant savings going into code) and could include </w:t>
      </w:r>
      <w:proofErr w:type="gramStart"/>
      <w:r w:rsidRPr="000A6F69">
        <w:rPr>
          <w:rFonts w:ascii="Times New Roman" w:eastAsia="Calibri" w:hAnsi="Times New Roman" w:cs="Times New Roman"/>
        </w:rPr>
        <w:t>an</w:t>
      </w:r>
      <w:proofErr w:type="gramEnd"/>
      <w:r w:rsidRPr="000A6F69">
        <w:rPr>
          <w:rFonts w:ascii="Times New Roman" w:eastAsia="Calibri" w:hAnsi="Times New Roman" w:cs="Times New Roman"/>
        </w:rPr>
        <w:t xml:space="preserve"> small escalation factor if appropriate.</w:t>
      </w:r>
    </w:p>
    <w:p w14:paraId="16BC7347" w14:textId="77777777" w:rsidR="000A6F69" w:rsidRPr="000A6F69" w:rsidRDefault="000A6F69" w:rsidP="000A6F69">
      <w:pPr>
        <w:spacing w:after="200" w:line="276" w:lineRule="auto"/>
        <w:rPr>
          <w:rFonts w:ascii="Times New Roman" w:eastAsia="Calibri" w:hAnsi="Times New Roman" w:cs="Times New Roman"/>
        </w:rPr>
      </w:pPr>
      <w:r w:rsidRPr="000A6F69">
        <w:rPr>
          <w:rFonts w:ascii="Times New Roman" w:eastAsia="Calibri" w:hAnsi="Times New Roman" w:cs="Times New Roman"/>
        </w:rPr>
        <w:t>In this option, the Commission would approve funding for the test year in its decision as well as any adjustments to that budget for subsequent years in the cycle and the associated revenue requirements for each year.</w:t>
      </w:r>
    </w:p>
    <w:p w14:paraId="569F3798" w14:textId="77777777" w:rsidR="000A6F69" w:rsidRPr="000A6F69" w:rsidRDefault="000A6F69" w:rsidP="000A6F69">
      <w:pPr>
        <w:spacing w:after="200" w:line="276" w:lineRule="auto"/>
        <w:rPr>
          <w:rFonts w:ascii="Times New Roman" w:eastAsia="Calibri" w:hAnsi="Times New Roman" w:cs="Times New Roman"/>
        </w:rPr>
      </w:pPr>
      <w:r w:rsidRPr="000A6F69">
        <w:rPr>
          <w:rFonts w:ascii="Times New Roman" w:eastAsia="Calibri" w:hAnsi="Times New Roman" w:cs="Times New Roman"/>
        </w:rPr>
        <w:lastRenderedPageBreak/>
        <w:t>For this option, one feature to note is that it assumes that the test year is representative of full-cycle funding needs and that spending is largely stable over the course of the cycle.  Significant changes in the EE ecosystem affecting budgets, savings, and cost-effectiveness may be challenging in a test year/attrition year format, particularly if they occur on different timescales than the application cycle.</w:t>
      </w:r>
    </w:p>
    <w:p w14:paraId="3524A307" w14:textId="77777777" w:rsidR="000A6F69" w:rsidRPr="000A6F69" w:rsidRDefault="000A6F69" w:rsidP="000A6F69">
      <w:pPr>
        <w:spacing w:after="200" w:line="276" w:lineRule="auto"/>
        <w:rPr>
          <w:rFonts w:ascii="Times New Roman" w:eastAsia="Calibri" w:hAnsi="Times New Roman" w:cs="Times New Roman"/>
          <w:b/>
          <w:u w:val="single"/>
        </w:rPr>
      </w:pPr>
      <w:r w:rsidRPr="000A6F69">
        <w:rPr>
          <w:rFonts w:ascii="Times New Roman" w:eastAsia="Calibri" w:hAnsi="Times New Roman" w:cs="Times New Roman"/>
          <w:b/>
          <w:u w:val="single"/>
        </w:rPr>
        <w:t>Options for Mid-Cycle Reviews and Filings</w:t>
      </w:r>
    </w:p>
    <w:p w14:paraId="598F1118" w14:textId="77777777" w:rsidR="000A6F69" w:rsidRPr="000A6F69" w:rsidRDefault="000A6F69" w:rsidP="000A6F69">
      <w:pPr>
        <w:spacing w:after="200" w:line="276" w:lineRule="auto"/>
        <w:rPr>
          <w:rFonts w:ascii="Times New Roman" w:eastAsia="Calibri" w:hAnsi="Times New Roman" w:cs="Times New Roman"/>
        </w:rPr>
      </w:pPr>
      <w:r w:rsidRPr="000A6F69">
        <w:rPr>
          <w:rFonts w:ascii="Times New Roman" w:eastAsia="Calibri" w:hAnsi="Times New Roman" w:cs="Times New Roman"/>
        </w:rPr>
        <w:t>Public Advocates Office proposes several different alternatives for the CAEECC’s consideration.  The options in this section are not specifically tied to the application format chosen and can be mixed and matched as appropriate for the purpose at hand.</w:t>
      </w:r>
    </w:p>
    <w:p w14:paraId="608F9F7B" w14:textId="77777777" w:rsidR="000A6F69" w:rsidRPr="000A6F69" w:rsidRDefault="000A6F69" w:rsidP="000A6F69">
      <w:pPr>
        <w:spacing w:after="200" w:line="276" w:lineRule="auto"/>
        <w:rPr>
          <w:rFonts w:ascii="Times New Roman" w:eastAsia="Calibri" w:hAnsi="Times New Roman" w:cs="Times New Roman"/>
          <w:b/>
          <w:bCs/>
          <w:i/>
          <w:iCs/>
        </w:rPr>
      </w:pPr>
      <w:r w:rsidRPr="000A6F69">
        <w:rPr>
          <w:rFonts w:ascii="Times New Roman" w:eastAsia="Calibri" w:hAnsi="Times New Roman" w:cs="Times New Roman"/>
          <w:b/>
          <w:bCs/>
          <w:i/>
          <w:iCs/>
        </w:rPr>
        <w:t>Option A: Mid-Cycle Petition for Modification</w:t>
      </w:r>
    </w:p>
    <w:p w14:paraId="00E622C1" w14:textId="77777777" w:rsidR="000A6F69" w:rsidRPr="000A6F69" w:rsidRDefault="000A6F69" w:rsidP="000A6F69">
      <w:pPr>
        <w:spacing w:after="200" w:line="276" w:lineRule="auto"/>
        <w:rPr>
          <w:rFonts w:ascii="Times New Roman" w:eastAsia="Calibri" w:hAnsi="Times New Roman" w:cs="Times New Roman"/>
        </w:rPr>
      </w:pPr>
      <w:r w:rsidRPr="000A6F69">
        <w:rPr>
          <w:rFonts w:ascii="Times New Roman" w:eastAsia="Calibri" w:hAnsi="Times New Roman" w:cs="Times New Roman"/>
        </w:rPr>
        <w:t>Petitions for modification (PFMs) are useful for allowing formal consideration (including record building) to support material changes to determinations made in the application proceeding decision.  In terms of the application options above, a PFM may be an appropriate vehicle for the Commission to consider updated forecasts that affect budget, savings, and cost-effectiveness showings, particularly for longer budget cycles.</w:t>
      </w:r>
    </w:p>
    <w:p w14:paraId="17CFFD43" w14:textId="77777777" w:rsidR="000A6F69" w:rsidRPr="000A6F69" w:rsidRDefault="000A6F69" w:rsidP="000A6F69">
      <w:pPr>
        <w:spacing w:after="200" w:line="276" w:lineRule="auto"/>
        <w:rPr>
          <w:rFonts w:ascii="Times New Roman" w:eastAsia="Calibri" w:hAnsi="Times New Roman" w:cs="Times New Roman"/>
        </w:rPr>
      </w:pPr>
      <w:r w:rsidRPr="000A6F69">
        <w:rPr>
          <w:rFonts w:ascii="Times New Roman" w:eastAsia="Calibri" w:hAnsi="Times New Roman" w:cs="Times New Roman"/>
        </w:rPr>
        <w:t>A PFM could be used for an incremental budgeting exercise in which the applicant requests modifications to the basis and results of the previously-approved budgets at mid-cycle in response to new or updated information.</w:t>
      </w:r>
    </w:p>
    <w:p w14:paraId="2133C132" w14:textId="77777777" w:rsidR="000A6F69" w:rsidRPr="000A6F69" w:rsidRDefault="000A6F69" w:rsidP="000A6F69">
      <w:pPr>
        <w:spacing w:after="200" w:line="276" w:lineRule="auto"/>
        <w:rPr>
          <w:rFonts w:ascii="Times New Roman" w:eastAsia="Calibri" w:hAnsi="Times New Roman" w:cs="Times New Roman"/>
          <w:b/>
          <w:bCs/>
          <w:i/>
          <w:iCs/>
        </w:rPr>
      </w:pPr>
      <w:r w:rsidRPr="000A6F69">
        <w:rPr>
          <w:rFonts w:ascii="Times New Roman" w:eastAsia="Calibri" w:hAnsi="Times New Roman" w:cs="Times New Roman"/>
          <w:b/>
          <w:bCs/>
          <w:i/>
          <w:iCs/>
        </w:rPr>
        <w:t>Option B: Mid-Cycle Tier 3 Advice Letter</w:t>
      </w:r>
    </w:p>
    <w:p w14:paraId="59874F93" w14:textId="77777777" w:rsidR="000A6F69" w:rsidRPr="000A6F69" w:rsidRDefault="000A6F69" w:rsidP="000A6F69">
      <w:pPr>
        <w:spacing w:after="200" w:line="276" w:lineRule="auto"/>
        <w:rPr>
          <w:rFonts w:ascii="Times New Roman" w:eastAsia="Calibri" w:hAnsi="Times New Roman" w:cs="Times New Roman"/>
        </w:rPr>
      </w:pPr>
      <w:r w:rsidRPr="000A6F69">
        <w:rPr>
          <w:rFonts w:ascii="Times New Roman" w:eastAsia="Calibri" w:hAnsi="Times New Roman" w:cs="Times New Roman"/>
        </w:rPr>
        <w:t xml:space="preserve">A mid-cycle Tier 3 advice letter would be an appropriate vehicle for making budget changes that do not require modification of the basis and result of the previously-approved budgets.  For example, a Tier 3 advice letter could be used to change funding levels in response to a Commission decision in another proceeding such as an EE rulemaking that alter funding needs but do not fundamentally change the basis or results of the previously-approved application.  This is particularly useful for adding or subtracting discrete activities at mid-cycle. </w:t>
      </w:r>
    </w:p>
    <w:p w14:paraId="3704A9A2" w14:textId="77777777" w:rsidR="000A6F69" w:rsidRPr="000A6F69" w:rsidRDefault="000A6F69" w:rsidP="000A6F69">
      <w:pPr>
        <w:spacing w:after="200" w:line="276" w:lineRule="auto"/>
        <w:rPr>
          <w:rFonts w:ascii="Times New Roman" w:eastAsia="Calibri" w:hAnsi="Times New Roman" w:cs="Times New Roman"/>
          <w:b/>
          <w:bCs/>
          <w:i/>
          <w:iCs/>
        </w:rPr>
      </w:pPr>
      <w:r w:rsidRPr="000A6F69">
        <w:rPr>
          <w:rFonts w:ascii="Times New Roman" w:eastAsia="Calibri" w:hAnsi="Times New Roman" w:cs="Times New Roman"/>
          <w:b/>
          <w:bCs/>
          <w:i/>
          <w:iCs/>
        </w:rPr>
        <w:t>Option C: Annual Tier 1 Advice Letter</w:t>
      </w:r>
    </w:p>
    <w:p w14:paraId="48EC8B4F" w14:textId="55D301D4" w:rsidR="000A6F69" w:rsidRDefault="000A6F69" w:rsidP="000A6F69">
      <w:pPr>
        <w:spacing w:after="200" w:line="276" w:lineRule="auto"/>
        <w:rPr>
          <w:rFonts w:ascii="Times New Roman" w:eastAsia="Calibri" w:hAnsi="Times New Roman" w:cs="Times New Roman"/>
          <w:bCs/>
        </w:rPr>
      </w:pPr>
      <w:r w:rsidRPr="000A6F69">
        <w:rPr>
          <w:rFonts w:ascii="Times New Roman" w:eastAsia="Calibri" w:hAnsi="Times New Roman" w:cs="Times New Roman"/>
          <w:bCs/>
        </w:rPr>
        <w:t>An annual Tier 1 advice letter would be an appropriate vehicle for reporting information to the Commission.  It is a ministerial submission and should not affect budgets, savings, or cost-effectiveness forecasts.  Potential uses include performance reporting and revising revenue requirements due to unspent funds.  A Tier 1 advice letter could also be an appropriate vehicle for reporting on trigger events and informing the Commission if/when those triggers have been met.</w:t>
      </w:r>
    </w:p>
    <w:p w14:paraId="1AFA01A0" w14:textId="041D2847" w:rsidR="000A6F69" w:rsidRDefault="000A6F69">
      <w:pPr>
        <w:rPr>
          <w:rFonts w:ascii="Times New Roman" w:eastAsia="Calibri" w:hAnsi="Times New Roman" w:cs="Times New Roman"/>
          <w:bCs/>
        </w:rPr>
      </w:pPr>
      <w:r>
        <w:rPr>
          <w:rFonts w:ascii="Times New Roman" w:eastAsia="Calibri" w:hAnsi="Times New Roman" w:cs="Times New Roman"/>
          <w:bCs/>
        </w:rPr>
        <w:br w:type="page"/>
      </w:r>
    </w:p>
    <w:p w14:paraId="01475E7F" w14:textId="471CA75A" w:rsidR="000A6F69" w:rsidRPr="000A6F69" w:rsidRDefault="000A6F69" w:rsidP="000A6F69">
      <w:pPr>
        <w:shd w:val="clear" w:color="auto" w:fill="FFFFFF"/>
        <w:jc w:val="center"/>
        <w:rPr>
          <w:rFonts w:ascii="Times New Roman" w:eastAsia="Times New Roman" w:hAnsi="Times New Roman" w:cs="Times New Roman"/>
          <w:b/>
          <w:bCs/>
          <w:color w:val="222222"/>
          <w:sz w:val="28"/>
          <w:szCs w:val="28"/>
        </w:rPr>
      </w:pPr>
      <w:r w:rsidRPr="000A6F69">
        <w:rPr>
          <w:rFonts w:ascii="Times New Roman" w:eastAsia="Times New Roman" w:hAnsi="Times New Roman" w:cs="Times New Roman"/>
          <w:b/>
          <w:bCs/>
          <w:color w:val="222222"/>
          <w:sz w:val="28"/>
          <w:szCs w:val="28"/>
        </w:rPr>
        <w:lastRenderedPageBreak/>
        <w:t>Appendix B: 4 v. 6 Year Cycle: Pros/Cons and Assumptions for Discussion</w:t>
      </w:r>
    </w:p>
    <w:p w14:paraId="2A00D0FB" w14:textId="77777777" w:rsidR="000A6F69" w:rsidRPr="00DE5640" w:rsidRDefault="000A6F69" w:rsidP="000A6F69">
      <w:pPr>
        <w:shd w:val="clear" w:color="auto" w:fill="FFFFFF"/>
        <w:jc w:val="center"/>
        <w:rPr>
          <w:rFonts w:ascii="Arial" w:eastAsia="Times New Roman" w:hAnsi="Arial" w:cs="Arial"/>
          <w:color w:val="222222"/>
          <w:sz w:val="28"/>
          <w:szCs w:val="28"/>
        </w:rPr>
      </w:pPr>
    </w:p>
    <w:tbl>
      <w:tblPr>
        <w:tblW w:w="10700" w:type="dxa"/>
        <w:tblInd w:w="-676" w:type="dxa"/>
        <w:shd w:val="clear" w:color="auto" w:fill="FFFFFF"/>
        <w:tblCellMar>
          <w:left w:w="0" w:type="dxa"/>
          <w:right w:w="0" w:type="dxa"/>
        </w:tblCellMar>
        <w:tblLook w:val="04A0" w:firstRow="1" w:lastRow="0" w:firstColumn="1" w:lastColumn="0" w:noHBand="0" w:noVBand="1"/>
      </w:tblPr>
      <w:tblGrid>
        <w:gridCol w:w="1981"/>
        <w:gridCol w:w="2059"/>
        <w:gridCol w:w="2340"/>
        <w:gridCol w:w="2250"/>
        <w:gridCol w:w="2070"/>
      </w:tblGrid>
      <w:tr w:rsidR="000A6F69" w:rsidRPr="00643518" w14:paraId="5FB4B4FA" w14:textId="77777777" w:rsidTr="00654C89">
        <w:tc>
          <w:tcPr>
            <w:tcW w:w="198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C5DF26A" w14:textId="77777777" w:rsidR="000A6F69" w:rsidRPr="00643518" w:rsidRDefault="000A6F69" w:rsidP="00F1166C">
            <w:pPr>
              <w:spacing w:line="207" w:lineRule="atLeast"/>
              <w:jc w:val="center"/>
              <w:rPr>
                <w:rFonts w:ascii="Helvetica" w:eastAsia="Times New Roman" w:hAnsi="Helvetica" w:cs="Arial"/>
                <w:color w:val="222222"/>
              </w:rPr>
            </w:pPr>
            <w:r w:rsidRPr="00643518">
              <w:rPr>
                <w:rFonts w:ascii="Helvetica" w:eastAsia="Times New Roman" w:hAnsi="Helvetica" w:cs="Arial"/>
                <w:b/>
                <w:bCs/>
                <w:color w:val="222222"/>
              </w:rPr>
              <w:t>Topic</w:t>
            </w:r>
          </w:p>
        </w:tc>
        <w:tc>
          <w:tcPr>
            <w:tcW w:w="4399"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B29D1EB" w14:textId="77777777" w:rsidR="000A6F69" w:rsidRPr="00643518" w:rsidRDefault="000A6F69" w:rsidP="00F1166C">
            <w:pPr>
              <w:spacing w:line="207" w:lineRule="atLeast"/>
              <w:jc w:val="center"/>
              <w:rPr>
                <w:rFonts w:ascii="Helvetica" w:eastAsia="Times New Roman" w:hAnsi="Helvetica" w:cs="Arial"/>
                <w:color w:val="222222"/>
              </w:rPr>
            </w:pPr>
            <w:r w:rsidRPr="00643518">
              <w:rPr>
                <w:rFonts w:ascii="Helvetica" w:eastAsia="Times New Roman" w:hAnsi="Helvetica" w:cs="Arial"/>
                <w:b/>
                <w:bCs/>
                <w:color w:val="222222"/>
              </w:rPr>
              <w:t xml:space="preserve">4 </w:t>
            </w:r>
            <w:r>
              <w:rPr>
                <w:rFonts w:ascii="Helvetica" w:eastAsia="Times New Roman" w:hAnsi="Helvetica" w:cs="Arial"/>
                <w:b/>
                <w:bCs/>
                <w:color w:val="222222"/>
              </w:rPr>
              <w:t>Y</w:t>
            </w:r>
            <w:r w:rsidRPr="00643518">
              <w:rPr>
                <w:rFonts w:ascii="Helvetica" w:eastAsia="Times New Roman" w:hAnsi="Helvetica" w:cs="Arial"/>
                <w:b/>
                <w:bCs/>
                <w:color w:val="222222"/>
              </w:rPr>
              <w:t xml:space="preserve">ear </w:t>
            </w:r>
            <w:r>
              <w:rPr>
                <w:rFonts w:ascii="Helvetica" w:eastAsia="Times New Roman" w:hAnsi="Helvetica" w:cs="Arial"/>
                <w:b/>
                <w:bCs/>
                <w:color w:val="222222"/>
              </w:rPr>
              <w:t>C</w:t>
            </w:r>
            <w:r w:rsidRPr="00643518">
              <w:rPr>
                <w:rFonts w:ascii="Helvetica" w:eastAsia="Times New Roman" w:hAnsi="Helvetica" w:cs="Arial"/>
                <w:b/>
                <w:bCs/>
                <w:color w:val="222222"/>
              </w:rPr>
              <w:t>ycle</w:t>
            </w:r>
          </w:p>
        </w:tc>
        <w:tc>
          <w:tcPr>
            <w:tcW w:w="4320"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E66FAEA" w14:textId="77777777" w:rsidR="000A6F69" w:rsidRPr="00643518" w:rsidRDefault="000A6F69" w:rsidP="00F1166C">
            <w:pPr>
              <w:spacing w:line="207" w:lineRule="atLeast"/>
              <w:jc w:val="center"/>
              <w:rPr>
                <w:rFonts w:ascii="Helvetica" w:eastAsia="Times New Roman" w:hAnsi="Helvetica" w:cs="Arial"/>
                <w:color w:val="222222"/>
              </w:rPr>
            </w:pPr>
            <w:r w:rsidRPr="00643518">
              <w:rPr>
                <w:rFonts w:ascii="Helvetica" w:eastAsia="Times New Roman" w:hAnsi="Helvetica" w:cs="Arial"/>
                <w:b/>
                <w:bCs/>
                <w:color w:val="222222"/>
              </w:rPr>
              <w:t xml:space="preserve">6 </w:t>
            </w:r>
            <w:r>
              <w:rPr>
                <w:rFonts w:ascii="Helvetica" w:eastAsia="Times New Roman" w:hAnsi="Helvetica" w:cs="Arial"/>
                <w:b/>
                <w:bCs/>
                <w:color w:val="222222"/>
              </w:rPr>
              <w:t>Y</w:t>
            </w:r>
            <w:r w:rsidRPr="00643518">
              <w:rPr>
                <w:rFonts w:ascii="Helvetica" w:eastAsia="Times New Roman" w:hAnsi="Helvetica" w:cs="Arial"/>
                <w:b/>
                <w:bCs/>
                <w:color w:val="222222"/>
              </w:rPr>
              <w:t xml:space="preserve">ear </w:t>
            </w:r>
            <w:r>
              <w:rPr>
                <w:rFonts w:ascii="Helvetica" w:eastAsia="Times New Roman" w:hAnsi="Helvetica" w:cs="Arial"/>
                <w:b/>
                <w:bCs/>
                <w:color w:val="222222"/>
              </w:rPr>
              <w:t>C</w:t>
            </w:r>
            <w:r w:rsidRPr="00643518">
              <w:rPr>
                <w:rFonts w:ascii="Helvetica" w:eastAsia="Times New Roman" w:hAnsi="Helvetica" w:cs="Arial"/>
                <w:b/>
                <w:bCs/>
                <w:color w:val="222222"/>
              </w:rPr>
              <w:t>ycle</w:t>
            </w:r>
          </w:p>
        </w:tc>
      </w:tr>
      <w:tr w:rsidR="000A6F69" w:rsidRPr="00643518" w14:paraId="6B23F937" w14:textId="77777777" w:rsidTr="00654C89">
        <w:tc>
          <w:tcPr>
            <w:tcW w:w="198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28FD016" w14:textId="77777777" w:rsidR="000A6F69" w:rsidRPr="00643518" w:rsidRDefault="000A6F69" w:rsidP="00F1166C">
            <w:pPr>
              <w:spacing w:line="207" w:lineRule="atLeast"/>
              <w:rPr>
                <w:rFonts w:ascii="Helvetica" w:eastAsia="Times New Roman" w:hAnsi="Helvetica" w:cs="Arial"/>
                <w:color w:val="222222"/>
              </w:rPr>
            </w:pPr>
            <w:r w:rsidRPr="00643518">
              <w:rPr>
                <w:rFonts w:ascii="Helvetica" w:eastAsia="Times New Roman" w:hAnsi="Helvetica" w:cs="Arial"/>
                <w:color w:val="222222"/>
              </w:rPr>
              <w:t> </w:t>
            </w:r>
          </w:p>
        </w:tc>
        <w:tc>
          <w:tcPr>
            <w:tcW w:w="20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22E99BB" w14:textId="77777777" w:rsidR="000A6F69" w:rsidRPr="00643518" w:rsidRDefault="000A6F69" w:rsidP="00F1166C">
            <w:pPr>
              <w:spacing w:line="207" w:lineRule="atLeast"/>
              <w:rPr>
                <w:rFonts w:ascii="Helvetica" w:eastAsia="Times New Roman" w:hAnsi="Helvetica" w:cs="Arial"/>
                <w:color w:val="222222"/>
              </w:rPr>
            </w:pPr>
            <w:r w:rsidRPr="00643518">
              <w:rPr>
                <w:rFonts w:ascii="Helvetica" w:eastAsia="Times New Roman" w:hAnsi="Helvetica" w:cs="Arial"/>
                <w:b/>
                <w:bCs/>
                <w:color w:val="222222"/>
              </w:rPr>
              <w:t>Pro</w:t>
            </w:r>
          </w:p>
        </w:tc>
        <w:tc>
          <w:tcPr>
            <w:tcW w:w="23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0CC8E8C" w14:textId="77777777" w:rsidR="000A6F69" w:rsidRPr="00643518" w:rsidRDefault="000A6F69" w:rsidP="00F1166C">
            <w:pPr>
              <w:spacing w:line="207" w:lineRule="atLeast"/>
              <w:rPr>
                <w:rFonts w:ascii="Helvetica" w:eastAsia="Times New Roman" w:hAnsi="Helvetica" w:cs="Arial"/>
                <w:color w:val="222222"/>
              </w:rPr>
            </w:pPr>
            <w:r w:rsidRPr="00643518">
              <w:rPr>
                <w:rFonts w:ascii="Helvetica" w:eastAsia="Times New Roman" w:hAnsi="Helvetica" w:cs="Arial"/>
                <w:b/>
                <w:bCs/>
                <w:color w:val="222222"/>
              </w:rPr>
              <w:t>Con</w:t>
            </w:r>
          </w:p>
        </w:tc>
        <w:tc>
          <w:tcPr>
            <w:tcW w:w="22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285751E" w14:textId="77777777" w:rsidR="000A6F69" w:rsidRPr="00643518" w:rsidRDefault="000A6F69" w:rsidP="00F1166C">
            <w:pPr>
              <w:spacing w:line="207" w:lineRule="atLeast"/>
              <w:rPr>
                <w:rFonts w:ascii="Helvetica" w:eastAsia="Times New Roman" w:hAnsi="Helvetica" w:cs="Arial"/>
                <w:color w:val="222222"/>
              </w:rPr>
            </w:pPr>
            <w:r w:rsidRPr="00643518">
              <w:rPr>
                <w:rFonts w:ascii="Helvetica" w:eastAsia="Times New Roman" w:hAnsi="Helvetica" w:cs="Arial"/>
                <w:b/>
                <w:bCs/>
                <w:color w:val="222222"/>
              </w:rPr>
              <w:t>Pro</w:t>
            </w:r>
          </w:p>
        </w:tc>
        <w:tc>
          <w:tcPr>
            <w:tcW w:w="20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4EAB4B8" w14:textId="77777777" w:rsidR="000A6F69" w:rsidRPr="00643518" w:rsidRDefault="000A6F69" w:rsidP="00F1166C">
            <w:pPr>
              <w:spacing w:line="207" w:lineRule="atLeast"/>
              <w:rPr>
                <w:rFonts w:ascii="Helvetica" w:eastAsia="Times New Roman" w:hAnsi="Helvetica" w:cs="Arial"/>
                <w:color w:val="222222"/>
              </w:rPr>
            </w:pPr>
            <w:r w:rsidRPr="00643518">
              <w:rPr>
                <w:rFonts w:ascii="Helvetica" w:eastAsia="Times New Roman" w:hAnsi="Helvetica" w:cs="Arial"/>
                <w:b/>
                <w:bCs/>
                <w:color w:val="222222"/>
              </w:rPr>
              <w:t>Con</w:t>
            </w:r>
          </w:p>
        </w:tc>
      </w:tr>
      <w:tr w:rsidR="000A6F69" w:rsidRPr="00643518" w14:paraId="784CFF10" w14:textId="77777777" w:rsidTr="00654C89">
        <w:tc>
          <w:tcPr>
            <w:tcW w:w="198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E1CB547" w14:textId="77777777" w:rsidR="000A6F69" w:rsidRDefault="000A6F69" w:rsidP="00F1166C">
            <w:pPr>
              <w:spacing w:line="207" w:lineRule="atLeast"/>
              <w:rPr>
                <w:rFonts w:ascii="Helvetica" w:eastAsia="Times New Roman" w:hAnsi="Helvetica" w:cs="Arial"/>
                <w:color w:val="222222"/>
              </w:rPr>
            </w:pPr>
            <w:r w:rsidRPr="00643518">
              <w:rPr>
                <w:rFonts w:ascii="Helvetica" w:eastAsia="Times New Roman" w:hAnsi="Helvetica" w:cs="Arial"/>
                <w:color w:val="222222"/>
              </w:rPr>
              <w:t>Reliability of forecast</w:t>
            </w:r>
          </w:p>
          <w:p w14:paraId="0E636034" w14:textId="77777777" w:rsidR="000A6F69" w:rsidRPr="00643518" w:rsidRDefault="000A6F69" w:rsidP="00F1166C">
            <w:pPr>
              <w:spacing w:line="207" w:lineRule="atLeast"/>
              <w:rPr>
                <w:rFonts w:ascii="Helvetica" w:eastAsia="Times New Roman" w:hAnsi="Helvetica" w:cs="Arial"/>
                <w:color w:val="222222"/>
              </w:rPr>
            </w:pPr>
          </w:p>
        </w:tc>
        <w:tc>
          <w:tcPr>
            <w:tcW w:w="20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56E6497" w14:textId="77777777" w:rsidR="000A6F69" w:rsidRPr="00643518" w:rsidRDefault="000A6F69" w:rsidP="00F1166C">
            <w:pPr>
              <w:spacing w:line="207" w:lineRule="atLeast"/>
              <w:rPr>
                <w:rFonts w:ascii="Helvetica" w:eastAsia="Times New Roman" w:hAnsi="Helvetica" w:cs="Arial"/>
                <w:color w:val="222222"/>
              </w:rPr>
            </w:pPr>
            <w:r w:rsidRPr="00643518">
              <w:rPr>
                <w:rFonts w:ascii="Helvetica" w:eastAsia="Times New Roman" w:hAnsi="Helvetica" w:cs="Arial"/>
                <w:color w:val="222222"/>
              </w:rPr>
              <w:t>More reliable</w:t>
            </w:r>
          </w:p>
        </w:tc>
        <w:tc>
          <w:tcPr>
            <w:tcW w:w="23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715A316" w14:textId="77777777" w:rsidR="000A6F69" w:rsidRPr="00643518" w:rsidRDefault="000A6F69" w:rsidP="00F1166C">
            <w:pPr>
              <w:spacing w:line="207" w:lineRule="atLeast"/>
              <w:rPr>
                <w:rFonts w:ascii="Helvetica" w:eastAsia="Times New Roman" w:hAnsi="Helvetica" w:cs="Arial"/>
                <w:color w:val="222222"/>
              </w:rPr>
            </w:pPr>
            <w:r w:rsidRPr="00643518">
              <w:rPr>
                <w:rFonts w:ascii="Helvetica" w:eastAsia="Times New Roman" w:hAnsi="Helvetica" w:cs="Arial"/>
                <w:color w:val="222222"/>
              </w:rPr>
              <w:t> </w:t>
            </w:r>
          </w:p>
        </w:tc>
        <w:tc>
          <w:tcPr>
            <w:tcW w:w="22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41E5F9B" w14:textId="77777777" w:rsidR="000A6F69" w:rsidRPr="00643518" w:rsidRDefault="000A6F69" w:rsidP="00F1166C">
            <w:pPr>
              <w:spacing w:line="207" w:lineRule="atLeast"/>
              <w:rPr>
                <w:rFonts w:ascii="Helvetica" w:eastAsia="Times New Roman" w:hAnsi="Helvetica" w:cs="Arial"/>
                <w:color w:val="222222"/>
              </w:rPr>
            </w:pPr>
            <w:r w:rsidRPr="00643518">
              <w:rPr>
                <w:rFonts w:ascii="Helvetica" w:eastAsia="Times New Roman" w:hAnsi="Helvetica" w:cs="Arial"/>
                <w:color w:val="222222"/>
              </w:rPr>
              <w:t> </w:t>
            </w:r>
          </w:p>
        </w:tc>
        <w:tc>
          <w:tcPr>
            <w:tcW w:w="20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C468444" w14:textId="77777777" w:rsidR="000A6F69" w:rsidRPr="00643518" w:rsidRDefault="000A6F69" w:rsidP="00F1166C">
            <w:pPr>
              <w:spacing w:line="207" w:lineRule="atLeast"/>
              <w:rPr>
                <w:rFonts w:ascii="Helvetica" w:eastAsia="Times New Roman" w:hAnsi="Helvetica" w:cs="Arial"/>
                <w:color w:val="222222"/>
              </w:rPr>
            </w:pPr>
            <w:r w:rsidRPr="00643518">
              <w:rPr>
                <w:rFonts w:ascii="Helvetica" w:eastAsia="Times New Roman" w:hAnsi="Helvetica" w:cs="Arial"/>
                <w:color w:val="222222"/>
              </w:rPr>
              <w:t>Less reliable</w:t>
            </w:r>
          </w:p>
        </w:tc>
      </w:tr>
      <w:tr w:rsidR="000A6F69" w:rsidRPr="00643518" w14:paraId="5921F12D" w14:textId="77777777" w:rsidTr="00654C89">
        <w:tc>
          <w:tcPr>
            <w:tcW w:w="198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CE20B43" w14:textId="77777777" w:rsidR="000A6F69" w:rsidRPr="00643518" w:rsidRDefault="000A6F69" w:rsidP="00F1166C">
            <w:pPr>
              <w:spacing w:line="207" w:lineRule="atLeast"/>
              <w:rPr>
                <w:rFonts w:ascii="Helvetica" w:eastAsia="Times New Roman" w:hAnsi="Helvetica" w:cs="Arial"/>
                <w:color w:val="222222"/>
              </w:rPr>
            </w:pPr>
            <w:r w:rsidRPr="00643518">
              <w:rPr>
                <w:rFonts w:ascii="Helvetica" w:eastAsia="Times New Roman" w:hAnsi="Helvetica" w:cs="Arial"/>
                <w:color w:val="222222"/>
              </w:rPr>
              <w:t>Sufficient time to develop, vet, approve any mid cycle filing</w:t>
            </w:r>
            <w:r>
              <w:rPr>
                <w:rFonts w:ascii="Helvetica" w:eastAsia="Times New Roman" w:hAnsi="Helvetica" w:cs="Arial"/>
                <w:color w:val="222222"/>
              </w:rPr>
              <w:t xml:space="preserve">. </w:t>
            </w:r>
          </w:p>
        </w:tc>
        <w:tc>
          <w:tcPr>
            <w:tcW w:w="20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D6EC52" w14:textId="77777777" w:rsidR="000A6F69" w:rsidRPr="00643518" w:rsidRDefault="000A6F69" w:rsidP="00F1166C">
            <w:pPr>
              <w:spacing w:line="207" w:lineRule="atLeast"/>
              <w:rPr>
                <w:rFonts w:ascii="Helvetica" w:eastAsia="Times New Roman" w:hAnsi="Helvetica" w:cs="Arial"/>
                <w:color w:val="222222"/>
              </w:rPr>
            </w:pPr>
            <w:r w:rsidRPr="00643518">
              <w:rPr>
                <w:rFonts w:ascii="Helvetica" w:eastAsia="Times New Roman" w:hAnsi="Helvetica" w:cs="Arial"/>
                <w:color w:val="222222"/>
              </w:rPr>
              <w:t> </w:t>
            </w:r>
          </w:p>
        </w:tc>
        <w:tc>
          <w:tcPr>
            <w:tcW w:w="23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E34DD9B" w14:textId="77777777" w:rsidR="000A6F69" w:rsidRDefault="000A6F69" w:rsidP="00F1166C">
            <w:pPr>
              <w:spacing w:line="207" w:lineRule="atLeast"/>
              <w:rPr>
                <w:rFonts w:ascii="Helvetica" w:eastAsia="Times New Roman" w:hAnsi="Helvetica" w:cs="Arial"/>
                <w:color w:val="222222"/>
              </w:rPr>
            </w:pPr>
            <w:r>
              <w:rPr>
                <w:rFonts w:ascii="Helvetica" w:eastAsia="Times New Roman" w:hAnsi="Helvetica" w:cs="Arial"/>
                <w:color w:val="222222"/>
              </w:rPr>
              <w:t>Mid-cycle review would result in back-to-back filings. (S</w:t>
            </w:r>
            <w:r w:rsidRPr="00643518">
              <w:rPr>
                <w:rFonts w:ascii="Helvetica" w:eastAsia="Times New Roman" w:hAnsi="Helvetica" w:cs="Arial"/>
                <w:color w:val="222222"/>
              </w:rPr>
              <w:t xml:space="preserve">tart </w:t>
            </w:r>
            <w:r>
              <w:rPr>
                <w:rFonts w:ascii="Helvetica" w:eastAsia="Times New Roman" w:hAnsi="Helvetica" w:cs="Arial"/>
                <w:color w:val="222222"/>
              </w:rPr>
              <w:t>mid-cycle filing</w:t>
            </w:r>
            <w:r w:rsidRPr="00643518">
              <w:rPr>
                <w:rFonts w:ascii="Helvetica" w:eastAsia="Times New Roman" w:hAnsi="Helvetica" w:cs="Arial"/>
                <w:color w:val="222222"/>
              </w:rPr>
              <w:t xml:space="preserve"> </w:t>
            </w:r>
            <w:r>
              <w:rPr>
                <w:rFonts w:ascii="Helvetica" w:eastAsia="Times New Roman" w:hAnsi="Helvetica" w:cs="Arial"/>
                <w:color w:val="222222"/>
              </w:rPr>
              <w:t>process</w:t>
            </w:r>
            <w:r w:rsidRPr="00643518">
              <w:rPr>
                <w:rFonts w:ascii="Helvetica" w:eastAsia="Times New Roman" w:hAnsi="Helvetica" w:cs="Arial"/>
                <w:color w:val="222222"/>
              </w:rPr>
              <w:t xml:space="preserve"> </w:t>
            </w:r>
            <w:r>
              <w:rPr>
                <w:rFonts w:ascii="Helvetica" w:eastAsia="Times New Roman" w:hAnsi="Helvetica" w:cs="Arial"/>
                <w:color w:val="222222"/>
              </w:rPr>
              <w:t>~</w:t>
            </w:r>
            <w:r w:rsidRPr="00643518">
              <w:rPr>
                <w:rFonts w:ascii="Helvetica" w:eastAsia="Times New Roman" w:hAnsi="Helvetica" w:cs="Arial"/>
                <w:color w:val="222222"/>
              </w:rPr>
              <w:t xml:space="preserve">Q2 of N+1 </w:t>
            </w:r>
            <w:r>
              <w:rPr>
                <w:rFonts w:ascii="Helvetica" w:eastAsia="Times New Roman" w:hAnsi="Helvetica" w:cs="Arial"/>
                <w:color w:val="222222"/>
              </w:rPr>
              <w:t>[~</w:t>
            </w:r>
            <w:r w:rsidRPr="00643518">
              <w:rPr>
                <w:rFonts w:ascii="Helvetica" w:eastAsia="Times New Roman" w:hAnsi="Helvetica" w:cs="Arial"/>
                <w:color w:val="222222"/>
              </w:rPr>
              <w:t>15</w:t>
            </w:r>
            <w:r>
              <w:rPr>
                <w:rFonts w:ascii="Helvetica" w:eastAsia="Times New Roman" w:hAnsi="Helvetica" w:cs="Arial"/>
                <w:color w:val="222222"/>
              </w:rPr>
              <w:t xml:space="preserve"> </w:t>
            </w:r>
            <w:r w:rsidRPr="00643518">
              <w:rPr>
                <w:rFonts w:ascii="Helvetica" w:eastAsia="Times New Roman" w:hAnsi="Helvetica" w:cs="Arial"/>
                <w:color w:val="222222"/>
              </w:rPr>
              <w:t>months into cycle</w:t>
            </w:r>
            <w:r>
              <w:rPr>
                <w:rFonts w:ascii="Helvetica" w:eastAsia="Times New Roman" w:hAnsi="Helvetica" w:cs="Arial"/>
                <w:color w:val="222222"/>
              </w:rPr>
              <w:t>]</w:t>
            </w:r>
            <w:r w:rsidRPr="00643518">
              <w:rPr>
                <w:rFonts w:ascii="Helvetica" w:eastAsia="Times New Roman" w:hAnsi="Helvetica" w:cs="Arial"/>
                <w:color w:val="222222"/>
              </w:rPr>
              <w:t xml:space="preserve"> in order to file before start of N+2</w:t>
            </w:r>
            <w:r>
              <w:rPr>
                <w:rFonts w:ascii="Helvetica" w:eastAsia="Times New Roman" w:hAnsi="Helvetica" w:cs="Arial"/>
                <w:color w:val="222222"/>
              </w:rPr>
              <w:t xml:space="preserve">.) </w:t>
            </w:r>
          </w:p>
          <w:p w14:paraId="0D2658A8" w14:textId="77777777" w:rsidR="000A6F69" w:rsidRPr="00643518" w:rsidRDefault="000A6F69" w:rsidP="00F1166C">
            <w:pPr>
              <w:spacing w:line="207" w:lineRule="atLeast"/>
              <w:rPr>
                <w:rFonts w:ascii="Helvetica" w:eastAsia="Times New Roman" w:hAnsi="Helvetica" w:cs="Arial"/>
                <w:color w:val="222222"/>
              </w:rPr>
            </w:pPr>
          </w:p>
        </w:tc>
        <w:tc>
          <w:tcPr>
            <w:tcW w:w="22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323D43D" w14:textId="77777777" w:rsidR="000A6F69" w:rsidRPr="00643518" w:rsidRDefault="000A6F69" w:rsidP="00F1166C">
            <w:pPr>
              <w:spacing w:line="207" w:lineRule="atLeast"/>
              <w:rPr>
                <w:rFonts w:ascii="Helvetica" w:eastAsia="Times New Roman" w:hAnsi="Helvetica" w:cs="Arial"/>
                <w:color w:val="222222"/>
              </w:rPr>
            </w:pPr>
            <w:r>
              <w:rPr>
                <w:rFonts w:ascii="Helvetica" w:eastAsia="Times New Roman" w:hAnsi="Helvetica" w:cs="Arial"/>
                <w:color w:val="222222"/>
              </w:rPr>
              <w:t xml:space="preserve">Sufficient time to file a mid-cycle review. </w:t>
            </w:r>
            <w:r w:rsidRPr="00643518">
              <w:rPr>
                <w:rFonts w:ascii="Helvetica" w:eastAsia="Times New Roman" w:hAnsi="Helvetica" w:cs="Arial"/>
                <w:color w:val="222222"/>
              </w:rPr>
              <w:t xml:space="preserve">Start </w:t>
            </w:r>
            <w:r>
              <w:rPr>
                <w:rFonts w:ascii="Helvetica" w:eastAsia="Times New Roman" w:hAnsi="Helvetica" w:cs="Arial"/>
                <w:color w:val="222222"/>
              </w:rPr>
              <w:t xml:space="preserve">mid-cycle filing </w:t>
            </w:r>
            <w:r w:rsidRPr="00643518">
              <w:rPr>
                <w:rFonts w:ascii="Helvetica" w:eastAsia="Times New Roman" w:hAnsi="Helvetica" w:cs="Arial"/>
                <w:color w:val="222222"/>
              </w:rPr>
              <w:t>process after N+2</w:t>
            </w:r>
            <w:r>
              <w:rPr>
                <w:rFonts w:ascii="Helvetica" w:eastAsia="Times New Roman" w:hAnsi="Helvetica" w:cs="Arial"/>
                <w:color w:val="222222"/>
              </w:rPr>
              <w:t>. H</w:t>
            </w:r>
            <w:r w:rsidRPr="00643518">
              <w:rPr>
                <w:rFonts w:ascii="Helvetica" w:eastAsia="Times New Roman" w:hAnsi="Helvetica" w:cs="Arial"/>
                <w:color w:val="222222"/>
              </w:rPr>
              <w:t>ave 2 years of data to assess if/what goes in filing</w:t>
            </w:r>
            <w:r>
              <w:rPr>
                <w:rFonts w:ascii="Helvetica" w:eastAsia="Times New Roman" w:hAnsi="Helvetica" w:cs="Arial"/>
                <w:color w:val="222222"/>
              </w:rPr>
              <w:t xml:space="preserve">. </w:t>
            </w:r>
          </w:p>
        </w:tc>
        <w:tc>
          <w:tcPr>
            <w:tcW w:w="20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091EC45" w14:textId="77777777" w:rsidR="000A6F69" w:rsidRPr="00643518" w:rsidRDefault="000A6F69" w:rsidP="00F1166C">
            <w:pPr>
              <w:spacing w:line="207" w:lineRule="atLeast"/>
              <w:rPr>
                <w:rFonts w:ascii="Helvetica" w:eastAsia="Times New Roman" w:hAnsi="Helvetica" w:cs="Arial"/>
                <w:color w:val="222222"/>
              </w:rPr>
            </w:pPr>
            <w:r w:rsidRPr="00643518">
              <w:rPr>
                <w:rFonts w:ascii="Helvetica" w:eastAsia="Times New Roman" w:hAnsi="Helvetica" w:cs="Arial"/>
                <w:color w:val="222222"/>
              </w:rPr>
              <w:t> </w:t>
            </w:r>
          </w:p>
        </w:tc>
      </w:tr>
      <w:tr w:rsidR="000A6F69" w:rsidRPr="00643518" w14:paraId="4CC673B5" w14:textId="77777777" w:rsidTr="00654C89">
        <w:tc>
          <w:tcPr>
            <w:tcW w:w="198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62E2A96" w14:textId="77777777" w:rsidR="000A6F69" w:rsidRPr="00643518" w:rsidRDefault="000A6F69" w:rsidP="00F1166C">
            <w:pPr>
              <w:spacing w:line="207" w:lineRule="atLeast"/>
              <w:rPr>
                <w:rFonts w:ascii="Helvetica" w:eastAsia="Times New Roman" w:hAnsi="Helvetica" w:cs="Arial"/>
                <w:color w:val="222222"/>
              </w:rPr>
            </w:pPr>
            <w:r w:rsidRPr="00643518">
              <w:rPr>
                <w:rFonts w:ascii="Helvetica" w:eastAsia="Times New Roman" w:hAnsi="Helvetica" w:cs="Arial"/>
                <w:color w:val="222222"/>
              </w:rPr>
              <w:t>Market certainty</w:t>
            </w:r>
            <w:r>
              <w:rPr>
                <w:rFonts w:ascii="Helvetica" w:eastAsia="Times New Roman" w:hAnsi="Helvetica" w:cs="Arial"/>
                <w:color w:val="222222"/>
              </w:rPr>
              <w:t xml:space="preserve"> </w:t>
            </w:r>
          </w:p>
        </w:tc>
        <w:tc>
          <w:tcPr>
            <w:tcW w:w="20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4246ACD" w14:textId="77777777" w:rsidR="000A6F69" w:rsidRPr="00643518" w:rsidRDefault="000A6F69" w:rsidP="00F1166C">
            <w:pPr>
              <w:spacing w:line="207" w:lineRule="atLeast"/>
              <w:rPr>
                <w:rFonts w:ascii="Helvetica" w:eastAsia="Times New Roman" w:hAnsi="Helvetica" w:cs="Arial"/>
                <w:color w:val="222222"/>
              </w:rPr>
            </w:pPr>
            <w:r w:rsidRPr="00643518">
              <w:rPr>
                <w:rFonts w:ascii="Helvetica" w:eastAsia="Times New Roman" w:hAnsi="Helvetica" w:cs="Arial"/>
                <w:color w:val="222222"/>
              </w:rPr>
              <w:t> </w:t>
            </w:r>
          </w:p>
        </w:tc>
        <w:tc>
          <w:tcPr>
            <w:tcW w:w="23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421F7B0" w14:textId="77777777" w:rsidR="000A6F69" w:rsidRPr="00643518" w:rsidRDefault="000A6F69" w:rsidP="00F1166C">
            <w:pPr>
              <w:spacing w:line="207" w:lineRule="atLeast"/>
              <w:rPr>
                <w:rFonts w:ascii="Helvetica" w:eastAsia="Times New Roman" w:hAnsi="Helvetica" w:cs="Arial"/>
                <w:color w:val="222222"/>
              </w:rPr>
            </w:pPr>
            <w:r w:rsidRPr="00643518">
              <w:rPr>
                <w:rFonts w:ascii="Helvetica" w:eastAsia="Times New Roman" w:hAnsi="Helvetica" w:cs="Arial"/>
                <w:color w:val="222222"/>
              </w:rPr>
              <w:t xml:space="preserve">Less </w:t>
            </w:r>
            <w:proofErr w:type="gramStart"/>
            <w:r w:rsidRPr="00643518">
              <w:rPr>
                <w:rFonts w:ascii="Helvetica" w:eastAsia="Times New Roman" w:hAnsi="Helvetica" w:cs="Arial"/>
                <w:color w:val="222222"/>
              </w:rPr>
              <w:t>long term</w:t>
            </w:r>
            <w:proofErr w:type="gramEnd"/>
            <w:r w:rsidRPr="00643518">
              <w:rPr>
                <w:rFonts w:ascii="Helvetica" w:eastAsia="Times New Roman" w:hAnsi="Helvetica" w:cs="Arial"/>
                <w:color w:val="222222"/>
              </w:rPr>
              <w:t xml:space="preserve"> certainty</w:t>
            </w:r>
            <w:r>
              <w:rPr>
                <w:rFonts w:ascii="Helvetica" w:eastAsia="Times New Roman" w:hAnsi="Helvetica" w:cs="Arial"/>
                <w:color w:val="222222"/>
              </w:rPr>
              <w:t xml:space="preserve"> for implementers</w:t>
            </w:r>
          </w:p>
        </w:tc>
        <w:tc>
          <w:tcPr>
            <w:tcW w:w="22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6280423" w14:textId="77777777" w:rsidR="000A6F69" w:rsidRPr="00643518" w:rsidRDefault="000A6F69" w:rsidP="00F1166C">
            <w:pPr>
              <w:spacing w:line="207" w:lineRule="atLeast"/>
              <w:rPr>
                <w:rFonts w:ascii="Helvetica" w:eastAsia="Times New Roman" w:hAnsi="Helvetica" w:cs="Arial"/>
                <w:color w:val="222222"/>
              </w:rPr>
            </w:pPr>
            <w:r w:rsidRPr="00643518">
              <w:rPr>
                <w:rFonts w:ascii="Helvetica" w:eastAsia="Times New Roman" w:hAnsi="Helvetica" w:cs="Arial"/>
                <w:color w:val="222222"/>
              </w:rPr>
              <w:t xml:space="preserve">All else equal </w:t>
            </w:r>
            <w:proofErr w:type="gramStart"/>
            <w:r w:rsidRPr="00643518">
              <w:rPr>
                <w:rFonts w:ascii="Helvetica" w:eastAsia="Times New Roman" w:hAnsi="Helvetica" w:cs="Arial"/>
                <w:color w:val="222222"/>
              </w:rPr>
              <w:t>longer term</w:t>
            </w:r>
            <w:proofErr w:type="gramEnd"/>
            <w:r w:rsidRPr="00643518">
              <w:rPr>
                <w:rFonts w:ascii="Helvetica" w:eastAsia="Times New Roman" w:hAnsi="Helvetica" w:cs="Arial"/>
                <w:color w:val="222222"/>
              </w:rPr>
              <w:t xml:space="preserve"> budget “no</w:t>
            </w:r>
            <w:r>
              <w:rPr>
                <w:rFonts w:ascii="Helvetica" w:eastAsia="Times New Roman" w:hAnsi="Helvetica" w:cs="Arial"/>
                <w:color w:val="222222"/>
              </w:rPr>
              <w:t>t</w:t>
            </w:r>
            <w:r w:rsidRPr="00643518">
              <w:rPr>
                <w:rFonts w:ascii="Helvetica" w:eastAsia="Times New Roman" w:hAnsi="Helvetica" w:cs="Arial"/>
                <w:color w:val="222222"/>
              </w:rPr>
              <w:t xml:space="preserve"> to exceed” provides more certainty</w:t>
            </w:r>
            <w:r>
              <w:rPr>
                <w:rFonts w:ascii="Helvetica" w:eastAsia="Times New Roman" w:hAnsi="Helvetica" w:cs="Arial"/>
                <w:color w:val="222222"/>
              </w:rPr>
              <w:t xml:space="preserve"> for implementers</w:t>
            </w:r>
          </w:p>
        </w:tc>
        <w:tc>
          <w:tcPr>
            <w:tcW w:w="20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8338D74" w14:textId="77777777" w:rsidR="000A6F69" w:rsidRPr="00643518" w:rsidRDefault="000A6F69" w:rsidP="00F1166C">
            <w:pPr>
              <w:spacing w:line="207" w:lineRule="atLeast"/>
              <w:rPr>
                <w:rFonts w:ascii="Helvetica" w:eastAsia="Times New Roman" w:hAnsi="Helvetica" w:cs="Arial"/>
                <w:color w:val="222222"/>
              </w:rPr>
            </w:pPr>
            <w:r w:rsidRPr="00643518">
              <w:rPr>
                <w:rFonts w:ascii="Helvetica" w:eastAsia="Times New Roman" w:hAnsi="Helvetica" w:cs="Arial"/>
                <w:color w:val="222222"/>
              </w:rPr>
              <w:t> </w:t>
            </w:r>
          </w:p>
        </w:tc>
      </w:tr>
      <w:tr w:rsidR="000A6F69" w:rsidRPr="00643518" w14:paraId="768D0C05" w14:textId="77777777" w:rsidTr="00654C89">
        <w:tc>
          <w:tcPr>
            <w:tcW w:w="198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451B50D" w14:textId="77777777" w:rsidR="000A6F69" w:rsidRPr="00643518" w:rsidRDefault="000A6F69" w:rsidP="00F1166C">
            <w:pPr>
              <w:spacing w:line="207" w:lineRule="atLeast"/>
              <w:rPr>
                <w:rFonts w:ascii="Helvetica" w:eastAsia="Times New Roman" w:hAnsi="Helvetica" w:cs="Arial"/>
                <w:color w:val="222222"/>
              </w:rPr>
            </w:pPr>
            <w:r w:rsidRPr="00643518">
              <w:rPr>
                <w:rFonts w:ascii="Helvetica" w:eastAsia="Times New Roman" w:hAnsi="Helvetica" w:cs="Arial"/>
                <w:color w:val="222222"/>
              </w:rPr>
              <w:t>Responsiveness to market and policy changes</w:t>
            </w:r>
          </w:p>
        </w:tc>
        <w:tc>
          <w:tcPr>
            <w:tcW w:w="20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D9BACCE" w14:textId="77777777" w:rsidR="000A6F69" w:rsidRPr="00643518" w:rsidRDefault="000A6F69" w:rsidP="00F1166C">
            <w:pPr>
              <w:spacing w:line="207" w:lineRule="atLeast"/>
              <w:rPr>
                <w:rFonts w:ascii="Helvetica" w:eastAsia="Times New Roman" w:hAnsi="Helvetica" w:cs="Arial"/>
                <w:color w:val="222222"/>
              </w:rPr>
            </w:pPr>
            <w:r w:rsidRPr="00643518">
              <w:rPr>
                <w:rFonts w:ascii="Helvetica" w:eastAsia="Times New Roman" w:hAnsi="Helvetica" w:cs="Arial"/>
                <w:color w:val="222222"/>
              </w:rPr>
              <w:t>More responsive (though a mid</w:t>
            </w:r>
            <w:r>
              <w:rPr>
                <w:rFonts w:ascii="Helvetica" w:eastAsia="Times New Roman" w:hAnsi="Helvetica" w:cs="Arial"/>
                <w:color w:val="222222"/>
              </w:rPr>
              <w:t>-</w:t>
            </w:r>
            <w:r w:rsidRPr="00643518">
              <w:rPr>
                <w:rFonts w:ascii="Helvetica" w:eastAsia="Times New Roman" w:hAnsi="Helvetica" w:cs="Arial"/>
                <w:color w:val="222222"/>
              </w:rPr>
              <w:t xml:space="preserve">cycle </w:t>
            </w:r>
            <w:r>
              <w:rPr>
                <w:rFonts w:ascii="Helvetica" w:eastAsia="Times New Roman" w:hAnsi="Helvetica" w:cs="Arial"/>
                <w:color w:val="222222"/>
              </w:rPr>
              <w:t xml:space="preserve">filing </w:t>
            </w:r>
            <w:r w:rsidRPr="00643518">
              <w:rPr>
                <w:rFonts w:ascii="Helvetica" w:eastAsia="Times New Roman" w:hAnsi="Helvetica" w:cs="Arial"/>
                <w:color w:val="222222"/>
              </w:rPr>
              <w:t>could also address how PA will adjust)</w:t>
            </w:r>
          </w:p>
        </w:tc>
        <w:tc>
          <w:tcPr>
            <w:tcW w:w="23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841490E" w14:textId="77777777" w:rsidR="000A6F69" w:rsidRPr="00643518" w:rsidRDefault="000A6F69" w:rsidP="00F1166C">
            <w:pPr>
              <w:spacing w:line="207" w:lineRule="atLeast"/>
              <w:rPr>
                <w:rFonts w:ascii="Helvetica" w:eastAsia="Times New Roman" w:hAnsi="Helvetica" w:cs="Arial"/>
                <w:color w:val="222222"/>
              </w:rPr>
            </w:pPr>
            <w:r w:rsidRPr="00643518">
              <w:rPr>
                <w:rFonts w:ascii="Helvetica" w:eastAsia="Times New Roman" w:hAnsi="Helvetica" w:cs="Arial"/>
                <w:color w:val="222222"/>
              </w:rPr>
              <w:t> </w:t>
            </w:r>
          </w:p>
        </w:tc>
        <w:tc>
          <w:tcPr>
            <w:tcW w:w="22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9C7F6B" w14:textId="77777777" w:rsidR="000A6F69" w:rsidRPr="00643518" w:rsidRDefault="000A6F69" w:rsidP="00F1166C">
            <w:pPr>
              <w:spacing w:line="207" w:lineRule="atLeast"/>
              <w:rPr>
                <w:rFonts w:ascii="Helvetica" w:eastAsia="Times New Roman" w:hAnsi="Helvetica" w:cs="Arial"/>
                <w:color w:val="222222"/>
              </w:rPr>
            </w:pPr>
            <w:r w:rsidRPr="00643518">
              <w:rPr>
                <w:rFonts w:ascii="Helvetica" w:eastAsia="Times New Roman" w:hAnsi="Helvetica" w:cs="Arial"/>
                <w:color w:val="222222"/>
              </w:rPr>
              <w:t> </w:t>
            </w:r>
          </w:p>
        </w:tc>
        <w:tc>
          <w:tcPr>
            <w:tcW w:w="20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DD103D7" w14:textId="77777777" w:rsidR="000A6F69" w:rsidRPr="00643518" w:rsidRDefault="000A6F69" w:rsidP="00F1166C">
            <w:pPr>
              <w:spacing w:line="207" w:lineRule="atLeast"/>
              <w:rPr>
                <w:rFonts w:ascii="Helvetica" w:eastAsia="Times New Roman" w:hAnsi="Helvetica" w:cs="Arial"/>
                <w:color w:val="222222"/>
              </w:rPr>
            </w:pPr>
            <w:r w:rsidRPr="00643518">
              <w:rPr>
                <w:rFonts w:ascii="Helvetica" w:eastAsia="Times New Roman" w:hAnsi="Helvetica" w:cs="Arial"/>
                <w:color w:val="222222"/>
              </w:rPr>
              <w:t>Slower to respond (though a mid</w:t>
            </w:r>
            <w:r>
              <w:rPr>
                <w:rFonts w:ascii="Helvetica" w:eastAsia="Times New Roman" w:hAnsi="Helvetica" w:cs="Arial"/>
                <w:color w:val="222222"/>
              </w:rPr>
              <w:t>-</w:t>
            </w:r>
            <w:r w:rsidRPr="00643518">
              <w:rPr>
                <w:rFonts w:ascii="Helvetica" w:eastAsia="Times New Roman" w:hAnsi="Helvetica" w:cs="Arial"/>
                <w:color w:val="222222"/>
              </w:rPr>
              <w:t xml:space="preserve">cycle </w:t>
            </w:r>
            <w:r>
              <w:rPr>
                <w:rFonts w:ascii="Helvetica" w:eastAsia="Times New Roman" w:hAnsi="Helvetica" w:cs="Arial"/>
                <w:color w:val="222222"/>
              </w:rPr>
              <w:t xml:space="preserve">filing </w:t>
            </w:r>
            <w:r w:rsidRPr="00643518">
              <w:rPr>
                <w:rFonts w:ascii="Helvetica" w:eastAsia="Times New Roman" w:hAnsi="Helvetica" w:cs="Arial"/>
                <w:color w:val="222222"/>
              </w:rPr>
              <w:t>could also address how PA will adjust)</w:t>
            </w:r>
          </w:p>
        </w:tc>
      </w:tr>
    </w:tbl>
    <w:p w14:paraId="1C130F82" w14:textId="77777777" w:rsidR="000A6F69" w:rsidRPr="00643518" w:rsidRDefault="000A6F69" w:rsidP="000A6F69">
      <w:pPr>
        <w:shd w:val="clear" w:color="auto" w:fill="FFFFFF"/>
        <w:rPr>
          <w:rFonts w:ascii="Arial" w:eastAsia="Times New Roman" w:hAnsi="Arial" w:cs="Arial"/>
          <w:color w:val="222222"/>
        </w:rPr>
      </w:pPr>
      <w:r w:rsidRPr="00643518">
        <w:rPr>
          <w:rFonts w:ascii="Arial" w:eastAsia="Times New Roman" w:hAnsi="Arial" w:cs="Arial"/>
          <w:color w:val="222222"/>
        </w:rPr>
        <w:t> </w:t>
      </w:r>
    </w:p>
    <w:p w14:paraId="2246B316" w14:textId="77777777" w:rsidR="000A6F69" w:rsidRPr="00643518" w:rsidRDefault="000A6F69" w:rsidP="000A6F69">
      <w:pPr>
        <w:shd w:val="clear" w:color="auto" w:fill="FFFFFF"/>
        <w:rPr>
          <w:rFonts w:ascii="Arial" w:eastAsia="Times New Roman" w:hAnsi="Arial" w:cs="Arial"/>
          <w:color w:val="222222"/>
        </w:rPr>
      </w:pPr>
      <w:r w:rsidRPr="00643518">
        <w:rPr>
          <w:rFonts w:ascii="Arial" w:eastAsia="Times New Roman" w:hAnsi="Arial" w:cs="Arial"/>
          <w:color w:val="222222"/>
        </w:rPr>
        <w:t>Assumption items for discussion</w:t>
      </w:r>
      <w:r>
        <w:rPr>
          <w:rFonts w:ascii="Arial" w:eastAsia="Times New Roman" w:hAnsi="Arial" w:cs="Arial"/>
          <w:color w:val="222222"/>
        </w:rPr>
        <w:t>:</w:t>
      </w:r>
    </w:p>
    <w:p w14:paraId="0D512A10" w14:textId="77777777" w:rsidR="000A6F69" w:rsidRPr="00643518" w:rsidRDefault="000A6F69" w:rsidP="000A6F69">
      <w:pPr>
        <w:numPr>
          <w:ilvl w:val="0"/>
          <w:numId w:val="11"/>
        </w:numPr>
        <w:shd w:val="clear" w:color="auto" w:fill="FFFFFF"/>
        <w:spacing w:before="100" w:beforeAutospacing="1" w:after="100" w:afterAutospacing="1"/>
        <w:rPr>
          <w:rFonts w:ascii="Arial" w:eastAsia="Times New Roman" w:hAnsi="Arial" w:cs="Arial"/>
          <w:color w:val="222222"/>
        </w:rPr>
      </w:pPr>
      <w:r w:rsidRPr="00643518">
        <w:rPr>
          <w:rFonts w:ascii="Arial" w:eastAsia="Times New Roman" w:hAnsi="Arial" w:cs="Arial"/>
          <w:color w:val="222222"/>
        </w:rPr>
        <w:t>Hold ACC and goals at time of application constant for duration of cycle</w:t>
      </w:r>
      <w:r>
        <w:rPr>
          <w:rFonts w:ascii="Arial" w:eastAsia="Times New Roman" w:hAnsi="Arial" w:cs="Arial"/>
          <w:color w:val="222222"/>
        </w:rPr>
        <w:t xml:space="preserve"> </w:t>
      </w:r>
    </w:p>
    <w:p w14:paraId="7DC75DD5" w14:textId="77777777" w:rsidR="000A6F69" w:rsidRPr="00643518" w:rsidRDefault="000A6F69" w:rsidP="000A6F69">
      <w:pPr>
        <w:numPr>
          <w:ilvl w:val="0"/>
          <w:numId w:val="11"/>
        </w:numPr>
        <w:shd w:val="clear" w:color="auto" w:fill="FFFFFF"/>
        <w:spacing w:before="100" w:beforeAutospacing="1" w:after="100" w:afterAutospacing="1"/>
        <w:rPr>
          <w:rFonts w:ascii="Arial" w:eastAsia="Times New Roman" w:hAnsi="Arial" w:cs="Arial"/>
          <w:color w:val="222222"/>
        </w:rPr>
      </w:pPr>
      <w:r w:rsidRPr="00643518">
        <w:rPr>
          <w:rFonts w:ascii="Arial" w:eastAsia="Times New Roman" w:hAnsi="Arial" w:cs="Arial"/>
          <w:color w:val="222222"/>
        </w:rPr>
        <w:t>Should this apply to ISP and DEER at measure level as well?</w:t>
      </w:r>
    </w:p>
    <w:p w14:paraId="6467B328" w14:textId="77777777" w:rsidR="000A6F69" w:rsidRPr="00643518" w:rsidRDefault="000A6F69" w:rsidP="000A6F69">
      <w:pPr>
        <w:numPr>
          <w:ilvl w:val="0"/>
          <w:numId w:val="11"/>
        </w:numPr>
        <w:shd w:val="clear" w:color="auto" w:fill="FFFFFF"/>
        <w:spacing w:before="100" w:beforeAutospacing="1" w:after="100" w:afterAutospacing="1"/>
        <w:rPr>
          <w:rFonts w:ascii="Arial" w:eastAsia="Times New Roman" w:hAnsi="Arial" w:cs="Arial"/>
          <w:color w:val="222222"/>
        </w:rPr>
      </w:pPr>
      <w:r w:rsidRPr="00643518">
        <w:rPr>
          <w:rFonts w:ascii="Arial" w:eastAsia="Times New Roman" w:hAnsi="Arial" w:cs="Arial"/>
          <w:color w:val="222222"/>
        </w:rPr>
        <w:t>Code changes accounted for within the cycle</w:t>
      </w:r>
    </w:p>
    <w:p w14:paraId="7950EC41" w14:textId="77777777" w:rsidR="000A6F69" w:rsidRPr="00B85D0F" w:rsidRDefault="000A6F69" w:rsidP="000A6F69">
      <w:pPr>
        <w:rPr>
          <w:rFonts w:ascii="Calibri" w:hAnsi="Calibri" w:cs="Calibri"/>
        </w:rPr>
      </w:pPr>
    </w:p>
    <w:p w14:paraId="6D9ED467" w14:textId="77777777" w:rsidR="000A6F69" w:rsidRPr="000A6F69" w:rsidRDefault="000A6F69" w:rsidP="000A6F69">
      <w:pPr>
        <w:spacing w:after="200" w:line="276" w:lineRule="auto"/>
        <w:rPr>
          <w:rFonts w:ascii="Times New Roman" w:eastAsia="Calibri" w:hAnsi="Times New Roman" w:cs="Times New Roman"/>
          <w:bCs/>
        </w:rPr>
      </w:pPr>
    </w:p>
    <w:p w14:paraId="7406E201" w14:textId="2B13CE6D" w:rsidR="000A6F69" w:rsidRPr="000A6F69" w:rsidRDefault="000A6F69" w:rsidP="00CC0CA5">
      <w:pPr>
        <w:rPr>
          <w:rFonts w:ascii="Times New Roman" w:eastAsia="Calibri" w:hAnsi="Times New Roman" w:cs="Times New Roman"/>
        </w:rPr>
      </w:pPr>
      <w:r>
        <w:rPr>
          <w:rFonts w:ascii="Times New Roman" w:eastAsia="Calibri" w:hAnsi="Times New Roman" w:cs="Times New Roman"/>
        </w:rPr>
        <w:br w:type="page"/>
      </w:r>
    </w:p>
    <w:p w14:paraId="14B27BEB" w14:textId="570ABA3C" w:rsidR="000A6F69" w:rsidRDefault="000A6F69" w:rsidP="000A6F69">
      <w:pPr>
        <w:jc w:val="center"/>
        <w:rPr>
          <w:rFonts w:ascii="Times New Roman" w:eastAsia="Times New Roman" w:hAnsi="Times New Roman" w:cs="Times New Roman"/>
          <w:b/>
          <w:bCs/>
          <w:color w:val="222222"/>
          <w:sz w:val="28"/>
          <w:szCs w:val="28"/>
        </w:rPr>
      </w:pPr>
      <w:r w:rsidRPr="000A6F69">
        <w:rPr>
          <w:rFonts w:ascii="Times New Roman" w:eastAsia="Times New Roman" w:hAnsi="Times New Roman" w:cs="Times New Roman"/>
          <w:b/>
          <w:bCs/>
          <w:color w:val="222222"/>
          <w:sz w:val="28"/>
          <w:szCs w:val="28"/>
        </w:rPr>
        <w:lastRenderedPageBreak/>
        <w:t>Appendix</w:t>
      </w:r>
      <w:r>
        <w:rPr>
          <w:rFonts w:ascii="Times New Roman" w:eastAsia="Times New Roman" w:hAnsi="Times New Roman" w:cs="Times New Roman"/>
          <w:b/>
          <w:bCs/>
          <w:color w:val="222222"/>
          <w:sz w:val="28"/>
          <w:szCs w:val="28"/>
        </w:rPr>
        <w:t xml:space="preserve"> C: EE Cycle Options</w:t>
      </w:r>
    </w:p>
    <w:p w14:paraId="5197855C" w14:textId="3CE3F409" w:rsidR="000A6F69" w:rsidRDefault="000A6F69" w:rsidP="00810122">
      <w:pPr>
        <w:rPr>
          <w:rFonts w:ascii="Times New Roman" w:eastAsia="Times New Roman" w:hAnsi="Times New Roman" w:cs="Times New Roman"/>
          <w:b/>
          <w:bCs/>
          <w:color w:val="222222"/>
          <w:sz w:val="28"/>
          <w:szCs w:val="28"/>
        </w:rPr>
      </w:pPr>
    </w:p>
    <w:p w14:paraId="5E2EB6F0" w14:textId="77777777" w:rsidR="000A6F69" w:rsidRPr="000A6F69" w:rsidRDefault="000A6F69" w:rsidP="000A6F69">
      <w:pPr>
        <w:rPr>
          <w:rFonts w:cs="Times New Roman"/>
        </w:rPr>
      </w:pPr>
      <w:r w:rsidRPr="000A6F69">
        <w:rPr>
          <w:rFonts w:cs="Times New Roman"/>
        </w:rPr>
        <w:t>General Assumptions</w:t>
      </w:r>
    </w:p>
    <w:p w14:paraId="412CF0C0" w14:textId="77777777" w:rsidR="000A6F69" w:rsidRPr="000A6F69" w:rsidRDefault="000A6F69" w:rsidP="000A6F69">
      <w:pPr>
        <w:rPr>
          <w:rFonts w:cs="Times New Roman"/>
        </w:rPr>
      </w:pPr>
    </w:p>
    <w:p w14:paraId="741CCE3D" w14:textId="77777777" w:rsidR="000A6F69" w:rsidRPr="000A6F69" w:rsidRDefault="000A6F69" w:rsidP="000A6F69">
      <w:pPr>
        <w:rPr>
          <w:rFonts w:cs="Times New Roman"/>
        </w:rPr>
      </w:pPr>
      <w:r w:rsidRPr="000A6F69">
        <w:rPr>
          <w:rFonts w:cs="Times New Roman"/>
        </w:rPr>
        <w:t xml:space="preserve">(1) Presents a general sketch of the 2 options, 4 year and </w:t>
      </w:r>
      <w:proofErr w:type="gramStart"/>
      <w:r w:rsidRPr="000A6F69">
        <w:rPr>
          <w:rFonts w:cs="Times New Roman"/>
        </w:rPr>
        <w:t>6 year</w:t>
      </w:r>
      <w:proofErr w:type="gramEnd"/>
      <w:r w:rsidRPr="000A6F69">
        <w:rPr>
          <w:rFonts w:cs="Times New Roman"/>
        </w:rPr>
        <w:t xml:space="preserve"> cycles.</w:t>
      </w:r>
    </w:p>
    <w:p w14:paraId="1020E7DC" w14:textId="77777777" w:rsidR="000A6F69" w:rsidRPr="000A6F69" w:rsidRDefault="000A6F69" w:rsidP="000A6F69">
      <w:pPr>
        <w:rPr>
          <w:rFonts w:cs="Times New Roman"/>
        </w:rPr>
      </w:pPr>
      <w:r w:rsidRPr="000A6F69">
        <w:rPr>
          <w:rFonts w:cs="Times New Roman"/>
        </w:rPr>
        <w:t>(2) Does not include all the Bus Stops, only those that are pertinent to the planning process.</w:t>
      </w:r>
    </w:p>
    <w:p w14:paraId="596B9366" w14:textId="77777777" w:rsidR="000A6F69" w:rsidRPr="000A6F69" w:rsidRDefault="000A6F69" w:rsidP="000A6F69">
      <w:pPr>
        <w:rPr>
          <w:rFonts w:cs="Times New Roman"/>
        </w:rPr>
      </w:pPr>
      <w:r w:rsidRPr="000A6F69">
        <w:rPr>
          <w:rFonts w:cs="Times New Roman"/>
        </w:rPr>
        <w:t>(3) "N" represents the first year of portfolio implementation.  It can be replaced with the year we agree is the start year for the new process.</w:t>
      </w:r>
    </w:p>
    <w:p w14:paraId="0F029DE7" w14:textId="77777777" w:rsidR="000A6F69" w:rsidRPr="000A6F69" w:rsidRDefault="000A6F69" w:rsidP="000A6F69">
      <w:pPr>
        <w:rPr>
          <w:rFonts w:cs="Times New Roman"/>
        </w:rPr>
      </w:pPr>
      <w:r w:rsidRPr="000A6F69">
        <w:rPr>
          <w:rFonts w:cs="Times New Roman"/>
        </w:rPr>
        <w:t>(4) The schedule does not include the Stakeholder input process since we are addressing that topic separately.  Once we agree to the process, it can be added to the schedule.</w:t>
      </w:r>
    </w:p>
    <w:p w14:paraId="1015E067" w14:textId="46E74990" w:rsidR="000A6F69" w:rsidRDefault="000A6F69" w:rsidP="000A6F69">
      <w:pPr>
        <w:rPr>
          <w:rFonts w:cs="Times New Roman"/>
        </w:rPr>
      </w:pPr>
      <w:r w:rsidRPr="000A6F69">
        <w:rPr>
          <w:rFonts w:cs="Times New Roman"/>
        </w:rPr>
        <w:t>(5) Based on discussions, there are options for a biennial update AL during the cycle and an option to file an update AL based on triggers.</w:t>
      </w:r>
    </w:p>
    <w:p w14:paraId="4F06DC98" w14:textId="55499633" w:rsidR="000A6F69" w:rsidRDefault="000A6F69" w:rsidP="000A6F69">
      <w:pPr>
        <w:rPr>
          <w:rFonts w:cs="Times New Roman"/>
        </w:rPr>
      </w:pPr>
    </w:p>
    <w:p w14:paraId="0313FA59" w14:textId="31FDFB65" w:rsidR="000A6F69" w:rsidRDefault="000A6F69" w:rsidP="000A6F69">
      <w:pPr>
        <w:rPr>
          <w:rFonts w:cs="Times New Roman"/>
        </w:rPr>
      </w:pPr>
    </w:p>
    <w:p w14:paraId="008BEDA3" w14:textId="0EFBA7CC" w:rsidR="000A6F69" w:rsidRDefault="00F23D62" w:rsidP="000A6F69">
      <w:pPr>
        <w:rPr>
          <w:rFonts w:cs="Times New Roman"/>
        </w:rPr>
      </w:pPr>
      <w:r w:rsidRPr="00F23D62">
        <w:rPr>
          <w:rFonts w:cs="Times New Roman"/>
          <w:noProof/>
        </w:rPr>
        <w:drawing>
          <wp:inline distT="0" distB="0" distL="0" distR="0" wp14:anchorId="783C108F" wp14:editId="745F8198">
            <wp:extent cx="5943600" cy="44107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410710"/>
                    </a:xfrm>
                    <a:prstGeom prst="rect">
                      <a:avLst/>
                    </a:prstGeom>
                  </pic:spPr>
                </pic:pic>
              </a:graphicData>
            </a:graphic>
          </wp:inline>
        </w:drawing>
      </w:r>
    </w:p>
    <w:p w14:paraId="6760EF16" w14:textId="28B2DA7A" w:rsidR="00F23D62" w:rsidRDefault="00F23D62" w:rsidP="000A6F69">
      <w:pPr>
        <w:rPr>
          <w:rFonts w:cs="Times New Roman"/>
        </w:rPr>
      </w:pPr>
    </w:p>
    <w:p w14:paraId="70743FC7" w14:textId="07037AFD" w:rsidR="00F23D62" w:rsidRDefault="00F23D62" w:rsidP="000A6F69">
      <w:pPr>
        <w:rPr>
          <w:rFonts w:cs="Times New Roman"/>
        </w:rPr>
      </w:pPr>
      <w:r w:rsidRPr="00F23D62">
        <w:rPr>
          <w:rFonts w:cs="Times New Roman"/>
          <w:noProof/>
        </w:rPr>
        <w:lastRenderedPageBreak/>
        <w:drawing>
          <wp:inline distT="0" distB="0" distL="0" distR="0" wp14:anchorId="2B91F6E1" wp14:editId="667DB46B">
            <wp:extent cx="5943600" cy="44107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410710"/>
                    </a:xfrm>
                    <a:prstGeom prst="rect">
                      <a:avLst/>
                    </a:prstGeom>
                  </pic:spPr>
                </pic:pic>
              </a:graphicData>
            </a:graphic>
          </wp:inline>
        </w:drawing>
      </w:r>
    </w:p>
    <w:p w14:paraId="096AEAC7" w14:textId="2C481E6A" w:rsidR="000A6F69" w:rsidRDefault="000A6F69" w:rsidP="000A6F69">
      <w:pPr>
        <w:rPr>
          <w:rFonts w:cs="Times New Roman"/>
        </w:rPr>
      </w:pPr>
    </w:p>
    <w:p w14:paraId="65C39A8D" w14:textId="77A2229C" w:rsidR="000A6F69" w:rsidRDefault="000A6F69" w:rsidP="000A6F69">
      <w:pPr>
        <w:rPr>
          <w:rFonts w:cs="Times New Roman"/>
        </w:rPr>
      </w:pPr>
    </w:p>
    <w:p w14:paraId="35B633A7" w14:textId="77777777" w:rsidR="000A6F69" w:rsidRDefault="000A6F69" w:rsidP="000A6F69">
      <w:pPr>
        <w:rPr>
          <w:rFonts w:cs="Times New Roman"/>
        </w:rPr>
      </w:pPr>
    </w:p>
    <w:p w14:paraId="714B7B35" w14:textId="77C2A52C" w:rsidR="000A6F69" w:rsidRDefault="000A6F69" w:rsidP="000A6F69">
      <w:pPr>
        <w:rPr>
          <w:rFonts w:cs="Times New Roman"/>
        </w:rPr>
      </w:pPr>
    </w:p>
    <w:p w14:paraId="0147922F" w14:textId="31BFB8AB" w:rsidR="000A6F69" w:rsidRDefault="000A6F69" w:rsidP="000A6F69">
      <w:pPr>
        <w:rPr>
          <w:rFonts w:cs="Times New Roman"/>
        </w:rPr>
      </w:pPr>
    </w:p>
    <w:p w14:paraId="231C3651" w14:textId="50AD63C9" w:rsidR="00396A45" w:rsidRDefault="00396A45">
      <w:pPr>
        <w:rPr>
          <w:rFonts w:cs="Times New Roman"/>
        </w:rPr>
      </w:pPr>
      <w:r>
        <w:rPr>
          <w:rFonts w:cs="Times New Roman"/>
        </w:rPr>
        <w:br w:type="page"/>
      </w:r>
    </w:p>
    <w:p w14:paraId="7CC3F71E" w14:textId="6BE89FDA" w:rsidR="00396A45" w:rsidRDefault="00396A45" w:rsidP="000A6F69">
      <w:pPr>
        <w:rPr>
          <w:rFonts w:ascii="Times New Roman" w:eastAsia="Times New Roman" w:hAnsi="Times New Roman" w:cs="Times New Roman"/>
          <w:b/>
          <w:bCs/>
          <w:color w:val="222222"/>
          <w:sz w:val="28"/>
          <w:szCs w:val="28"/>
        </w:rPr>
      </w:pPr>
      <w:r>
        <w:rPr>
          <w:rFonts w:cs="Times New Roman"/>
          <w:noProof/>
        </w:rPr>
        <w:lastRenderedPageBreak/>
        <w:drawing>
          <wp:anchor distT="0" distB="0" distL="114300" distR="114300" simplePos="0" relativeHeight="251658240" behindDoc="0" locked="0" layoutInCell="1" allowOverlap="1" wp14:anchorId="12442B31" wp14:editId="3D99429F">
            <wp:simplePos x="0" y="0"/>
            <wp:positionH relativeFrom="column">
              <wp:posOffset>-655955</wp:posOffset>
            </wp:positionH>
            <wp:positionV relativeFrom="paragraph">
              <wp:posOffset>406400</wp:posOffset>
            </wp:positionV>
            <wp:extent cx="7327265" cy="4267200"/>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12-03 at 12.04.42 PM.png"/>
                    <pic:cNvPicPr/>
                  </pic:nvPicPr>
                  <pic:blipFill>
                    <a:blip r:embed="rId9"/>
                    <a:stretch>
                      <a:fillRect/>
                    </a:stretch>
                  </pic:blipFill>
                  <pic:spPr>
                    <a:xfrm>
                      <a:off x="0" y="0"/>
                      <a:ext cx="7327265" cy="4267200"/>
                    </a:xfrm>
                    <a:prstGeom prst="rect">
                      <a:avLst/>
                    </a:prstGeom>
                  </pic:spPr>
                </pic:pic>
              </a:graphicData>
            </a:graphic>
            <wp14:sizeRelH relativeFrom="page">
              <wp14:pctWidth>0</wp14:pctWidth>
            </wp14:sizeRelH>
            <wp14:sizeRelV relativeFrom="page">
              <wp14:pctHeight>0</wp14:pctHeight>
            </wp14:sizeRelV>
          </wp:anchor>
        </w:drawing>
      </w:r>
      <w:r w:rsidRPr="000A6F69">
        <w:rPr>
          <w:rFonts w:ascii="Times New Roman" w:eastAsia="Times New Roman" w:hAnsi="Times New Roman" w:cs="Times New Roman"/>
          <w:b/>
          <w:bCs/>
          <w:color w:val="222222"/>
          <w:sz w:val="28"/>
          <w:szCs w:val="28"/>
        </w:rPr>
        <w:t>Appendix</w:t>
      </w:r>
      <w:r>
        <w:rPr>
          <w:rFonts w:ascii="Times New Roman" w:eastAsia="Times New Roman" w:hAnsi="Times New Roman" w:cs="Times New Roman"/>
          <w:b/>
          <w:bCs/>
          <w:color w:val="222222"/>
          <w:sz w:val="28"/>
          <w:szCs w:val="28"/>
        </w:rPr>
        <w:t xml:space="preserve"> D: Roles, Responsibilities, and Regulatory Processes</w:t>
      </w:r>
    </w:p>
    <w:p w14:paraId="76CB3A30" w14:textId="74975018" w:rsidR="00396A45" w:rsidRDefault="00396A45" w:rsidP="000A6F69">
      <w:pPr>
        <w:rPr>
          <w:rFonts w:ascii="Times New Roman" w:eastAsia="Times New Roman" w:hAnsi="Times New Roman" w:cs="Times New Roman"/>
          <w:b/>
          <w:bCs/>
          <w:color w:val="222222"/>
          <w:sz w:val="28"/>
          <w:szCs w:val="28"/>
        </w:rPr>
      </w:pPr>
    </w:p>
    <w:p w14:paraId="04776FAC" w14:textId="28F8E759" w:rsidR="00396A45" w:rsidRDefault="00396A45" w:rsidP="000A6F69">
      <w:pPr>
        <w:rPr>
          <w:rFonts w:ascii="Times New Roman" w:eastAsia="Times New Roman" w:hAnsi="Times New Roman" w:cs="Times New Roman"/>
          <w:b/>
          <w:bCs/>
          <w:color w:val="222222"/>
          <w:sz w:val="28"/>
          <w:szCs w:val="28"/>
        </w:rPr>
      </w:pPr>
    </w:p>
    <w:p w14:paraId="26D9EDB0" w14:textId="492A73B4" w:rsidR="000A6F69" w:rsidRPr="007D47A4" w:rsidRDefault="000A6F69" w:rsidP="000A6F69">
      <w:pPr>
        <w:rPr>
          <w:rFonts w:cs="Times New Roman"/>
        </w:rPr>
      </w:pPr>
    </w:p>
    <w:sectPr w:rsidR="000A6F69" w:rsidRPr="007D47A4" w:rsidSect="00A546B5">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82A9BF" w14:textId="77777777" w:rsidR="00E42AB7" w:rsidRDefault="00E42AB7" w:rsidP="007D47A4">
      <w:r>
        <w:separator/>
      </w:r>
    </w:p>
  </w:endnote>
  <w:endnote w:type="continuationSeparator" w:id="0">
    <w:p w14:paraId="075ABC13" w14:textId="77777777" w:rsidR="00E42AB7" w:rsidRDefault="00E42AB7" w:rsidP="007D4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panose1 w:val="020B0604020202020204"/>
    <w:charset w:val="00"/>
    <w:family w:val="roman"/>
    <w:notTrueType/>
    <w:pitch w:val="default"/>
  </w:font>
  <w:font w:name="TimesNewRomanPS">
    <w:altName w:val="Times New Roman"/>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88408304"/>
      <w:docPartObj>
        <w:docPartGallery w:val="Page Numbers (Bottom of Page)"/>
        <w:docPartUnique/>
      </w:docPartObj>
    </w:sdtPr>
    <w:sdtContent>
      <w:p w14:paraId="4B3A3159" w14:textId="6EA81ABA" w:rsidR="00F56CF4" w:rsidRDefault="00F56CF4" w:rsidP="00775B2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5CABDE" w14:textId="77777777" w:rsidR="00F56CF4" w:rsidRDefault="00F56C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08490448"/>
      <w:docPartObj>
        <w:docPartGallery w:val="Page Numbers (Bottom of Page)"/>
        <w:docPartUnique/>
      </w:docPartObj>
    </w:sdtPr>
    <w:sdtContent>
      <w:p w14:paraId="78B4A570" w14:textId="32A76E25" w:rsidR="00F56CF4" w:rsidRDefault="00F56CF4" w:rsidP="00775B2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CF89D3A" w14:textId="77777777" w:rsidR="00F56CF4" w:rsidRDefault="00F56C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5F2A00" w14:textId="77777777" w:rsidR="00E42AB7" w:rsidRDefault="00E42AB7" w:rsidP="007D47A4">
      <w:r>
        <w:separator/>
      </w:r>
    </w:p>
  </w:footnote>
  <w:footnote w:type="continuationSeparator" w:id="0">
    <w:p w14:paraId="3F6311CB" w14:textId="77777777" w:rsidR="00E42AB7" w:rsidRDefault="00E42AB7" w:rsidP="007D47A4">
      <w:r>
        <w:continuationSeparator/>
      </w:r>
    </w:p>
  </w:footnote>
  <w:footnote w:id="1">
    <w:p w14:paraId="55971B78" w14:textId="483450A2" w:rsidR="001A1D96" w:rsidRDefault="001A1D96" w:rsidP="001A1D96">
      <w:pPr>
        <w:pStyle w:val="NormalWeb"/>
      </w:pPr>
      <w:r>
        <w:rPr>
          <w:rStyle w:val="FootnoteReference"/>
        </w:rPr>
        <w:footnoteRef/>
      </w:r>
      <w:r>
        <w:t xml:space="preserve"> </w:t>
      </w:r>
      <w:r>
        <w:rPr>
          <w:rFonts w:ascii="TimesNewRomanPSMT" w:hAnsi="TimesNewRomanPSMT"/>
        </w:rPr>
        <w:t xml:space="preserve">“The annual budget filings and their associated review should be relatively ministerial. The question for Commission Staff in reviewing a budget advice letter should be “does this conform to the approved </w:t>
      </w:r>
      <w:r w:rsidR="00E81A06">
        <w:rPr>
          <w:rFonts w:ascii="TimesNewRomanPSMT" w:hAnsi="TimesNewRomanPSMT"/>
        </w:rPr>
        <w:t>budget application</w:t>
      </w:r>
      <w:r>
        <w:rPr>
          <w:rFonts w:ascii="TimesNewRomanPSMT" w:hAnsi="TimesNewRomanPSMT"/>
        </w:rPr>
        <w:t xml:space="preserve">?” The annual budget filings are </w:t>
      </w:r>
      <w:r>
        <w:rPr>
          <w:rFonts w:ascii="TimesNewRomanPS" w:hAnsi="TimesNewRomanPS"/>
          <w:i/>
          <w:iCs/>
        </w:rPr>
        <w:t xml:space="preserve">not </w:t>
      </w:r>
      <w:r>
        <w:rPr>
          <w:rFonts w:ascii="TimesNewRomanPSMT" w:hAnsi="TimesNewRomanPSMT"/>
        </w:rPr>
        <w:t xml:space="preserve">designed to create a forum for debating the merits of particular programs; that is for the business plan proceeding.” D.15- 10-028, p.62 </w:t>
      </w:r>
    </w:p>
    <w:p w14:paraId="4420063E" w14:textId="2105AC87" w:rsidR="001A1D96" w:rsidRDefault="001A1D96">
      <w:pPr>
        <w:pStyle w:val="FootnoteText"/>
      </w:pPr>
    </w:p>
  </w:footnote>
  <w:footnote w:id="2">
    <w:p w14:paraId="40B91DBF" w14:textId="27363CB7" w:rsidR="006529DD" w:rsidRPr="00B067D3" w:rsidRDefault="006529DD">
      <w:pPr>
        <w:pStyle w:val="FootnoteText"/>
        <w:rPr>
          <w:highlight w:val="yellow"/>
        </w:rPr>
      </w:pPr>
      <w:r w:rsidRPr="00B067D3">
        <w:rPr>
          <w:rStyle w:val="FootnoteReference"/>
        </w:rPr>
        <w:footnoteRef/>
      </w:r>
      <w:r w:rsidRPr="00B067D3">
        <w:t xml:space="preserve"> </w:t>
      </w:r>
      <w:r w:rsidR="005F08AD" w:rsidRPr="00B067D3">
        <w:t>The term “EE Budget Application” is used here to represent a portfolio/budget/</w:t>
      </w:r>
      <w:r w:rsidR="00021B63" w:rsidRPr="00B067D3">
        <w:t>EE</w:t>
      </w:r>
      <w:r w:rsidR="005F08AD" w:rsidRPr="00B067D3">
        <w:t xml:space="preserve"> application that would replace what was previously called the </w:t>
      </w:r>
      <w:r w:rsidR="00EB1DAA" w:rsidRPr="00B067D3">
        <w:t>Business Plan</w:t>
      </w:r>
      <w:r w:rsidR="005F08AD" w:rsidRPr="00B067D3">
        <w:t xml:space="preserve"> (the timing and details of the transition still to be discussed). The Business Plan was a type of application which had a specific format for a 10-yr cycle; the EE Budget Application would </w:t>
      </w:r>
      <w:r w:rsidR="00021B63" w:rsidRPr="00B067D3">
        <w:t xml:space="preserve">be for a shorter period and </w:t>
      </w:r>
      <w:r w:rsidR="005F08AD" w:rsidRPr="00B067D3">
        <w:t>take a different format</w:t>
      </w:r>
      <w:r w:rsidR="00021B63" w:rsidRPr="00B067D3">
        <w:t xml:space="preserve"> and level of detail</w:t>
      </w:r>
      <w:r w:rsidR="005F08AD" w:rsidRPr="00B067D3">
        <w:t xml:space="preserve">. </w:t>
      </w:r>
    </w:p>
  </w:footnote>
  <w:footnote w:id="3">
    <w:p w14:paraId="49707C64" w14:textId="687A1A7C" w:rsidR="00D75851" w:rsidRDefault="00D75851">
      <w:pPr>
        <w:pStyle w:val="FootnoteText"/>
      </w:pPr>
      <w:r>
        <w:rPr>
          <w:rStyle w:val="FootnoteReference"/>
        </w:rPr>
        <w:footnoteRef/>
      </w:r>
      <w:r>
        <w:t xml:space="preserve"> Budgets for attrition years are usually decided up front in the application decision, so no additional filings would be required.  An additional filing would only be needed if the PA was requesting a deviation from what was initially approved for the attrition years.</w:t>
      </w:r>
    </w:p>
  </w:footnote>
  <w:footnote w:id="4">
    <w:p w14:paraId="38ED37A6" w14:textId="77777777" w:rsidR="000A6F69" w:rsidRDefault="000A6F69" w:rsidP="000A6F69">
      <w:pPr>
        <w:pStyle w:val="FootnoteText"/>
      </w:pPr>
      <w:r>
        <w:rPr>
          <w:rStyle w:val="FootnoteReference"/>
        </w:rPr>
        <w:footnoteRef/>
      </w:r>
      <w:r>
        <w:t xml:space="preserve"> </w:t>
      </w:r>
      <w:r w:rsidRPr="00B10D65">
        <w:rPr>
          <w:rFonts w:ascii="Times New Roman" w:hAnsi="Times New Roman" w:cs="Times New Roman"/>
          <w:sz w:val="20"/>
          <w:szCs w:val="20"/>
        </w:rPr>
        <w:t>Zero-based budgeting is a method of budgeting in which all expenses must be justified for each new period. The process of zero-based budgeting starts from a "zero base," and every function within an organization is analyzed for its needs and costs.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351BB"/>
    <w:multiLevelType w:val="hybridMultilevel"/>
    <w:tmpl w:val="96640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BD34EF"/>
    <w:multiLevelType w:val="hybridMultilevel"/>
    <w:tmpl w:val="95148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D36E20"/>
    <w:multiLevelType w:val="hybridMultilevel"/>
    <w:tmpl w:val="41E41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B46A4E"/>
    <w:multiLevelType w:val="hybridMultilevel"/>
    <w:tmpl w:val="142AD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501E92"/>
    <w:multiLevelType w:val="hybridMultilevel"/>
    <w:tmpl w:val="D69A7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37014E"/>
    <w:multiLevelType w:val="hybridMultilevel"/>
    <w:tmpl w:val="7A801F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447D28"/>
    <w:multiLevelType w:val="hybridMultilevel"/>
    <w:tmpl w:val="B73E54B0"/>
    <w:lvl w:ilvl="0" w:tplc="EB4C43C8">
      <w:start w:val="1"/>
      <w:numFmt w:val="decimal"/>
      <w:lvlText w:val="(%1)"/>
      <w:lvlJc w:val="left"/>
      <w:pPr>
        <w:ind w:left="720" w:hanging="360"/>
      </w:pPr>
      <w:rPr>
        <w:rFonts w:eastAsiaTheme="minorHAnsi" w:cstheme="minorBidi"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B803D6"/>
    <w:multiLevelType w:val="hybridMultilevel"/>
    <w:tmpl w:val="9A762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637E16"/>
    <w:multiLevelType w:val="hybridMultilevel"/>
    <w:tmpl w:val="33BC140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202C46"/>
    <w:multiLevelType w:val="hybridMultilevel"/>
    <w:tmpl w:val="7C30B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20567D"/>
    <w:multiLevelType w:val="hybridMultilevel"/>
    <w:tmpl w:val="77649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DE44EC"/>
    <w:multiLevelType w:val="hybridMultilevel"/>
    <w:tmpl w:val="A434D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1304DC"/>
    <w:multiLevelType w:val="hybridMultilevel"/>
    <w:tmpl w:val="19761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B22724"/>
    <w:multiLevelType w:val="hybridMultilevel"/>
    <w:tmpl w:val="B3902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010CE2"/>
    <w:multiLevelType w:val="hybridMultilevel"/>
    <w:tmpl w:val="16FAE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6A00B05"/>
    <w:multiLevelType w:val="hybridMultilevel"/>
    <w:tmpl w:val="C242E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0B1114"/>
    <w:multiLevelType w:val="hybridMultilevel"/>
    <w:tmpl w:val="9C445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BC2778"/>
    <w:multiLevelType w:val="hybridMultilevel"/>
    <w:tmpl w:val="856C0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8F28D2"/>
    <w:multiLevelType w:val="hybridMultilevel"/>
    <w:tmpl w:val="7128A2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F5857AD"/>
    <w:multiLevelType w:val="multilevel"/>
    <w:tmpl w:val="889C5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0F07116"/>
    <w:multiLevelType w:val="hybridMultilevel"/>
    <w:tmpl w:val="32B25F1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18D106D"/>
    <w:multiLevelType w:val="hybridMultilevel"/>
    <w:tmpl w:val="8FE4B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1"/>
  </w:num>
  <w:num w:numId="3">
    <w:abstractNumId w:val="1"/>
  </w:num>
  <w:num w:numId="4">
    <w:abstractNumId w:val="18"/>
  </w:num>
  <w:num w:numId="5">
    <w:abstractNumId w:val="14"/>
  </w:num>
  <w:num w:numId="6">
    <w:abstractNumId w:val="13"/>
  </w:num>
  <w:num w:numId="7">
    <w:abstractNumId w:val="10"/>
  </w:num>
  <w:num w:numId="8">
    <w:abstractNumId w:val="11"/>
  </w:num>
  <w:num w:numId="9">
    <w:abstractNumId w:val="5"/>
  </w:num>
  <w:num w:numId="10">
    <w:abstractNumId w:val="17"/>
  </w:num>
  <w:num w:numId="11">
    <w:abstractNumId w:val="19"/>
  </w:num>
  <w:num w:numId="12">
    <w:abstractNumId w:val="20"/>
  </w:num>
  <w:num w:numId="13">
    <w:abstractNumId w:val="6"/>
  </w:num>
  <w:num w:numId="14">
    <w:abstractNumId w:val="15"/>
  </w:num>
  <w:num w:numId="15">
    <w:abstractNumId w:val="8"/>
  </w:num>
  <w:num w:numId="16">
    <w:abstractNumId w:val="3"/>
  </w:num>
  <w:num w:numId="17">
    <w:abstractNumId w:val="16"/>
  </w:num>
  <w:num w:numId="18">
    <w:abstractNumId w:val="4"/>
  </w:num>
  <w:num w:numId="19">
    <w:abstractNumId w:val="7"/>
  </w:num>
  <w:num w:numId="20">
    <w:abstractNumId w:val="12"/>
  </w:num>
  <w:num w:numId="21">
    <w:abstractNumId w:val="0"/>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08B"/>
    <w:rsid w:val="00021B63"/>
    <w:rsid w:val="00054056"/>
    <w:rsid w:val="00055DEB"/>
    <w:rsid w:val="00063409"/>
    <w:rsid w:val="000A6F69"/>
    <w:rsid w:val="000C488E"/>
    <w:rsid w:val="00152DA3"/>
    <w:rsid w:val="00167793"/>
    <w:rsid w:val="00196E44"/>
    <w:rsid w:val="001A1D96"/>
    <w:rsid w:val="001C4268"/>
    <w:rsid w:val="001F50F9"/>
    <w:rsid w:val="00207EC4"/>
    <w:rsid w:val="00242FAC"/>
    <w:rsid w:val="002B37AB"/>
    <w:rsid w:val="002E51B7"/>
    <w:rsid w:val="003262E8"/>
    <w:rsid w:val="0036633E"/>
    <w:rsid w:val="00396A45"/>
    <w:rsid w:val="00455F85"/>
    <w:rsid w:val="00487CD5"/>
    <w:rsid w:val="004F4605"/>
    <w:rsid w:val="005045B8"/>
    <w:rsid w:val="00527BCD"/>
    <w:rsid w:val="005631D4"/>
    <w:rsid w:val="005B13F1"/>
    <w:rsid w:val="005F08AD"/>
    <w:rsid w:val="006239C7"/>
    <w:rsid w:val="0064344C"/>
    <w:rsid w:val="0065109A"/>
    <w:rsid w:val="006529DD"/>
    <w:rsid w:val="00654C89"/>
    <w:rsid w:val="0069295F"/>
    <w:rsid w:val="007441AF"/>
    <w:rsid w:val="0074735F"/>
    <w:rsid w:val="00761824"/>
    <w:rsid w:val="0077208B"/>
    <w:rsid w:val="00792383"/>
    <w:rsid w:val="007A62A5"/>
    <w:rsid w:val="007B6280"/>
    <w:rsid w:val="007B7F07"/>
    <w:rsid w:val="007D47A4"/>
    <w:rsid w:val="007E075A"/>
    <w:rsid w:val="007E2DA4"/>
    <w:rsid w:val="007E719F"/>
    <w:rsid w:val="007F7AB7"/>
    <w:rsid w:val="00810122"/>
    <w:rsid w:val="00827704"/>
    <w:rsid w:val="00881EF7"/>
    <w:rsid w:val="008909A9"/>
    <w:rsid w:val="008A0968"/>
    <w:rsid w:val="008D31DE"/>
    <w:rsid w:val="008D3CC9"/>
    <w:rsid w:val="0092209D"/>
    <w:rsid w:val="0093042A"/>
    <w:rsid w:val="009D5A04"/>
    <w:rsid w:val="00A26A9F"/>
    <w:rsid w:val="00A50F07"/>
    <w:rsid w:val="00A546B5"/>
    <w:rsid w:val="00A60E00"/>
    <w:rsid w:val="00A8228A"/>
    <w:rsid w:val="00B067D3"/>
    <w:rsid w:val="00B16271"/>
    <w:rsid w:val="00B929A9"/>
    <w:rsid w:val="00B95B4B"/>
    <w:rsid w:val="00BA6FF2"/>
    <w:rsid w:val="00BB4C25"/>
    <w:rsid w:val="00BD6FBD"/>
    <w:rsid w:val="00BE2F8B"/>
    <w:rsid w:val="00BF327F"/>
    <w:rsid w:val="00C31278"/>
    <w:rsid w:val="00C842CF"/>
    <w:rsid w:val="00C91314"/>
    <w:rsid w:val="00CB2B53"/>
    <w:rsid w:val="00CC0CA5"/>
    <w:rsid w:val="00D01D42"/>
    <w:rsid w:val="00D07ACA"/>
    <w:rsid w:val="00D75851"/>
    <w:rsid w:val="00D87DBD"/>
    <w:rsid w:val="00D94072"/>
    <w:rsid w:val="00DB1863"/>
    <w:rsid w:val="00DC13F6"/>
    <w:rsid w:val="00DD483F"/>
    <w:rsid w:val="00E42AB7"/>
    <w:rsid w:val="00E81A06"/>
    <w:rsid w:val="00E92E7F"/>
    <w:rsid w:val="00EB1DAA"/>
    <w:rsid w:val="00F23D62"/>
    <w:rsid w:val="00F248EE"/>
    <w:rsid w:val="00F35A06"/>
    <w:rsid w:val="00F56CF4"/>
    <w:rsid w:val="00F84A52"/>
    <w:rsid w:val="00FF7C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344F010"/>
  <w15:docId w15:val="{6FA4331E-2535-E448-A583-CC07E44F4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208B"/>
    <w:pPr>
      <w:ind w:left="720"/>
      <w:contextualSpacing/>
    </w:pPr>
  </w:style>
  <w:style w:type="paragraph" w:styleId="BalloonText">
    <w:name w:val="Balloon Text"/>
    <w:basedOn w:val="Normal"/>
    <w:link w:val="BalloonTextChar"/>
    <w:uiPriority w:val="99"/>
    <w:semiHidden/>
    <w:unhideWhenUsed/>
    <w:rsid w:val="0077208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7208B"/>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810122"/>
    <w:rPr>
      <w:sz w:val="16"/>
      <w:szCs w:val="16"/>
    </w:rPr>
  </w:style>
  <w:style w:type="paragraph" w:styleId="CommentText">
    <w:name w:val="annotation text"/>
    <w:basedOn w:val="Normal"/>
    <w:link w:val="CommentTextChar"/>
    <w:uiPriority w:val="99"/>
    <w:semiHidden/>
    <w:unhideWhenUsed/>
    <w:rsid w:val="00810122"/>
    <w:rPr>
      <w:sz w:val="20"/>
      <w:szCs w:val="20"/>
    </w:rPr>
  </w:style>
  <w:style w:type="character" w:customStyle="1" w:styleId="CommentTextChar">
    <w:name w:val="Comment Text Char"/>
    <w:basedOn w:val="DefaultParagraphFont"/>
    <w:link w:val="CommentText"/>
    <w:uiPriority w:val="99"/>
    <w:semiHidden/>
    <w:rsid w:val="00810122"/>
    <w:rPr>
      <w:sz w:val="20"/>
      <w:szCs w:val="20"/>
    </w:rPr>
  </w:style>
  <w:style w:type="paragraph" w:styleId="CommentSubject">
    <w:name w:val="annotation subject"/>
    <w:basedOn w:val="CommentText"/>
    <w:next w:val="CommentText"/>
    <w:link w:val="CommentSubjectChar"/>
    <w:uiPriority w:val="99"/>
    <w:semiHidden/>
    <w:unhideWhenUsed/>
    <w:rsid w:val="00810122"/>
    <w:rPr>
      <w:b/>
      <w:bCs/>
    </w:rPr>
  </w:style>
  <w:style w:type="character" w:customStyle="1" w:styleId="CommentSubjectChar">
    <w:name w:val="Comment Subject Char"/>
    <w:basedOn w:val="CommentTextChar"/>
    <w:link w:val="CommentSubject"/>
    <w:uiPriority w:val="99"/>
    <w:semiHidden/>
    <w:rsid w:val="00810122"/>
    <w:rPr>
      <w:b/>
      <w:bCs/>
      <w:sz w:val="20"/>
      <w:szCs w:val="20"/>
    </w:rPr>
  </w:style>
  <w:style w:type="paragraph" w:styleId="FootnoteText">
    <w:name w:val="footnote text"/>
    <w:basedOn w:val="Normal"/>
    <w:link w:val="FootnoteTextChar"/>
    <w:uiPriority w:val="99"/>
    <w:unhideWhenUsed/>
    <w:rsid w:val="007D47A4"/>
  </w:style>
  <w:style w:type="character" w:customStyle="1" w:styleId="FootnoteTextChar">
    <w:name w:val="Footnote Text Char"/>
    <w:basedOn w:val="DefaultParagraphFont"/>
    <w:link w:val="FootnoteText"/>
    <w:uiPriority w:val="99"/>
    <w:rsid w:val="007D47A4"/>
  </w:style>
  <w:style w:type="character" w:styleId="FootnoteReference">
    <w:name w:val="footnote reference"/>
    <w:basedOn w:val="DefaultParagraphFont"/>
    <w:uiPriority w:val="99"/>
    <w:unhideWhenUsed/>
    <w:rsid w:val="007D47A4"/>
    <w:rPr>
      <w:vertAlign w:val="superscript"/>
    </w:rPr>
  </w:style>
  <w:style w:type="paragraph" w:styleId="Revision">
    <w:name w:val="Revision"/>
    <w:hidden/>
    <w:uiPriority w:val="99"/>
    <w:semiHidden/>
    <w:rsid w:val="0036633E"/>
  </w:style>
  <w:style w:type="character" w:styleId="Hyperlink">
    <w:name w:val="Hyperlink"/>
    <w:basedOn w:val="DefaultParagraphFont"/>
    <w:uiPriority w:val="99"/>
    <w:unhideWhenUsed/>
    <w:rsid w:val="0074735F"/>
    <w:rPr>
      <w:color w:val="0000FF"/>
      <w:u w:val="single"/>
    </w:rPr>
  </w:style>
  <w:style w:type="character" w:styleId="UnresolvedMention">
    <w:name w:val="Unresolved Mention"/>
    <w:basedOn w:val="DefaultParagraphFont"/>
    <w:uiPriority w:val="99"/>
    <w:semiHidden/>
    <w:unhideWhenUsed/>
    <w:rsid w:val="0074735F"/>
    <w:rPr>
      <w:color w:val="605E5C"/>
      <w:shd w:val="clear" w:color="auto" w:fill="E1DFDD"/>
    </w:rPr>
  </w:style>
  <w:style w:type="paragraph" w:styleId="NormalWeb">
    <w:name w:val="Normal (Web)"/>
    <w:basedOn w:val="Normal"/>
    <w:uiPriority w:val="99"/>
    <w:semiHidden/>
    <w:unhideWhenUsed/>
    <w:rsid w:val="001A1D96"/>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E81A06"/>
    <w:rPr>
      <w:i/>
      <w:iCs/>
    </w:rPr>
  </w:style>
  <w:style w:type="paragraph" w:styleId="Footer">
    <w:name w:val="footer"/>
    <w:basedOn w:val="Normal"/>
    <w:link w:val="FooterChar"/>
    <w:uiPriority w:val="99"/>
    <w:unhideWhenUsed/>
    <w:rsid w:val="00F56CF4"/>
    <w:pPr>
      <w:tabs>
        <w:tab w:val="center" w:pos="4680"/>
        <w:tab w:val="right" w:pos="9360"/>
      </w:tabs>
    </w:pPr>
  </w:style>
  <w:style w:type="character" w:customStyle="1" w:styleId="FooterChar">
    <w:name w:val="Footer Char"/>
    <w:basedOn w:val="DefaultParagraphFont"/>
    <w:link w:val="Footer"/>
    <w:uiPriority w:val="99"/>
    <w:rsid w:val="00F56CF4"/>
  </w:style>
  <w:style w:type="character" w:styleId="PageNumber">
    <w:name w:val="page number"/>
    <w:basedOn w:val="DefaultParagraphFont"/>
    <w:uiPriority w:val="99"/>
    <w:semiHidden/>
    <w:unhideWhenUsed/>
    <w:rsid w:val="00F56C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24633">
      <w:bodyDiv w:val="1"/>
      <w:marLeft w:val="0"/>
      <w:marRight w:val="0"/>
      <w:marTop w:val="0"/>
      <w:marBottom w:val="0"/>
      <w:divBdr>
        <w:top w:val="none" w:sz="0" w:space="0" w:color="auto"/>
        <w:left w:val="none" w:sz="0" w:space="0" w:color="auto"/>
        <w:bottom w:val="none" w:sz="0" w:space="0" w:color="auto"/>
        <w:right w:val="none" w:sz="0" w:space="0" w:color="auto"/>
      </w:divBdr>
    </w:div>
    <w:div w:id="250044227">
      <w:bodyDiv w:val="1"/>
      <w:marLeft w:val="0"/>
      <w:marRight w:val="0"/>
      <w:marTop w:val="0"/>
      <w:marBottom w:val="0"/>
      <w:divBdr>
        <w:top w:val="none" w:sz="0" w:space="0" w:color="auto"/>
        <w:left w:val="none" w:sz="0" w:space="0" w:color="auto"/>
        <w:bottom w:val="none" w:sz="0" w:space="0" w:color="auto"/>
        <w:right w:val="none" w:sz="0" w:space="0" w:color="auto"/>
      </w:divBdr>
    </w:div>
    <w:div w:id="764888298">
      <w:bodyDiv w:val="1"/>
      <w:marLeft w:val="0"/>
      <w:marRight w:val="0"/>
      <w:marTop w:val="0"/>
      <w:marBottom w:val="0"/>
      <w:divBdr>
        <w:top w:val="none" w:sz="0" w:space="0" w:color="auto"/>
        <w:left w:val="none" w:sz="0" w:space="0" w:color="auto"/>
        <w:bottom w:val="none" w:sz="0" w:space="0" w:color="auto"/>
        <w:right w:val="none" w:sz="0" w:space="0" w:color="auto"/>
      </w:divBdr>
    </w:div>
    <w:div w:id="1114985460">
      <w:bodyDiv w:val="1"/>
      <w:marLeft w:val="0"/>
      <w:marRight w:val="0"/>
      <w:marTop w:val="0"/>
      <w:marBottom w:val="0"/>
      <w:divBdr>
        <w:top w:val="none" w:sz="0" w:space="0" w:color="auto"/>
        <w:left w:val="none" w:sz="0" w:space="0" w:color="auto"/>
        <w:bottom w:val="none" w:sz="0" w:space="0" w:color="auto"/>
        <w:right w:val="none" w:sz="0" w:space="0" w:color="auto"/>
      </w:divBdr>
      <w:divsChild>
        <w:div w:id="215506288">
          <w:marLeft w:val="0"/>
          <w:marRight w:val="0"/>
          <w:marTop w:val="0"/>
          <w:marBottom w:val="0"/>
          <w:divBdr>
            <w:top w:val="none" w:sz="0" w:space="0" w:color="auto"/>
            <w:left w:val="none" w:sz="0" w:space="0" w:color="auto"/>
            <w:bottom w:val="none" w:sz="0" w:space="0" w:color="auto"/>
            <w:right w:val="none" w:sz="0" w:space="0" w:color="auto"/>
          </w:divBdr>
          <w:divsChild>
            <w:div w:id="1350834945">
              <w:marLeft w:val="0"/>
              <w:marRight w:val="0"/>
              <w:marTop w:val="0"/>
              <w:marBottom w:val="0"/>
              <w:divBdr>
                <w:top w:val="none" w:sz="0" w:space="0" w:color="auto"/>
                <w:left w:val="none" w:sz="0" w:space="0" w:color="auto"/>
                <w:bottom w:val="none" w:sz="0" w:space="0" w:color="auto"/>
                <w:right w:val="none" w:sz="0" w:space="0" w:color="auto"/>
              </w:divBdr>
              <w:divsChild>
                <w:div w:id="72044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2346">
      <w:bodyDiv w:val="1"/>
      <w:marLeft w:val="0"/>
      <w:marRight w:val="0"/>
      <w:marTop w:val="0"/>
      <w:marBottom w:val="0"/>
      <w:divBdr>
        <w:top w:val="none" w:sz="0" w:space="0" w:color="auto"/>
        <w:left w:val="none" w:sz="0" w:space="0" w:color="auto"/>
        <w:bottom w:val="none" w:sz="0" w:space="0" w:color="auto"/>
        <w:right w:val="none" w:sz="0" w:space="0" w:color="auto"/>
      </w:divBdr>
    </w:div>
    <w:div w:id="1297762130">
      <w:bodyDiv w:val="1"/>
      <w:marLeft w:val="0"/>
      <w:marRight w:val="0"/>
      <w:marTop w:val="0"/>
      <w:marBottom w:val="0"/>
      <w:divBdr>
        <w:top w:val="none" w:sz="0" w:space="0" w:color="auto"/>
        <w:left w:val="none" w:sz="0" w:space="0" w:color="auto"/>
        <w:bottom w:val="none" w:sz="0" w:space="0" w:color="auto"/>
        <w:right w:val="none" w:sz="0" w:space="0" w:color="auto"/>
      </w:divBdr>
    </w:div>
    <w:div w:id="1688481115">
      <w:bodyDiv w:val="1"/>
      <w:marLeft w:val="0"/>
      <w:marRight w:val="0"/>
      <w:marTop w:val="0"/>
      <w:marBottom w:val="0"/>
      <w:divBdr>
        <w:top w:val="none" w:sz="0" w:space="0" w:color="auto"/>
        <w:left w:val="none" w:sz="0" w:space="0" w:color="auto"/>
        <w:bottom w:val="none" w:sz="0" w:space="0" w:color="auto"/>
        <w:right w:val="none" w:sz="0" w:space="0" w:color="auto"/>
      </w:divBdr>
    </w:div>
    <w:div w:id="2121219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13</Pages>
  <Words>3008</Words>
  <Characters>17146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Meredith Cowart</dc:creator>
  <cp:keywords/>
  <dc:description/>
  <cp:lastModifiedBy>Jonathan Raab</cp:lastModifiedBy>
  <cp:revision>4</cp:revision>
  <dcterms:created xsi:type="dcterms:W3CDTF">2019-12-04T18:19:00Z</dcterms:created>
  <dcterms:modified xsi:type="dcterms:W3CDTF">2019-12-04T18:26:00Z</dcterms:modified>
</cp:coreProperties>
</file>