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59B48" w14:textId="052E6474" w:rsidR="003705F6" w:rsidRPr="008338CD" w:rsidRDefault="00741889" w:rsidP="003705F6">
      <w:pPr>
        <w:jc w:val="center"/>
        <w:rPr>
          <w:rFonts w:ascii="Times New Roman" w:hAnsi="Times New Roman" w:cs="Times New Roman"/>
        </w:rPr>
      </w:pPr>
      <w:r>
        <w:rPr>
          <w:rFonts w:ascii="Times New Roman" w:hAnsi="Times New Roman" w:cs="Times New Roman"/>
        </w:rPr>
        <w:t>CAEECC</w:t>
      </w:r>
      <w:r w:rsidR="003705F6" w:rsidRPr="008338CD">
        <w:rPr>
          <w:rFonts w:ascii="Times New Roman" w:hAnsi="Times New Roman" w:cs="Times New Roman"/>
        </w:rPr>
        <w:t xml:space="preserve"> Market Transformation Working Group </w:t>
      </w:r>
    </w:p>
    <w:p w14:paraId="54930115" w14:textId="77777777" w:rsidR="003705F6" w:rsidRPr="008338CD" w:rsidRDefault="003705F6" w:rsidP="003705F6">
      <w:pPr>
        <w:jc w:val="center"/>
        <w:rPr>
          <w:rFonts w:ascii="Times New Roman" w:hAnsi="Times New Roman" w:cs="Times New Roman"/>
        </w:rPr>
      </w:pPr>
      <w:r w:rsidRPr="008338CD">
        <w:rPr>
          <w:rFonts w:ascii="Times New Roman" w:hAnsi="Times New Roman" w:cs="Times New Roman"/>
        </w:rPr>
        <w:t>NRDC, 111 Sutter St # 20, San Francisco, CA 94104</w:t>
      </w:r>
    </w:p>
    <w:p w14:paraId="7D925D88" w14:textId="638F03DC" w:rsidR="003705F6" w:rsidRPr="008338CD" w:rsidRDefault="003155C2" w:rsidP="003705F6">
      <w:pPr>
        <w:jc w:val="center"/>
        <w:rPr>
          <w:rFonts w:ascii="Times New Roman" w:hAnsi="Times New Roman" w:cs="Times New Roman"/>
        </w:rPr>
      </w:pPr>
      <w:r>
        <w:rPr>
          <w:rFonts w:ascii="Times New Roman" w:hAnsi="Times New Roman" w:cs="Times New Roman"/>
        </w:rPr>
        <w:t>Monday</w:t>
      </w:r>
      <w:r w:rsidR="003705F6" w:rsidRPr="008338CD">
        <w:rPr>
          <w:rFonts w:ascii="Times New Roman" w:hAnsi="Times New Roman" w:cs="Times New Roman"/>
        </w:rPr>
        <w:t xml:space="preserve">, </w:t>
      </w:r>
      <w:r>
        <w:rPr>
          <w:rFonts w:ascii="Times New Roman" w:hAnsi="Times New Roman" w:cs="Times New Roman"/>
        </w:rPr>
        <w:t xml:space="preserve">January 14, 2019, 9 a.m. – 5:30 p.m. </w:t>
      </w:r>
      <w:r w:rsidR="003705F6" w:rsidRPr="008338CD">
        <w:rPr>
          <w:rFonts w:ascii="Times New Roman" w:hAnsi="Times New Roman" w:cs="Times New Roman"/>
        </w:rPr>
        <w:t xml:space="preserve"> </w:t>
      </w:r>
    </w:p>
    <w:p w14:paraId="731B18B3" w14:textId="4F68CAE4" w:rsidR="003705F6" w:rsidRPr="008338CD" w:rsidRDefault="003705F6" w:rsidP="003705F6">
      <w:pPr>
        <w:jc w:val="center"/>
        <w:rPr>
          <w:rFonts w:ascii="Times New Roman" w:hAnsi="Times New Roman" w:cs="Times New Roman"/>
        </w:rPr>
      </w:pPr>
      <w:r w:rsidRPr="008338CD">
        <w:rPr>
          <w:rFonts w:ascii="Times New Roman" w:hAnsi="Times New Roman" w:cs="Times New Roman"/>
        </w:rPr>
        <w:t>Meeting Summary</w:t>
      </w:r>
    </w:p>
    <w:p w14:paraId="6A96F711" w14:textId="34C9499F" w:rsidR="00741889" w:rsidRDefault="008338CD" w:rsidP="003D3610">
      <w:pPr>
        <w:widowControl w:val="0"/>
        <w:pBdr>
          <w:bottom w:val="thickThinSmallGap" w:sz="24" w:space="1" w:color="943634" w:themeColor="accent2" w:themeShade="BF"/>
        </w:pBdr>
        <w:autoSpaceDE w:val="0"/>
        <w:autoSpaceDN w:val="0"/>
        <w:adjustRightInd w:val="0"/>
        <w:jc w:val="center"/>
        <w:rPr>
          <w:rFonts w:ascii="Times New Roman" w:hAnsi="Times New Roman" w:cs="Times New Roman"/>
        </w:rPr>
      </w:pPr>
      <w:r w:rsidRPr="008338CD">
        <w:rPr>
          <w:rFonts w:ascii="Times New Roman" w:hAnsi="Times New Roman" w:cs="Times New Roman"/>
        </w:rPr>
        <w:t>Facilitator:</w:t>
      </w:r>
      <w:r>
        <w:rPr>
          <w:rFonts w:ascii="Times New Roman" w:hAnsi="Times New Roman" w:cs="Times New Roman"/>
        </w:rPr>
        <w:t xml:space="preserve"> Dr.</w:t>
      </w:r>
      <w:r w:rsidRPr="008338CD">
        <w:rPr>
          <w:rFonts w:ascii="Times New Roman" w:hAnsi="Times New Roman" w:cs="Times New Roman"/>
        </w:rPr>
        <w:t xml:space="preserve"> Jonathan Raab, Raab Associates LTD</w:t>
      </w:r>
      <w:r w:rsidR="00990053">
        <w:rPr>
          <w:rFonts w:ascii="Times New Roman" w:hAnsi="Times New Roman" w:cs="Times New Roman"/>
        </w:rPr>
        <w:t>, Ellen Zuckerman (Independent)</w:t>
      </w:r>
    </w:p>
    <w:p w14:paraId="7F17A1C0" w14:textId="77777777" w:rsidR="00AB2634" w:rsidRPr="00184AE2" w:rsidRDefault="00AB2634" w:rsidP="00AB2634">
      <w:pPr>
        <w:widowControl w:val="0"/>
        <w:autoSpaceDE w:val="0"/>
        <w:autoSpaceDN w:val="0"/>
        <w:adjustRightInd w:val="0"/>
        <w:rPr>
          <w:rFonts w:ascii="Times" w:hAnsi="Times" w:cs="Times"/>
        </w:rPr>
      </w:pPr>
    </w:p>
    <w:p w14:paraId="48A54427" w14:textId="4A564EB7" w:rsidR="00AB2634" w:rsidRPr="00ED54AA" w:rsidRDefault="00AB2634" w:rsidP="00AB2634">
      <w:pPr>
        <w:widowControl w:val="0"/>
        <w:autoSpaceDE w:val="0"/>
        <w:autoSpaceDN w:val="0"/>
        <w:adjustRightInd w:val="0"/>
        <w:rPr>
          <w:rFonts w:ascii="Cambria" w:hAnsi="Cambria" w:cs="Times New Roman"/>
        </w:rPr>
      </w:pPr>
      <w:r w:rsidRPr="00ED54AA">
        <w:rPr>
          <w:rFonts w:ascii="Cambria" w:hAnsi="Cambria" w:cs="Times New Roman"/>
        </w:rPr>
        <w:t xml:space="preserve">On </w:t>
      </w:r>
      <w:r w:rsidR="003155C2">
        <w:rPr>
          <w:rFonts w:ascii="Cambria" w:hAnsi="Cambria" w:cs="Times New Roman"/>
        </w:rPr>
        <w:t>January 14</w:t>
      </w:r>
      <w:r w:rsidR="008338CD">
        <w:rPr>
          <w:rFonts w:ascii="Cambria" w:hAnsi="Cambria" w:cs="Times New Roman"/>
        </w:rPr>
        <w:t>, 201</w:t>
      </w:r>
      <w:r w:rsidR="003155C2">
        <w:rPr>
          <w:rFonts w:ascii="Cambria" w:hAnsi="Cambria" w:cs="Times New Roman"/>
        </w:rPr>
        <w:t>9</w:t>
      </w:r>
      <w:r w:rsidR="00990053">
        <w:rPr>
          <w:rFonts w:ascii="Cambria" w:hAnsi="Cambria" w:cs="Times New Roman"/>
        </w:rPr>
        <w:t>,</w:t>
      </w:r>
      <w:r w:rsidR="008338CD">
        <w:rPr>
          <w:rFonts w:ascii="Cambria" w:hAnsi="Cambria" w:cs="Times New Roman"/>
        </w:rPr>
        <w:t xml:space="preserve"> from </w:t>
      </w:r>
      <w:r w:rsidR="003155C2">
        <w:rPr>
          <w:rFonts w:ascii="Cambria" w:hAnsi="Cambria" w:cs="Times New Roman"/>
        </w:rPr>
        <w:t>9:00 a</w:t>
      </w:r>
      <w:r w:rsidR="008338CD">
        <w:rPr>
          <w:rFonts w:ascii="Cambria" w:hAnsi="Cambria" w:cs="Times New Roman"/>
        </w:rPr>
        <w:t>.m. to 5:30 p.m.</w:t>
      </w:r>
      <w:r w:rsidR="007B43AA">
        <w:rPr>
          <w:rFonts w:ascii="Cambria" w:hAnsi="Cambria" w:cs="Times New Roman"/>
        </w:rPr>
        <w:t>.</w:t>
      </w:r>
      <w:r w:rsidRPr="00ED54AA">
        <w:rPr>
          <w:rFonts w:ascii="Cambria" w:hAnsi="Cambria" w:cs="Times New Roman"/>
        </w:rPr>
        <w:t xml:space="preserve">, the California Energy Efficiency Coordinating Committee (CAEECC) </w:t>
      </w:r>
      <w:r w:rsidR="00332716">
        <w:rPr>
          <w:rFonts w:ascii="Cambria" w:hAnsi="Cambria" w:cs="Times New Roman"/>
        </w:rPr>
        <w:t xml:space="preserve">hosted </w:t>
      </w:r>
      <w:r w:rsidR="003155C2">
        <w:rPr>
          <w:rFonts w:ascii="Cambria" w:hAnsi="Cambria" w:cs="Times New Roman"/>
        </w:rPr>
        <w:t>its second</w:t>
      </w:r>
      <w:r w:rsidRPr="00ED54AA">
        <w:rPr>
          <w:rFonts w:ascii="Cambria" w:hAnsi="Cambria" w:cs="Times New Roman"/>
        </w:rPr>
        <w:t xml:space="preserve"> </w:t>
      </w:r>
      <w:r w:rsidR="008338CD">
        <w:rPr>
          <w:rFonts w:ascii="Cambria" w:hAnsi="Cambria" w:cs="Times New Roman"/>
        </w:rPr>
        <w:t>working group</w:t>
      </w:r>
      <w:r w:rsidR="00D4661B">
        <w:rPr>
          <w:rFonts w:ascii="Cambria" w:hAnsi="Cambria" w:cs="Times New Roman"/>
        </w:rPr>
        <w:t xml:space="preserve"> (WG)</w:t>
      </w:r>
      <w:r w:rsidR="003155C2">
        <w:rPr>
          <w:rFonts w:ascii="Cambria" w:hAnsi="Cambria" w:cs="Times New Roman"/>
        </w:rPr>
        <w:t xml:space="preserve"> meeting</w:t>
      </w:r>
      <w:r w:rsidR="008338CD">
        <w:rPr>
          <w:rFonts w:ascii="Cambria" w:hAnsi="Cambria" w:cs="Times New Roman"/>
        </w:rPr>
        <w:t xml:space="preserve"> on Market Transformation</w:t>
      </w:r>
      <w:r w:rsidRPr="00B34927">
        <w:rPr>
          <w:rFonts w:ascii="Cambria" w:hAnsi="Cambria" w:cs="Times New Roman"/>
        </w:rPr>
        <w:t xml:space="preserve"> </w:t>
      </w:r>
      <w:r w:rsidR="00D4661B">
        <w:rPr>
          <w:rFonts w:ascii="Cambria" w:hAnsi="Cambria" w:cs="Times New Roman"/>
        </w:rPr>
        <w:t xml:space="preserve">(MT) </w:t>
      </w:r>
      <w:r w:rsidRPr="00B34927">
        <w:rPr>
          <w:rFonts w:ascii="Cambria" w:hAnsi="Cambria" w:cs="Times New Roman"/>
        </w:rPr>
        <w:t>at the Natural R</w:t>
      </w:r>
      <w:r>
        <w:rPr>
          <w:rFonts w:ascii="Cambria" w:hAnsi="Cambria" w:cs="Times New Roman"/>
        </w:rPr>
        <w:t>esources Defense Council</w:t>
      </w:r>
      <w:r w:rsidR="00B40646">
        <w:rPr>
          <w:rFonts w:ascii="Cambria" w:hAnsi="Cambria" w:cs="Times New Roman"/>
        </w:rPr>
        <w:t xml:space="preserve"> </w:t>
      </w:r>
      <w:r>
        <w:rPr>
          <w:rFonts w:ascii="Cambria" w:hAnsi="Cambria" w:cs="Times New Roman"/>
        </w:rPr>
        <w:t>office</w:t>
      </w:r>
      <w:r w:rsidR="008338CD">
        <w:rPr>
          <w:rFonts w:ascii="Cambria" w:hAnsi="Cambria" w:cs="Times New Roman"/>
        </w:rPr>
        <w:t xml:space="preserve"> in </w:t>
      </w:r>
      <w:r w:rsidR="008338CD" w:rsidRPr="00501708">
        <w:rPr>
          <w:rFonts w:ascii="Cambria" w:hAnsi="Cambria" w:cs="Times New Roman"/>
        </w:rPr>
        <w:t xml:space="preserve">San Francisco. </w:t>
      </w:r>
      <w:r w:rsidR="003155C2" w:rsidRPr="00501708">
        <w:rPr>
          <w:rFonts w:ascii="Cambria" w:hAnsi="Cambria" w:cs="Times New Roman"/>
        </w:rPr>
        <w:t>Twenty-</w:t>
      </w:r>
      <w:r w:rsidR="00501708">
        <w:rPr>
          <w:rFonts w:ascii="Cambria" w:hAnsi="Cambria" w:cs="Times New Roman"/>
        </w:rPr>
        <w:t>eight</w:t>
      </w:r>
      <w:r w:rsidR="00990053" w:rsidRPr="00501708">
        <w:rPr>
          <w:rFonts w:ascii="Cambria" w:hAnsi="Cambria" w:cs="Times New Roman"/>
        </w:rPr>
        <w:t xml:space="preserve"> </w:t>
      </w:r>
      <w:r w:rsidR="00242D7B" w:rsidRPr="00501708">
        <w:rPr>
          <w:rFonts w:ascii="Cambria" w:hAnsi="Cambria" w:cs="Times New Roman"/>
        </w:rPr>
        <w:t xml:space="preserve">individuals participated in-person, and </w:t>
      </w:r>
      <w:r w:rsidR="00E57683" w:rsidRPr="00501708">
        <w:rPr>
          <w:rFonts w:ascii="Cambria" w:hAnsi="Cambria" w:cs="Times New Roman"/>
        </w:rPr>
        <w:t xml:space="preserve">approximately </w:t>
      </w:r>
      <w:r w:rsidR="003155C2" w:rsidRPr="00501708">
        <w:rPr>
          <w:rFonts w:ascii="Cambria" w:hAnsi="Cambria" w:cs="Times New Roman"/>
        </w:rPr>
        <w:t>1</w:t>
      </w:r>
      <w:r w:rsidR="00501708" w:rsidRPr="00501708">
        <w:rPr>
          <w:rFonts w:ascii="Cambria" w:hAnsi="Cambria" w:cs="Times New Roman"/>
        </w:rPr>
        <w:t>3</w:t>
      </w:r>
      <w:r w:rsidR="00242D7B" w:rsidRPr="00001900">
        <w:rPr>
          <w:rFonts w:ascii="Cambria" w:hAnsi="Cambria" w:cs="Times New Roman"/>
        </w:rPr>
        <w:t xml:space="preserve"> more participated via BlueJeans webinar. </w:t>
      </w:r>
      <w:r w:rsidRPr="00001900">
        <w:rPr>
          <w:rFonts w:ascii="Cambria" w:hAnsi="Cambria" w:cs="Times New Roman"/>
        </w:rPr>
        <w:t>A full list of meeting registrants is</w:t>
      </w:r>
      <w:r w:rsidRPr="00242D7B">
        <w:rPr>
          <w:rFonts w:ascii="Cambria" w:hAnsi="Cambria" w:cs="Times New Roman"/>
        </w:rPr>
        <w:t xml:space="preserve"> provided </w:t>
      </w:r>
      <w:r w:rsidR="00CE21FA">
        <w:rPr>
          <w:rFonts w:ascii="Cambria" w:hAnsi="Cambria" w:cs="Times New Roman"/>
        </w:rPr>
        <w:t xml:space="preserve">below </w:t>
      </w:r>
      <w:r w:rsidRPr="00242D7B">
        <w:rPr>
          <w:rFonts w:ascii="Cambria" w:hAnsi="Cambria" w:cs="Times New Roman"/>
        </w:rPr>
        <w:t xml:space="preserve">in Appendix </w:t>
      </w:r>
      <w:r w:rsidR="00F83DC3">
        <w:rPr>
          <w:rFonts w:ascii="Cambria" w:hAnsi="Cambria" w:cs="Times New Roman"/>
        </w:rPr>
        <w:t>C</w:t>
      </w:r>
      <w:r w:rsidR="00332716" w:rsidRPr="00242D7B">
        <w:rPr>
          <w:rFonts w:ascii="Cambria" w:hAnsi="Cambria" w:cs="Times New Roman"/>
        </w:rPr>
        <w:t xml:space="preserve">: </w:t>
      </w:r>
      <w:r w:rsidR="00F83DC3">
        <w:rPr>
          <w:rFonts w:ascii="Cambria" w:hAnsi="Cambria" w:cs="Times New Roman"/>
        </w:rPr>
        <w:t>Attendees</w:t>
      </w:r>
      <w:r w:rsidR="00CE21FA">
        <w:rPr>
          <w:rFonts w:ascii="Cambria" w:hAnsi="Cambria" w:cs="Times New Roman"/>
        </w:rPr>
        <w:t>.</w:t>
      </w:r>
    </w:p>
    <w:p w14:paraId="07345A52" w14:textId="77777777" w:rsidR="00AB2634" w:rsidRPr="00ED54AA" w:rsidRDefault="00AB2634" w:rsidP="00AB2634">
      <w:pPr>
        <w:widowControl w:val="0"/>
        <w:autoSpaceDE w:val="0"/>
        <w:autoSpaceDN w:val="0"/>
        <w:adjustRightInd w:val="0"/>
        <w:rPr>
          <w:rFonts w:ascii="Cambria" w:hAnsi="Cambria" w:cs="Times New Roman"/>
        </w:rPr>
      </w:pPr>
    </w:p>
    <w:p w14:paraId="7E79C092" w14:textId="2D8EA774" w:rsidR="00AB2634" w:rsidRPr="00ED54AA" w:rsidRDefault="00AB2634" w:rsidP="00AB2634">
      <w:pPr>
        <w:widowControl w:val="0"/>
        <w:autoSpaceDE w:val="0"/>
        <w:autoSpaceDN w:val="0"/>
        <w:adjustRightInd w:val="0"/>
        <w:rPr>
          <w:rFonts w:ascii="Cambria" w:hAnsi="Cambria" w:cs="Times New Roman"/>
        </w:rPr>
      </w:pPr>
      <w:r w:rsidRPr="00ED54AA">
        <w:rPr>
          <w:rFonts w:ascii="Cambria" w:hAnsi="Cambria" w:cs="Times New Roman"/>
        </w:rPr>
        <w:t xml:space="preserve">Meeting facilitation was provided by </w:t>
      </w:r>
      <w:r>
        <w:rPr>
          <w:rFonts w:ascii="Cambria" w:hAnsi="Cambria" w:cs="Times New Roman"/>
        </w:rPr>
        <w:t xml:space="preserve">Dr. </w:t>
      </w:r>
      <w:r w:rsidR="008338CD">
        <w:rPr>
          <w:rFonts w:ascii="Cambria" w:hAnsi="Cambria" w:cs="Times New Roman"/>
        </w:rPr>
        <w:t>Jonathan Raab (Raab Associates LTD</w:t>
      </w:r>
      <w:r>
        <w:rPr>
          <w:rFonts w:ascii="Cambria" w:hAnsi="Cambria" w:cs="Times New Roman"/>
        </w:rPr>
        <w:t>)</w:t>
      </w:r>
      <w:r w:rsidR="003155C2">
        <w:rPr>
          <w:rFonts w:ascii="Cambria" w:hAnsi="Cambria" w:cs="Times New Roman"/>
        </w:rPr>
        <w:t xml:space="preserve"> and</w:t>
      </w:r>
      <w:r w:rsidR="008338CD">
        <w:rPr>
          <w:rFonts w:ascii="Cambria" w:hAnsi="Cambria" w:cs="Times New Roman"/>
        </w:rPr>
        <w:t xml:space="preserve"> Ellen </w:t>
      </w:r>
      <w:r w:rsidR="008338CD" w:rsidRPr="00242D7B">
        <w:rPr>
          <w:rFonts w:ascii="Cambria" w:hAnsi="Cambria" w:cs="Times New Roman"/>
        </w:rPr>
        <w:t>Zuckerman (</w:t>
      </w:r>
      <w:r w:rsidR="00242D7B" w:rsidRPr="00242D7B">
        <w:rPr>
          <w:rFonts w:ascii="Cambria" w:hAnsi="Cambria" w:cs="Times New Roman"/>
        </w:rPr>
        <w:t>Independent</w:t>
      </w:r>
      <w:r w:rsidR="008338CD" w:rsidRPr="00242D7B">
        <w:rPr>
          <w:rFonts w:ascii="Cambria" w:hAnsi="Cambria" w:cs="Times New Roman"/>
        </w:rPr>
        <w:t>)</w:t>
      </w:r>
      <w:r w:rsidR="003155C2">
        <w:rPr>
          <w:rFonts w:ascii="Cambria" w:hAnsi="Cambria" w:cs="Times New Roman"/>
        </w:rPr>
        <w:t xml:space="preserve">. </w:t>
      </w:r>
      <w:r w:rsidRPr="00ED54AA">
        <w:rPr>
          <w:rFonts w:ascii="Cambria" w:hAnsi="Cambria" w:cs="Times New Roman"/>
        </w:rPr>
        <w:t>Meeting materials</w:t>
      </w:r>
      <w:r w:rsidR="00E04566">
        <w:rPr>
          <w:rFonts w:ascii="Cambria" w:hAnsi="Cambria" w:cs="Times New Roman"/>
        </w:rPr>
        <w:t xml:space="preserve"> and </w:t>
      </w:r>
      <w:r w:rsidRPr="00ED54AA">
        <w:rPr>
          <w:rFonts w:ascii="Cambria" w:hAnsi="Cambria" w:cs="Times New Roman"/>
        </w:rPr>
        <w:t xml:space="preserve">presentations are </w:t>
      </w:r>
      <w:r w:rsidR="00E04566">
        <w:rPr>
          <w:rFonts w:ascii="Cambria" w:hAnsi="Cambria" w:cs="Times New Roman"/>
        </w:rPr>
        <w:t>available</w:t>
      </w:r>
      <w:r w:rsidRPr="00ED54AA">
        <w:rPr>
          <w:rFonts w:ascii="Cambria" w:hAnsi="Cambria" w:cs="Times New Roman"/>
        </w:rPr>
        <w:t xml:space="preserve"> on the CAEECC website at</w:t>
      </w:r>
      <w:r w:rsidR="003155C2">
        <w:rPr>
          <w:rStyle w:val="Hyperlink"/>
        </w:rPr>
        <w:t xml:space="preserve"> </w:t>
      </w:r>
      <w:r w:rsidR="003155C2" w:rsidRPr="003155C2">
        <w:rPr>
          <w:rStyle w:val="Hyperlink"/>
        </w:rPr>
        <w:t>https://www.caeecc.org/1-14-19-wg-mtg-market-transformatio</w:t>
      </w:r>
      <w:r w:rsidR="008338CD">
        <w:t xml:space="preserve"> </w:t>
      </w:r>
    </w:p>
    <w:p w14:paraId="1FDD9781" w14:textId="77777777" w:rsidR="00AB2634" w:rsidRPr="00ED54AA" w:rsidRDefault="00AB2634" w:rsidP="00AB2634">
      <w:pPr>
        <w:pStyle w:val="NoteLevel11"/>
        <w:tabs>
          <w:tab w:val="clear" w:pos="0"/>
        </w:tabs>
        <w:rPr>
          <w:rFonts w:ascii="Cambria" w:hAnsi="Cambria" w:cs="Times New Roman"/>
        </w:rPr>
      </w:pPr>
    </w:p>
    <w:p w14:paraId="0CF65114" w14:textId="56B04C90" w:rsidR="00332716" w:rsidRPr="00ED54AA" w:rsidRDefault="008338CD" w:rsidP="00332716">
      <w:pPr>
        <w:rPr>
          <w:rFonts w:ascii="Cambria" w:hAnsi="Cambria" w:cs="Times New Roman"/>
        </w:rPr>
      </w:pPr>
      <w:r>
        <w:rPr>
          <w:rFonts w:ascii="Cambria" w:hAnsi="Cambria" w:cs="Times New Roman"/>
        </w:rPr>
        <w:t xml:space="preserve">During the meeting, key themes and major discussion points were captured in documents edited </w:t>
      </w:r>
      <w:r w:rsidR="00B55D64">
        <w:rPr>
          <w:rFonts w:ascii="Cambria" w:hAnsi="Cambria" w:cs="Times New Roman"/>
        </w:rPr>
        <w:t>in real</w:t>
      </w:r>
      <w:r w:rsidR="00505491">
        <w:rPr>
          <w:rFonts w:ascii="Cambria" w:hAnsi="Cambria" w:cs="Times New Roman"/>
        </w:rPr>
        <w:t xml:space="preserve"> </w:t>
      </w:r>
      <w:r w:rsidR="00B55D64">
        <w:rPr>
          <w:rFonts w:ascii="Cambria" w:hAnsi="Cambria" w:cs="Times New Roman"/>
        </w:rPr>
        <w:t xml:space="preserve">time </w:t>
      </w:r>
      <w:r>
        <w:rPr>
          <w:rFonts w:ascii="Cambria" w:hAnsi="Cambria" w:cs="Times New Roman"/>
        </w:rPr>
        <w:t>by the facilitation team</w:t>
      </w:r>
      <w:r w:rsidRPr="007502B4">
        <w:rPr>
          <w:rFonts w:ascii="Cambria" w:hAnsi="Cambria" w:cs="Times New Roman"/>
        </w:rPr>
        <w:t>. Th</w:t>
      </w:r>
      <w:r w:rsidR="00E15BDD" w:rsidRPr="007502B4">
        <w:rPr>
          <w:rFonts w:ascii="Cambria" w:hAnsi="Cambria" w:cs="Times New Roman"/>
        </w:rPr>
        <w:t>is</w:t>
      </w:r>
      <w:r w:rsidRPr="007502B4">
        <w:rPr>
          <w:rFonts w:ascii="Cambria" w:hAnsi="Cambria" w:cs="Times New Roman"/>
        </w:rPr>
        <w:t xml:space="preserve"> document can be found </w:t>
      </w:r>
      <w:r w:rsidR="00E15BDD" w:rsidRPr="007502B4">
        <w:rPr>
          <w:rFonts w:ascii="Cambria" w:hAnsi="Cambria" w:cs="Times New Roman"/>
        </w:rPr>
        <w:t>on the website at above address [</w:t>
      </w:r>
      <w:r w:rsidR="00E15BDD" w:rsidRPr="007502B4">
        <w:rPr>
          <w:rFonts w:ascii="Cambria" w:hAnsi="Cambria" w:cs="Times New Roman"/>
          <w:i/>
        </w:rPr>
        <w:t>CAAEEC MTI Proposal 1-14-18 redline</w:t>
      </w:r>
      <w:r w:rsidR="00E15BDD" w:rsidRPr="007502B4">
        <w:rPr>
          <w:rFonts w:ascii="Cambria" w:hAnsi="Cambria" w:cs="Times New Roman"/>
        </w:rPr>
        <w:t>]</w:t>
      </w:r>
      <w:r w:rsidRPr="007502B4">
        <w:rPr>
          <w:rFonts w:ascii="Cambria" w:hAnsi="Cambria" w:cs="Times New Roman"/>
        </w:rPr>
        <w:t xml:space="preserve">. </w:t>
      </w:r>
      <w:r w:rsidR="00332716" w:rsidRPr="007502B4">
        <w:rPr>
          <w:rFonts w:ascii="Cambria" w:hAnsi="Cambria" w:cs="Times New Roman"/>
        </w:rPr>
        <w:t>Next</w:t>
      </w:r>
      <w:r w:rsidR="00332716" w:rsidRPr="00ED54AA">
        <w:rPr>
          <w:rFonts w:ascii="Cambria" w:hAnsi="Cambria" w:cs="Times New Roman"/>
        </w:rPr>
        <w:t xml:space="preserve"> Steps, at the end of this document, list all </w:t>
      </w:r>
      <w:r w:rsidR="00505491">
        <w:rPr>
          <w:rFonts w:ascii="Cambria" w:hAnsi="Cambria" w:cs="Times New Roman"/>
        </w:rPr>
        <w:t>a</w:t>
      </w:r>
      <w:r w:rsidR="000F433C">
        <w:rPr>
          <w:rFonts w:ascii="Cambria" w:hAnsi="Cambria" w:cs="Times New Roman"/>
        </w:rPr>
        <w:t>c</w:t>
      </w:r>
      <w:r w:rsidR="00505491">
        <w:rPr>
          <w:rFonts w:ascii="Cambria" w:hAnsi="Cambria" w:cs="Times New Roman"/>
        </w:rPr>
        <w:t xml:space="preserve">tion items agreed upon </w:t>
      </w:r>
      <w:r w:rsidR="00166EE3">
        <w:rPr>
          <w:rFonts w:ascii="Cambria" w:hAnsi="Cambria" w:cs="Times New Roman"/>
        </w:rPr>
        <w:t xml:space="preserve">at </w:t>
      </w:r>
      <w:r w:rsidR="00332716" w:rsidRPr="00ED54AA">
        <w:rPr>
          <w:rFonts w:ascii="Cambria" w:hAnsi="Cambria" w:cs="Times New Roman"/>
        </w:rPr>
        <w:t xml:space="preserve">the meeting. </w:t>
      </w:r>
      <w:r w:rsidR="00332716">
        <w:rPr>
          <w:rFonts w:ascii="Cambria" w:hAnsi="Cambria" w:cs="Times New Roman"/>
        </w:rPr>
        <w:t xml:space="preserve"> </w:t>
      </w:r>
    </w:p>
    <w:p w14:paraId="01AFBD32" w14:textId="77777777" w:rsidR="003705F6" w:rsidRDefault="003705F6" w:rsidP="003705F6"/>
    <w:p w14:paraId="2C756AC9" w14:textId="34D4E7BB" w:rsidR="000378D9" w:rsidRDefault="000862B5" w:rsidP="003705F6">
      <w:pPr>
        <w:rPr>
          <w:b/>
        </w:rPr>
      </w:pPr>
      <w:r>
        <w:rPr>
          <w:b/>
          <w:bCs/>
          <w:smallCaps/>
          <w:sz w:val="26"/>
          <w:szCs w:val="26"/>
        </w:rPr>
        <w:t>Introductions and Meeting Objectives</w:t>
      </w:r>
      <w:r w:rsidR="005E0F27">
        <w:rPr>
          <w:b/>
          <w:bCs/>
          <w:smallCaps/>
          <w:sz w:val="26"/>
          <w:szCs w:val="26"/>
        </w:rPr>
        <w:br/>
      </w:r>
    </w:p>
    <w:p w14:paraId="3DF102F8" w14:textId="064F0865" w:rsidR="006672C9" w:rsidRPr="00505491" w:rsidRDefault="00332716" w:rsidP="003155C2">
      <w:p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CAEECC Facilitator J. Raab opened</w:t>
      </w:r>
      <w:r w:rsidR="003155C2">
        <w:rPr>
          <w:rFonts w:ascii="Cambria" w:eastAsia="Times New Roman" w:hAnsi="Cambria" w:cs="Times New Roman"/>
          <w:color w:val="000000"/>
          <w:shd w:val="clear" w:color="auto" w:fill="FFFFFF"/>
        </w:rPr>
        <w:t xml:space="preserve"> the meeting </w:t>
      </w:r>
      <w:r w:rsidR="00BF1F29">
        <w:rPr>
          <w:rFonts w:ascii="Cambria" w:eastAsia="Times New Roman" w:hAnsi="Cambria" w:cs="Times New Roman"/>
          <w:color w:val="000000"/>
          <w:shd w:val="clear" w:color="auto" w:fill="FFFFFF"/>
        </w:rPr>
        <w:t>by</w:t>
      </w:r>
      <w:r>
        <w:rPr>
          <w:rFonts w:ascii="Cambria" w:eastAsia="Times New Roman" w:hAnsi="Cambria" w:cs="Times New Roman"/>
          <w:color w:val="000000"/>
          <w:shd w:val="clear" w:color="auto" w:fill="FFFFFF"/>
        </w:rPr>
        <w:t xml:space="preserve"> review</w:t>
      </w:r>
      <w:r w:rsidR="00BF1F29">
        <w:rPr>
          <w:rFonts w:ascii="Cambria" w:eastAsia="Times New Roman" w:hAnsi="Cambria" w:cs="Times New Roman"/>
          <w:color w:val="000000"/>
          <w:shd w:val="clear" w:color="auto" w:fill="FFFFFF"/>
        </w:rPr>
        <w:t>ing</w:t>
      </w:r>
      <w:r>
        <w:rPr>
          <w:rFonts w:ascii="Cambria" w:eastAsia="Times New Roman" w:hAnsi="Cambria" w:cs="Times New Roman"/>
          <w:color w:val="000000"/>
          <w:shd w:val="clear" w:color="auto" w:fill="FFFFFF"/>
        </w:rPr>
        <w:t xml:space="preserve"> the agenda</w:t>
      </w:r>
      <w:r w:rsidR="00AA7538">
        <w:rPr>
          <w:rFonts w:ascii="Cambria" w:eastAsia="Times New Roman" w:hAnsi="Cambria" w:cs="Times New Roman"/>
          <w:color w:val="000000"/>
          <w:shd w:val="clear" w:color="auto" w:fill="FFFFFF"/>
        </w:rPr>
        <w:t xml:space="preserve"> (see link above). </w:t>
      </w:r>
      <w:r w:rsidR="006672C9">
        <w:rPr>
          <w:rFonts w:ascii="Cambria" w:eastAsia="Times New Roman" w:hAnsi="Cambria" w:cs="Times New Roman"/>
          <w:color w:val="000000"/>
          <w:shd w:val="clear" w:color="auto" w:fill="FFFFFF"/>
        </w:rPr>
        <w:t xml:space="preserve">He explained that </w:t>
      </w:r>
      <w:r>
        <w:rPr>
          <w:rFonts w:ascii="Cambria" w:eastAsia="Times New Roman" w:hAnsi="Cambria" w:cs="Times New Roman"/>
          <w:color w:val="000000"/>
          <w:shd w:val="clear" w:color="auto" w:fill="FFFFFF"/>
        </w:rPr>
        <w:t xml:space="preserve">the primary focus of the meeting </w:t>
      </w:r>
      <w:r w:rsidR="003155C2">
        <w:rPr>
          <w:rFonts w:ascii="Cambria" w:eastAsia="Times New Roman" w:hAnsi="Cambria" w:cs="Times New Roman"/>
          <w:color w:val="000000"/>
          <w:shd w:val="clear" w:color="auto" w:fill="FFFFFF"/>
        </w:rPr>
        <w:t>is to solicit feedback and</w:t>
      </w:r>
      <w:r w:rsidR="00A46660">
        <w:rPr>
          <w:rFonts w:ascii="Cambria" w:eastAsia="Times New Roman" w:hAnsi="Cambria" w:cs="Times New Roman"/>
          <w:color w:val="000000"/>
          <w:shd w:val="clear" w:color="auto" w:fill="FFFFFF"/>
        </w:rPr>
        <w:t>,</w:t>
      </w:r>
      <w:r w:rsidR="003155C2">
        <w:rPr>
          <w:rFonts w:ascii="Cambria" w:eastAsia="Times New Roman" w:hAnsi="Cambria" w:cs="Times New Roman"/>
          <w:color w:val="000000"/>
          <w:shd w:val="clear" w:color="auto" w:fill="FFFFFF"/>
        </w:rPr>
        <w:t xml:space="preserve"> where possible</w:t>
      </w:r>
      <w:r w:rsidR="00A46660">
        <w:rPr>
          <w:rFonts w:ascii="Cambria" w:eastAsia="Times New Roman" w:hAnsi="Cambria" w:cs="Times New Roman"/>
          <w:color w:val="000000"/>
          <w:shd w:val="clear" w:color="auto" w:fill="FFFFFF"/>
        </w:rPr>
        <w:t>,</w:t>
      </w:r>
      <w:r w:rsidR="003155C2">
        <w:rPr>
          <w:rFonts w:ascii="Cambria" w:eastAsia="Times New Roman" w:hAnsi="Cambria" w:cs="Times New Roman"/>
          <w:color w:val="000000"/>
          <w:shd w:val="clear" w:color="auto" w:fill="FFFFFF"/>
        </w:rPr>
        <w:t xml:space="preserve"> identify areas of convergence and divergence on the proposals developed by each of the</w:t>
      </w:r>
      <w:r w:rsidR="006672C9">
        <w:rPr>
          <w:rFonts w:ascii="Cambria" w:eastAsia="Times New Roman" w:hAnsi="Cambria" w:cs="Times New Roman"/>
          <w:color w:val="000000"/>
          <w:shd w:val="clear" w:color="auto" w:fill="FFFFFF"/>
        </w:rPr>
        <w:t xml:space="preserve"> </w:t>
      </w:r>
      <w:r w:rsidR="00AA7538">
        <w:rPr>
          <w:rFonts w:ascii="Cambria" w:eastAsia="Times New Roman" w:hAnsi="Cambria" w:cs="Times New Roman"/>
          <w:color w:val="000000"/>
          <w:shd w:val="clear" w:color="auto" w:fill="FFFFFF"/>
        </w:rPr>
        <w:t>six</w:t>
      </w:r>
      <w:r w:rsidR="003155C2">
        <w:rPr>
          <w:rFonts w:ascii="Cambria" w:eastAsia="Times New Roman" w:hAnsi="Cambria" w:cs="Times New Roman"/>
          <w:color w:val="000000"/>
          <w:shd w:val="clear" w:color="auto" w:fill="FFFFFF"/>
        </w:rPr>
        <w:t xml:space="preserve"> </w:t>
      </w:r>
      <w:r w:rsidR="00CA5C1C">
        <w:rPr>
          <w:rFonts w:ascii="Cambria" w:eastAsia="Times New Roman" w:hAnsi="Cambria" w:cs="Times New Roman"/>
          <w:color w:val="000000"/>
          <w:shd w:val="clear" w:color="auto" w:fill="FFFFFF"/>
        </w:rPr>
        <w:t>S</w:t>
      </w:r>
      <w:r w:rsidR="003155C2">
        <w:rPr>
          <w:rFonts w:ascii="Cambria" w:eastAsia="Times New Roman" w:hAnsi="Cambria" w:cs="Times New Roman"/>
          <w:color w:val="000000"/>
          <w:shd w:val="clear" w:color="auto" w:fill="FFFFFF"/>
        </w:rPr>
        <w:t>ub-</w:t>
      </w:r>
      <w:r w:rsidR="00CA5C1C">
        <w:rPr>
          <w:rFonts w:ascii="Cambria" w:eastAsia="Times New Roman" w:hAnsi="Cambria" w:cs="Times New Roman"/>
          <w:color w:val="000000"/>
          <w:shd w:val="clear" w:color="auto" w:fill="FFFFFF"/>
        </w:rPr>
        <w:t>G</w:t>
      </w:r>
      <w:r w:rsidR="003155C2">
        <w:rPr>
          <w:rFonts w:ascii="Cambria" w:eastAsia="Times New Roman" w:hAnsi="Cambria" w:cs="Times New Roman"/>
          <w:color w:val="000000"/>
          <w:shd w:val="clear" w:color="auto" w:fill="FFFFFF"/>
        </w:rPr>
        <w:t xml:space="preserve">roups </w:t>
      </w:r>
      <w:r w:rsidR="00E34A03">
        <w:rPr>
          <w:rFonts w:ascii="Cambria" w:eastAsia="Times New Roman" w:hAnsi="Cambria" w:cs="Times New Roman"/>
          <w:color w:val="000000"/>
          <w:shd w:val="clear" w:color="auto" w:fill="FFFFFF"/>
        </w:rPr>
        <w:t>that</w:t>
      </w:r>
      <w:r w:rsidR="006672C9">
        <w:rPr>
          <w:rFonts w:ascii="Cambria" w:eastAsia="Times New Roman" w:hAnsi="Cambria" w:cs="Times New Roman"/>
          <w:color w:val="000000"/>
          <w:shd w:val="clear" w:color="auto" w:fill="FFFFFF"/>
        </w:rPr>
        <w:t xml:space="preserve"> have been meeting </w:t>
      </w:r>
      <w:r w:rsidR="003155C2">
        <w:rPr>
          <w:rFonts w:ascii="Cambria" w:eastAsia="Times New Roman" w:hAnsi="Cambria" w:cs="Times New Roman"/>
          <w:color w:val="000000"/>
          <w:shd w:val="clear" w:color="auto" w:fill="FFFFFF"/>
        </w:rPr>
        <w:t xml:space="preserve">since </w:t>
      </w:r>
      <w:r w:rsidR="006672C9">
        <w:rPr>
          <w:rFonts w:ascii="Cambria" w:eastAsia="Times New Roman" w:hAnsi="Cambria" w:cs="Times New Roman"/>
          <w:color w:val="000000"/>
          <w:shd w:val="clear" w:color="auto" w:fill="FFFFFF"/>
        </w:rPr>
        <w:t>December</w:t>
      </w:r>
      <w:r w:rsidR="00505491">
        <w:rPr>
          <w:rFonts w:ascii="Cambria" w:eastAsia="Times New Roman" w:hAnsi="Cambria" w:cs="Times New Roman"/>
          <w:color w:val="000000"/>
          <w:shd w:val="clear" w:color="auto" w:fill="FFFFFF"/>
        </w:rPr>
        <w:t>.</w:t>
      </w:r>
      <w:r w:rsidR="00AA7538">
        <w:rPr>
          <w:rFonts w:ascii="Cambria" w:eastAsia="Times New Roman" w:hAnsi="Cambria" w:cs="Times New Roman"/>
          <w:color w:val="000000"/>
          <w:shd w:val="clear" w:color="auto" w:fill="FFFFFF"/>
        </w:rPr>
        <w:t xml:space="preserve"> </w:t>
      </w:r>
      <w:r w:rsidR="003155C2">
        <w:rPr>
          <w:rFonts w:ascii="Cambria" w:eastAsia="Times New Roman" w:hAnsi="Cambria" w:cs="Times New Roman"/>
          <w:color w:val="000000"/>
          <w:shd w:val="clear" w:color="auto" w:fill="FFFFFF"/>
        </w:rPr>
        <w:t xml:space="preserve">He reviewed </w:t>
      </w:r>
      <w:r w:rsidR="00412CF7">
        <w:rPr>
          <w:rFonts w:ascii="Cambria" w:eastAsia="Times New Roman" w:hAnsi="Cambria" w:cs="Times New Roman"/>
          <w:color w:val="000000"/>
          <w:shd w:val="clear" w:color="auto" w:fill="FFFFFF"/>
        </w:rPr>
        <w:t xml:space="preserve">the ground rules that the WG agreed upon at its first meeting </w:t>
      </w:r>
      <w:r w:rsidR="00412CF7" w:rsidRPr="00140B6B">
        <w:rPr>
          <w:rFonts w:ascii="Cambria" w:eastAsia="Times New Roman" w:hAnsi="Cambria" w:cs="Times New Roman"/>
          <w:color w:val="000000"/>
          <w:shd w:val="clear" w:color="auto" w:fill="FFFFFF"/>
        </w:rPr>
        <w:t xml:space="preserve">and </w:t>
      </w:r>
      <w:r w:rsidR="003155C2" w:rsidRPr="00140B6B">
        <w:rPr>
          <w:rFonts w:ascii="Cambria" w:eastAsia="Times New Roman" w:hAnsi="Cambria" w:cs="Times New Roman"/>
          <w:color w:val="000000"/>
          <w:shd w:val="clear" w:color="auto" w:fill="FFFFFF"/>
        </w:rPr>
        <w:t xml:space="preserve">the </w:t>
      </w:r>
      <w:r w:rsidR="00D96122">
        <w:rPr>
          <w:rFonts w:ascii="Cambria" w:eastAsia="Times New Roman" w:hAnsi="Cambria" w:cs="Times New Roman"/>
          <w:color w:val="000000"/>
          <w:shd w:val="clear" w:color="auto" w:fill="FFFFFF"/>
        </w:rPr>
        <w:t>composition</w:t>
      </w:r>
      <w:r w:rsidR="003155C2" w:rsidRPr="00140B6B">
        <w:rPr>
          <w:rFonts w:ascii="Cambria" w:eastAsia="Times New Roman" w:hAnsi="Cambria" w:cs="Times New Roman"/>
          <w:color w:val="000000"/>
          <w:shd w:val="clear" w:color="auto" w:fill="FFFFFF"/>
        </w:rPr>
        <w:t xml:space="preserve"> of the overall WG</w:t>
      </w:r>
      <w:r w:rsidR="00DC1E90">
        <w:rPr>
          <w:rFonts w:ascii="Cambria" w:eastAsia="Times New Roman" w:hAnsi="Cambria" w:cs="Times New Roman"/>
          <w:color w:val="000000"/>
          <w:shd w:val="clear" w:color="auto" w:fill="FFFFFF"/>
        </w:rPr>
        <w:t xml:space="preserve"> including one new Member Resource Innovations (Margie Gardner lead)</w:t>
      </w:r>
      <w:r w:rsidR="003155C2" w:rsidRPr="00140B6B">
        <w:rPr>
          <w:rFonts w:ascii="Cambria" w:eastAsia="Times New Roman" w:hAnsi="Cambria" w:cs="Times New Roman"/>
          <w:color w:val="000000"/>
          <w:shd w:val="clear" w:color="auto" w:fill="FFFFFF"/>
        </w:rPr>
        <w:t xml:space="preserve"> (</w:t>
      </w:r>
      <w:r w:rsidR="00F03429">
        <w:rPr>
          <w:rFonts w:ascii="Cambria" w:eastAsia="Times New Roman" w:hAnsi="Cambria" w:cs="Times New Roman"/>
          <w:color w:val="000000"/>
          <w:shd w:val="clear" w:color="auto" w:fill="FFFFFF"/>
        </w:rPr>
        <w:t>s</w:t>
      </w:r>
      <w:r w:rsidR="003155C2" w:rsidRPr="00140B6B">
        <w:rPr>
          <w:rFonts w:ascii="Cambria" w:eastAsia="Times New Roman" w:hAnsi="Cambria" w:cs="Times New Roman"/>
          <w:color w:val="000000"/>
          <w:shd w:val="clear" w:color="auto" w:fill="FFFFFF"/>
        </w:rPr>
        <w:t>ee Appendi</w:t>
      </w:r>
      <w:r w:rsidR="00AA7538">
        <w:rPr>
          <w:rFonts w:ascii="Cambria" w:eastAsia="Times New Roman" w:hAnsi="Cambria" w:cs="Times New Roman"/>
          <w:color w:val="000000"/>
          <w:shd w:val="clear" w:color="auto" w:fill="FFFFFF"/>
        </w:rPr>
        <w:t>ces A and</w:t>
      </w:r>
      <w:r w:rsidR="003155C2" w:rsidRPr="00140B6B">
        <w:rPr>
          <w:rFonts w:ascii="Cambria" w:eastAsia="Times New Roman" w:hAnsi="Cambria" w:cs="Times New Roman"/>
          <w:color w:val="000000"/>
          <w:shd w:val="clear" w:color="auto" w:fill="FFFFFF"/>
        </w:rPr>
        <w:t xml:space="preserve"> </w:t>
      </w:r>
      <w:r w:rsidR="00C710C9" w:rsidRPr="00140B6B">
        <w:rPr>
          <w:rFonts w:ascii="Cambria" w:eastAsia="Times New Roman" w:hAnsi="Cambria" w:cs="Times New Roman"/>
          <w:color w:val="000000"/>
          <w:shd w:val="clear" w:color="auto" w:fill="FFFFFF"/>
        </w:rPr>
        <w:t>B</w:t>
      </w:r>
      <w:r w:rsidR="00AA7538">
        <w:rPr>
          <w:rFonts w:ascii="Cambria" w:eastAsia="Times New Roman" w:hAnsi="Cambria" w:cs="Times New Roman"/>
          <w:color w:val="000000"/>
          <w:shd w:val="clear" w:color="auto" w:fill="FFFFFF"/>
        </w:rPr>
        <w:t>, respectively</w:t>
      </w:r>
      <w:r w:rsidR="003155C2" w:rsidRPr="00140B6B">
        <w:rPr>
          <w:rFonts w:ascii="Cambria" w:eastAsia="Times New Roman" w:hAnsi="Cambria" w:cs="Times New Roman"/>
          <w:color w:val="000000"/>
          <w:shd w:val="clear" w:color="auto" w:fill="FFFFFF"/>
        </w:rPr>
        <w:t>).</w:t>
      </w:r>
    </w:p>
    <w:p w14:paraId="3B7C3566" w14:textId="77777777" w:rsidR="003705F6" w:rsidRDefault="003705F6" w:rsidP="00527A7E"/>
    <w:p w14:paraId="2719634C" w14:textId="458C5CE7" w:rsidR="003705F6" w:rsidRPr="00332716" w:rsidRDefault="003705F6" w:rsidP="003705F6">
      <w:pPr>
        <w:rPr>
          <w:b/>
          <w:bCs/>
          <w:smallCaps/>
          <w:sz w:val="26"/>
          <w:szCs w:val="26"/>
        </w:rPr>
      </w:pPr>
      <w:r w:rsidRPr="00332716">
        <w:rPr>
          <w:b/>
          <w:bCs/>
          <w:smallCaps/>
          <w:sz w:val="26"/>
          <w:szCs w:val="26"/>
        </w:rPr>
        <w:t>Market Transformation Principles</w:t>
      </w:r>
      <w:r w:rsidR="00BF1F29">
        <w:rPr>
          <w:b/>
          <w:bCs/>
          <w:smallCaps/>
          <w:sz w:val="26"/>
          <w:szCs w:val="26"/>
        </w:rPr>
        <w:t xml:space="preserve">, </w:t>
      </w:r>
      <w:r w:rsidRPr="00332716">
        <w:rPr>
          <w:b/>
          <w:bCs/>
          <w:smallCaps/>
          <w:sz w:val="26"/>
          <w:szCs w:val="26"/>
        </w:rPr>
        <w:t>Characteristics</w:t>
      </w:r>
      <w:r w:rsidR="00BF1F29">
        <w:rPr>
          <w:b/>
          <w:bCs/>
          <w:smallCaps/>
          <w:sz w:val="26"/>
          <w:szCs w:val="26"/>
        </w:rPr>
        <w:t>, and strategies</w:t>
      </w:r>
      <w:r w:rsidR="005E0F27">
        <w:rPr>
          <w:b/>
          <w:bCs/>
          <w:smallCaps/>
          <w:sz w:val="26"/>
          <w:szCs w:val="26"/>
        </w:rPr>
        <w:br/>
      </w:r>
    </w:p>
    <w:p w14:paraId="4C471320" w14:textId="7E96CA79" w:rsidR="00E15BDD" w:rsidRPr="00E15BDD" w:rsidRDefault="00A41A30" w:rsidP="007502B4">
      <w:pPr>
        <w:spacing w:after="80"/>
        <w:rPr>
          <w:rFonts w:cstheme="minorHAnsi"/>
        </w:rPr>
      </w:pPr>
      <w:r>
        <w:t xml:space="preserve">J. Raab </w:t>
      </w:r>
      <w:r w:rsidR="00412CF7">
        <w:t xml:space="preserve">reviewed </w:t>
      </w:r>
      <w:r>
        <w:t>Market Transformation Principles</w:t>
      </w:r>
      <w:r w:rsidR="00412CF7">
        <w:t xml:space="preserve"> </w:t>
      </w:r>
      <w:r w:rsidR="00A46660">
        <w:t>(a) through (f)</w:t>
      </w:r>
      <w:r w:rsidR="00412CF7">
        <w:t>, which the</w:t>
      </w:r>
      <w:r w:rsidR="00CE21FA">
        <w:t xml:space="preserve"> WG developed at its first meeting</w:t>
      </w:r>
      <w:r w:rsidR="00D96122">
        <w:t xml:space="preserve"> in December</w:t>
      </w:r>
      <w:r w:rsidR="00644468">
        <w:t xml:space="preserve"> (see </w:t>
      </w:r>
      <w:r w:rsidR="00FD7A2B">
        <w:t xml:space="preserve">Redlined Compilation at </w:t>
      </w:r>
      <w:r w:rsidR="00644468">
        <w:t>link above)</w:t>
      </w:r>
      <w:r w:rsidR="00412CF7">
        <w:t xml:space="preserve">. </w:t>
      </w:r>
      <w:r w:rsidR="00A46660">
        <w:t xml:space="preserve">The WG </w:t>
      </w:r>
      <w:r w:rsidR="00783160">
        <w:t xml:space="preserve">reconfirmed its support for these principles </w:t>
      </w:r>
      <w:r w:rsidR="00E15BDD">
        <w:t>as written except it added “equity”</w:t>
      </w:r>
      <w:r w:rsidR="00CE21FA" w:rsidRPr="007F55F8">
        <w:t xml:space="preserve"> </w:t>
      </w:r>
      <w:r w:rsidR="00E15BDD">
        <w:t>into the first principle.  [</w:t>
      </w:r>
      <w:r w:rsidR="00E15BDD" w:rsidRPr="007502B4">
        <w:rPr>
          <w:rFonts w:cstheme="minorHAnsi"/>
          <w:i/>
        </w:rPr>
        <w:t xml:space="preserve">Help drive incremental savings to achieve the state’s energy efficiency, </w:t>
      </w:r>
      <w:r w:rsidR="00E15BDD" w:rsidRPr="007502B4">
        <w:rPr>
          <w:rFonts w:cstheme="minorHAnsi"/>
          <w:b/>
          <w:i/>
        </w:rPr>
        <w:t>equity,</w:t>
      </w:r>
      <w:r w:rsidR="00E15BDD" w:rsidRPr="007502B4">
        <w:rPr>
          <w:rFonts w:cstheme="minorHAnsi"/>
          <w:i/>
        </w:rPr>
        <w:t xml:space="preserve"> and GHG reduction goals</w:t>
      </w:r>
      <w:r w:rsidR="00E15BDD" w:rsidRPr="00E15BDD">
        <w:rPr>
          <w:rFonts w:cstheme="minorHAnsi"/>
        </w:rPr>
        <w:t>].</w:t>
      </w:r>
    </w:p>
    <w:p w14:paraId="6023E55D" w14:textId="248C3077" w:rsidR="00E15BDD" w:rsidRDefault="0023005B" w:rsidP="00A41A30">
      <w:r>
        <w:br/>
      </w:r>
      <w:r w:rsidR="00783160">
        <w:t>J. Raab</w:t>
      </w:r>
      <w:r w:rsidR="00CE21FA">
        <w:t xml:space="preserve"> then reviewed </w:t>
      </w:r>
      <w:r w:rsidR="00CA5C1C">
        <w:t>Principles (g) through (k), which include three new principles</w:t>
      </w:r>
      <w:r w:rsidR="00190AE0">
        <w:t xml:space="preserve"> </w:t>
      </w:r>
      <w:r w:rsidR="00783160">
        <w:t xml:space="preserve">on equity, transparency, and data </w:t>
      </w:r>
      <w:r w:rsidR="00190AE0">
        <w:t>developed by the MT Principles Sub-Group</w:t>
      </w:r>
      <w:r w:rsidR="00CA5C1C">
        <w:t>.</w:t>
      </w:r>
      <w:r>
        <w:t xml:space="preserve"> The WG agreed to </w:t>
      </w:r>
      <w:r w:rsidR="00783160">
        <w:t>the</w:t>
      </w:r>
      <w:r w:rsidR="00E15BDD">
        <w:t xml:space="preserve"> following new</w:t>
      </w:r>
      <w:r w:rsidR="00783160">
        <w:t xml:space="preserve"> </w:t>
      </w:r>
      <w:r w:rsidR="00783160" w:rsidRPr="007F55F8">
        <w:t>principles</w:t>
      </w:r>
      <w:r w:rsidR="00E15BDD">
        <w:t>:</w:t>
      </w:r>
      <w:r w:rsidR="0097578D">
        <w:br/>
      </w:r>
    </w:p>
    <w:p w14:paraId="5C22F826" w14:textId="77777777" w:rsidR="00E15BDD" w:rsidRPr="00606A86" w:rsidRDefault="00E15BDD" w:rsidP="007502B4">
      <w:pPr>
        <w:pStyle w:val="ListParagraph"/>
        <w:numPr>
          <w:ilvl w:val="0"/>
          <w:numId w:val="13"/>
        </w:numPr>
        <w:spacing w:after="80"/>
        <w:contextualSpacing w:val="0"/>
        <w:rPr>
          <w:rFonts w:cstheme="minorHAnsi"/>
        </w:rPr>
      </w:pPr>
      <w:r w:rsidRPr="00606A86">
        <w:rPr>
          <w:rFonts w:cstheme="minorHAnsi"/>
        </w:rPr>
        <w:lastRenderedPageBreak/>
        <w:t xml:space="preserve">Integrate strategies wherever applicable to ensure equity </w:t>
      </w:r>
    </w:p>
    <w:p w14:paraId="4496C211" w14:textId="77777777" w:rsidR="00E15BDD" w:rsidRPr="00606A86" w:rsidRDefault="00E15BDD" w:rsidP="007502B4">
      <w:pPr>
        <w:pStyle w:val="ListParagraph"/>
        <w:numPr>
          <w:ilvl w:val="0"/>
          <w:numId w:val="13"/>
        </w:numPr>
        <w:spacing w:after="80"/>
        <w:contextualSpacing w:val="0"/>
        <w:rPr>
          <w:rFonts w:cstheme="minorHAnsi"/>
        </w:rPr>
      </w:pPr>
      <w:r w:rsidRPr="00606A86">
        <w:rPr>
          <w:rFonts w:cstheme="minorHAnsi"/>
        </w:rPr>
        <w:t xml:space="preserve">Be informed, measured, and evaluated by data </w:t>
      </w:r>
      <w:r>
        <w:rPr>
          <w:rFonts w:cstheme="minorHAnsi"/>
        </w:rPr>
        <w:t>and information</w:t>
      </w:r>
    </w:p>
    <w:p w14:paraId="669FCE1B" w14:textId="77777777" w:rsidR="00E15BDD" w:rsidRPr="00606A86" w:rsidRDefault="00E15BDD" w:rsidP="007502B4">
      <w:pPr>
        <w:pStyle w:val="ListParagraph"/>
        <w:numPr>
          <w:ilvl w:val="0"/>
          <w:numId w:val="13"/>
        </w:numPr>
        <w:spacing w:after="80"/>
        <w:contextualSpacing w:val="0"/>
        <w:rPr>
          <w:rFonts w:cstheme="minorHAnsi"/>
        </w:rPr>
      </w:pPr>
      <w:r w:rsidRPr="00606A86">
        <w:rPr>
          <w:rFonts w:cstheme="minorHAnsi"/>
        </w:rPr>
        <w:t xml:space="preserve">Be vetted in an inclusive, open, and transparent manner </w:t>
      </w:r>
    </w:p>
    <w:p w14:paraId="4EDAEC93" w14:textId="7C31287A" w:rsidR="00E15BDD" w:rsidRPr="00FD7A2B" w:rsidRDefault="00E15BDD" w:rsidP="007502B4">
      <w:pPr>
        <w:pStyle w:val="ListParagraph"/>
        <w:numPr>
          <w:ilvl w:val="0"/>
          <w:numId w:val="13"/>
        </w:numPr>
      </w:pPr>
      <w:r w:rsidRPr="007502B4">
        <w:rPr>
          <w:rFonts w:cstheme="minorHAnsi"/>
        </w:rPr>
        <w:t>Ensure that the energy efficiency workforce is adequately trained and skilled</w:t>
      </w:r>
      <w:r w:rsidR="0023005B" w:rsidRPr="00E15BDD">
        <w:t xml:space="preserve"> </w:t>
      </w:r>
      <w:r w:rsidR="0023005B" w:rsidRPr="00FD7A2B">
        <w:t xml:space="preserve"> </w:t>
      </w:r>
    </w:p>
    <w:p w14:paraId="4230263B" w14:textId="77777777" w:rsidR="00E15BDD" w:rsidRDefault="00E15BDD" w:rsidP="00A41A30"/>
    <w:p w14:paraId="5C9921E7" w14:textId="3FB29CA4" w:rsidR="00A46660" w:rsidRDefault="0023005B" w:rsidP="00A41A30">
      <w:r>
        <w:t xml:space="preserve">It also identified the need </w:t>
      </w:r>
      <w:r w:rsidR="00783160">
        <w:t xml:space="preserve">to develop </w:t>
      </w:r>
      <w:r>
        <w:t xml:space="preserve">two new principles on (1) metrics and (2) conflicts of </w:t>
      </w:r>
      <w:r w:rsidR="009E463C">
        <w:t xml:space="preserve">interest; </w:t>
      </w:r>
      <w:r>
        <w:t xml:space="preserve">and to revisit the lead-in </w:t>
      </w:r>
      <w:r w:rsidR="00EF3A75">
        <w:t>phrase</w:t>
      </w:r>
      <w:r>
        <w:t xml:space="preserve"> </w:t>
      </w:r>
      <w:r w:rsidR="009E463C">
        <w:t>for</w:t>
      </w:r>
      <w:r>
        <w:t xml:space="preserve"> this </w:t>
      </w:r>
      <w:r w:rsidR="00783160">
        <w:t xml:space="preserve">section of the </w:t>
      </w:r>
      <w:r w:rsidR="00190AE0">
        <w:t>report</w:t>
      </w:r>
      <w:r w:rsidR="00E15BDD">
        <w:t>—specifically whether each MTI “must” or “should provide the opportunity to” conform to the principles</w:t>
      </w:r>
      <w:r w:rsidR="00783160">
        <w:t>.</w:t>
      </w:r>
    </w:p>
    <w:p w14:paraId="7A5E85B8" w14:textId="173CDB5B" w:rsidR="0023005B" w:rsidRDefault="0023005B" w:rsidP="00A41A30"/>
    <w:p w14:paraId="35F6D0E9" w14:textId="04EAD1CD" w:rsidR="00EA7075" w:rsidRDefault="0023005B" w:rsidP="00A41A30">
      <w:r>
        <w:t xml:space="preserve">Due to time constraints, </w:t>
      </w:r>
      <w:r w:rsidR="00102C6D">
        <w:t>the Sub-Group’s</w:t>
      </w:r>
      <w:r w:rsidR="009745C0">
        <w:t xml:space="preserve"> proposed</w:t>
      </w:r>
      <w:r w:rsidR="00102C6D">
        <w:t xml:space="preserve"> revisions to the </w:t>
      </w:r>
      <w:r w:rsidR="00102C6D" w:rsidRPr="00102C6D">
        <w:t>Market Transformation Guidelines and Strategies</w:t>
      </w:r>
      <w:r w:rsidR="00102C6D">
        <w:t xml:space="preserve"> were not discussed. Instead WG Members agreed to review and comment on these strategies, including areas where they can be cut down or </w:t>
      </w:r>
      <w:r w:rsidR="00DF5817">
        <w:t xml:space="preserve">better aligned with the </w:t>
      </w:r>
      <w:r w:rsidR="005209D0">
        <w:t xml:space="preserve">WG’s </w:t>
      </w:r>
      <w:r w:rsidR="006061B3">
        <w:t xml:space="preserve">overall </w:t>
      </w:r>
      <w:r w:rsidR="00DF5817">
        <w:t>MT Principles.</w:t>
      </w:r>
    </w:p>
    <w:p w14:paraId="67139573" w14:textId="77777777" w:rsidR="003705F6" w:rsidRDefault="003705F6" w:rsidP="003705F6">
      <w:pPr>
        <w:pStyle w:val="ListParagraph"/>
      </w:pPr>
    </w:p>
    <w:p w14:paraId="1C3BA649" w14:textId="61C6AB5B" w:rsidR="00A46E53" w:rsidRPr="00697AB6" w:rsidRDefault="003705F6" w:rsidP="00A46E53">
      <w:pPr>
        <w:rPr>
          <w:b/>
          <w:bCs/>
          <w:smallCaps/>
          <w:sz w:val="26"/>
          <w:szCs w:val="26"/>
        </w:rPr>
      </w:pPr>
      <w:r w:rsidRPr="00332716">
        <w:rPr>
          <w:b/>
          <w:bCs/>
          <w:smallCaps/>
          <w:sz w:val="26"/>
          <w:szCs w:val="26"/>
        </w:rPr>
        <w:t>Stage Gate Approach</w:t>
      </w:r>
    </w:p>
    <w:p w14:paraId="02C3C5D2" w14:textId="77777777" w:rsidR="00E84FF8" w:rsidRDefault="00E84FF8" w:rsidP="00A46E53">
      <w:pPr>
        <w:rPr>
          <w:rFonts w:cstheme="minorHAnsi"/>
        </w:rPr>
      </w:pPr>
    </w:p>
    <w:p w14:paraId="384B568B" w14:textId="61C7B58A" w:rsidR="00E84FF8" w:rsidRPr="001B4824" w:rsidRDefault="00E84FF8" w:rsidP="00A46E53">
      <w:pPr>
        <w:rPr>
          <w:rFonts w:cstheme="minorHAnsi"/>
          <w:u w:val="single"/>
        </w:rPr>
      </w:pPr>
      <w:r w:rsidRPr="001B4824">
        <w:rPr>
          <w:u w:val="single"/>
        </w:rPr>
        <w:t>Phases, Stages, and Gates</w:t>
      </w:r>
      <w:r w:rsidR="005E0F27">
        <w:rPr>
          <w:u w:val="single"/>
        </w:rPr>
        <w:br/>
      </w:r>
    </w:p>
    <w:p w14:paraId="493EA51B" w14:textId="5C6A4077" w:rsidR="00E84FF8" w:rsidRDefault="00895D9E" w:rsidP="00A46E53">
      <w:pPr>
        <w:rPr>
          <w:rFonts w:cstheme="minorHAnsi"/>
        </w:rPr>
      </w:pPr>
      <w:r w:rsidRPr="00B42444">
        <w:rPr>
          <w:rFonts w:cstheme="minorHAnsi"/>
        </w:rPr>
        <w:t xml:space="preserve">Kevin Thompson (Southern California Edison) </w:t>
      </w:r>
      <w:r w:rsidR="007D34F7" w:rsidRPr="00B42444">
        <w:rPr>
          <w:rFonts w:cstheme="minorHAnsi"/>
        </w:rPr>
        <w:t>briefly summarized the work of the Stage Gate Sub-Group to refine the stage gate approach</w:t>
      </w:r>
      <w:r w:rsidR="00EF7FDE">
        <w:rPr>
          <w:rFonts w:cstheme="minorHAnsi"/>
        </w:rPr>
        <w:t xml:space="preserve"> (see link above)</w:t>
      </w:r>
      <w:r w:rsidR="007D34F7" w:rsidRPr="00B42444">
        <w:rPr>
          <w:rFonts w:cstheme="minorHAnsi"/>
        </w:rPr>
        <w:t>.</w:t>
      </w:r>
      <w:r w:rsidRPr="00B42444">
        <w:rPr>
          <w:rFonts w:cstheme="minorHAnsi"/>
        </w:rPr>
        <w:t xml:space="preserve"> </w:t>
      </w:r>
      <w:r w:rsidR="00BE78A3" w:rsidRPr="00B42444">
        <w:rPr>
          <w:rFonts w:cstheme="minorHAnsi"/>
        </w:rPr>
        <w:t xml:space="preserve">Following this introduction, </w:t>
      </w:r>
      <w:r w:rsidRPr="00B42444">
        <w:t>J. Raab</w:t>
      </w:r>
      <w:r w:rsidR="00757743">
        <w:t xml:space="preserve"> </w:t>
      </w:r>
      <w:r w:rsidRPr="00B42444">
        <w:t xml:space="preserve">confirmed that </w:t>
      </w:r>
      <w:r w:rsidR="00D85560">
        <w:t xml:space="preserve">the </w:t>
      </w:r>
      <w:r w:rsidRPr="00B42444">
        <w:t>WG</w:t>
      </w:r>
      <w:r w:rsidR="0020475A">
        <w:t xml:space="preserve"> </w:t>
      </w:r>
      <w:r w:rsidRPr="00B42444">
        <w:t xml:space="preserve">generally </w:t>
      </w:r>
      <w:r w:rsidR="007A0EB8">
        <w:t>supports</w:t>
      </w:r>
      <w:r w:rsidR="0020475A">
        <w:t xml:space="preserve"> the</w:t>
      </w:r>
      <w:r w:rsidR="00777058">
        <w:t xml:space="preserve"> overall </w:t>
      </w:r>
      <w:r w:rsidR="00D85560">
        <w:t xml:space="preserve">stage gate </w:t>
      </w:r>
      <w:r w:rsidR="00777058">
        <w:t>framework</w:t>
      </w:r>
      <w:r w:rsidR="007D34F7" w:rsidRPr="00B42444">
        <w:t xml:space="preserve"> </w:t>
      </w:r>
      <w:r w:rsidR="00757743">
        <w:t xml:space="preserve">inclusive of </w:t>
      </w:r>
      <w:r w:rsidR="00F70A97">
        <w:t>three</w:t>
      </w:r>
      <w:r w:rsidRPr="00B42444">
        <w:t xml:space="preserve"> phases and </w:t>
      </w:r>
      <w:r w:rsidR="00F70A97">
        <w:t>seven</w:t>
      </w:r>
      <w:r w:rsidRPr="00B42444">
        <w:t xml:space="preserve"> stages. He then solicited clarifying questions and feedback </w:t>
      </w:r>
      <w:r w:rsidR="007D34F7" w:rsidRPr="00B42444">
        <w:t xml:space="preserve">on </w:t>
      </w:r>
      <w:r w:rsidR="00BE78A3" w:rsidRPr="00B42444">
        <w:t xml:space="preserve">each </w:t>
      </w:r>
      <w:r w:rsidR="00FB1D84" w:rsidRPr="00B42444">
        <w:t xml:space="preserve">of the </w:t>
      </w:r>
      <w:r w:rsidR="00F70A97">
        <w:t>seven</w:t>
      </w:r>
      <w:r w:rsidR="00FB1D84" w:rsidRPr="00B42444">
        <w:t xml:space="preserve"> </w:t>
      </w:r>
      <w:r w:rsidR="007D34F7" w:rsidRPr="00B42444">
        <w:t>stage</w:t>
      </w:r>
      <w:r w:rsidR="00FB1D84" w:rsidRPr="00B42444">
        <w:t>s</w:t>
      </w:r>
      <w:r w:rsidR="007D34F7" w:rsidRPr="00B42444">
        <w:t>.</w:t>
      </w:r>
    </w:p>
    <w:p w14:paraId="516F5725" w14:textId="77777777" w:rsidR="00E84FF8" w:rsidRDefault="00E84FF8" w:rsidP="00A46E53"/>
    <w:p w14:paraId="3A7F0BBC" w14:textId="24722883" w:rsidR="00120D03" w:rsidRPr="00757743" w:rsidRDefault="00BA54E0" w:rsidP="00A46E53">
      <w:pPr>
        <w:rPr>
          <w:rFonts w:cstheme="minorHAnsi"/>
        </w:rPr>
      </w:pPr>
      <w:r>
        <w:t>During this discussion, key points of feedback from WG Members</w:t>
      </w:r>
      <w:r w:rsidR="00120D03">
        <w:t xml:space="preserve"> included the following:</w:t>
      </w:r>
    </w:p>
    <w:p w14:paraId="04B5C008" w14:textId="4B94A5C8" w:rsidR="00120D03" w:rsidRDefault="00120D03" w:rsidP="00A46E53"/>
    <w:p w14:paraId="61798145" w14:textId="7CC5421D" w:rsidR="0018585A" w:rsidRPr="00821256" w:rsidRDefault="00E31708" w:rsidP="00935DF5">
      <w:pPr>
        <w:pStyle w:val="ListParagraph"/>
        <w:numPr>
          <w:ilvl w:val="0"/>
          <w:numId w:val="3"/>
        </w:numPr>
      </w:pPr>
      <w:r w:rsidRPr="00821256">
        <w:t>Ideally, t</w:t>
      </w:r>
      <w:r w:rsidR="0018585A" w:rsidRPr="00821256">
        <w:t xml:space="preserve">he overall stage gate framework </w:t>
      </w:r>
      <w:r w:rsidR="00FD7A2B">
        <w:t xml:space="preserve">(and its description) </w:t>
      </w:r>
      <w:r w:rsidR="0018585A" w:rsidRPr="00821256">
        <w:t xml:space="preserve">should be </w:t>
      </w:r>
      <w:r w:rsidR="001929B8">
        <w:t>agnostic</w:t>
      </w:r>
      <w:r w:rsidR="0018585A" w:rsidRPr="00821256">
        <w:t xml:space="preserve"> of the MT </w:t>
      </w:r>
      <w:r w:rsidRPr="00821256">
        <w:t>A</w:t>
      </w:r>
      <w:r w:rsidR="0018585A" w:rsidRPr="00821256">
        <w:t>dministration model</w:t>
      </w:r>
      <w:r w:rsidR="00751A31">
        <w:t>.</w:t>
      </w:r>
    </w:p>
    <w:p w14:paraId="20A8D04F" w14:textId="3EEE5EAD" w:rsidR="00120D03" w:rsidRPr="00821256" w:rsidRDefault="00C201A3" w:rsidP="00935DF5">
      <w:pPr>
        <w:pStyle w:val="ListParagraph"/>
        <w:numPr>
          <w:ilvl w:val="0"/>
          <w:numId w:val="3"/>
        </w:numPr>
      </w:pPr>
      <w:r w:rsidRPr="00821256">
        <w:t>The</w:t>
      </w:r>
      <w:r w:rsidR="00641B6E" w:rsidRPr="00821256">
        <w:t xml:space="preserve"> MT Administrator</w:t>
      </w:r>
      <w:r w:rsidR="00FD7A2B">
        <w:t xml:space="preserve"> (regardless of who it is)</w:t>
      </w:r>
      <w:r w:rsidR="00641B6E" w:rsidRPr="00821256">
        <w:t xml:space="preserve"> </w:t>
      </w:r>
      <w:r w:rsidRPr="00821256">
        <w:t>should</w:t>
      </w:r>
      <w:r w:rsidR="00641B6E" w:rsidRPr="00821256">
        <w:t xml:space="preserve"> play an active role in surfacing possible market transformation initiatives (MTIs)</w:t>
      </w:r>
      <w:r w:rsidRPr="00821256">
        <w:t xml:space="preserve"> while </w:t>
      </w:r>
      <w:r w:rsidR="007A0EB8">
        <w:t xml:space="preserve">also </w:t>
      </w:r>
      <w:r w:rsidR="008F6F3D" w:rsidRPr="00821256">
        <w:t xml:space="preserve">not </w:t>
      </w:r>
      <w:r w:rsidR="00F54D48" w:rsidRPr="00821256">
        <w:t xml:space="preserve">biasing the process toward any </w:t>
      </w:r>
      <w:r w:rsidR="00E46392">
        <w:t>particular</w:t>
      </w:r>
      <w:r w:rsidR="00F54D48" w:rsidRPr="00821256">
        <w:t xml:space="preserve"> outcome.</w:t>
      </w:r>
    </w:p>
    <w:p w14:paraId="3FF9385F" w14:textId="3BF15CAA" w:rsidR="006473ED" w:rsidRDefault="00BA54E0" w:rsidP="00935DF5">
      <w:pPr>
        <w:numPr>
          <w:ilvl w:val="0"/>
          <w:numId w:val="3"/>
        </w:numPr>
      </w:pPr>
      <w:r>
        <w:t>To ensure fair treatment, c</w:t>
      </w:r>
      <w:r w:rsidR="006473ED">
        <w:t>riteria for evaluating MTIs throughout the process must be clear and transparent</w:t>
      </w:r>
      <w:r>
        <w:t>.</w:t>
      </w:r>
    </w:p>
    <w:p w14:paraId="0E752AD7" w14:textId="0403046F" w:rsidR="006473ED" w:rsidRDefault="006473ED" w:rsidP="00FD7A2B">
      <w:pPr>
        <w:numPr>
          <w:ilvl w:val="0"/>
          <w:numId w:val="3"/>
        </w:numPr>
      </w:pPr>
      <w:r>
        <w:t>Off-ramps can occur at any time</w:t>
      </w:r>
      <w:r w:rsidR="007A0EB8">
        <w:t xml:space="preserve"> in the stage gate process</w:t>
      </w:r>
      <w:r w:rsidR="00FD7A2B">
        <w:t>, and w</w:t>
      </w:r>
      <w:r w:rsidR="00BA54E0">
        <w:t>hen an MTI is “off-ramped</w:t>
      </w:r>
      <w:r w:rsidR="00892683">
        <w:t>, t</w:t>
      </w:r>
      <w:r>
        <w:t>he rationale must be provided and clearly explained</w:t>
      </w:r>
      <w:r w:rsidR="00892683">
        <w:t>.</w:t>
      </w:r>
    </w:p>
    <w:p w14:paraId="2A2FF384" w14:textId="6892D6A2" w:rsidR="008A7416" w:rsidRDefault="008A7416" w:rsidP="00935DF5">
      <w:pPr>
        <w:pStyle w:val="ListParagraph"/>
        <w:numPr>
          <w:ilvl w:val="0"/>
          <w:numId w:val="3"/>
        </w:numPr>
      </w:pPr>
      <w:r>
        <w:t xml:space="preserve">Proposed MTIs may overlap. </w:t>
      </w:r>
      <w:r w:rsidR="00094ADF">
        <w:t>Where appropriate, t</w:t>
      </w:r>
      <w:r>
        <w:t xml:space="preserve">he MT Administrator should work to integrate </w:t>
      </w:r>
      <w:r w:rsidR="00094ADF">
        <w:t>these</w:t>
      </w:r>
      <w:r>
        <w:t xml:space="preserve"> MTIs, while also </w:t>
      </w:r>
      <w:r w:rsidR="00FD7A2B">
        <w:t>protecting</w:t>
      </w:r>
      <w:r>
        <w:t xml:space="preserve"> intellectual property </w:t>
      </w:r>
      <w:r w:rsidR="00094ADF">
        <w:t>issues.</w:t>
      </w:r>
    </w:p>
    <w:p w14:paraId="0B16D8F5" w14:textId="0EF3BD59" w:rsidR="001B4824" w:rsidRDefault="001B4824" w:rsidP="00935DF5">
      <w:pPr>
        <w:numPr>
          <w:ilvl w:val="0"/>
          <w:numId w:val="3"/>
        </w:numPr>
      </w:pPr>
      <w:r>
        <w:t>Stage gates may not uniformly apply to all MTIs, depending on the nature</w:t>
      </w:r>
      <w:r w:rsidR="00892683">
        <w:t xml:space="preserve"> of the MTI</w:t>
      </w:r>
      <w:r>
        <w:t>. As a result, activities and deliverables may vary by stage depending on the MTI.</w:t>
      </w:r>
    </w:p>
    <w:p w14:paraId="6ECEB586" w14:textId="418CD9FF" w:rsidR="001B4824" w:rsidRDefault="001B4824" w:rsidP="00935DF5">
      <w:pPr>
        <w:numPr>
          <w:ilvl w:val="0"/>
          <w:numId w:val="3"/>
        </w:numPr>
      </w:pPr>
      <w:r>
        <w:lastRenderedPageBreak/>
        <w:t>The pace of any one MTI moving through the stage gate process could vary</w:t>
      </w:r>
      <w:r w:rsidR="00FD7A2B">
        <w:t xml:space="preserve"> (particularly stages post-Phase 1)</w:t>
      </w:r>
      <w:r>
        <w:t xml:space="preserve">. Flexibility is especially important in Stages 3 and 4. </w:t>
      </w:r>
    </w:p>
    <w:p w14:paraId="2E65D758" w14:textId="68279982" w:rsidR="00042D9C" w:rsidRDefault="00E0013D" w:rsidP="00935DF5">
      <w:pPr>
        <w:numPr>
          <w:ilvl w:val="0"/>
          <w:numId w:val="3"/>
        </w:numPr>
      </w:pPr>
      <w:r>
        <w:t>A</w:t>
      </w:r>
      <w:r w:rsidR="00FD7A2B">
        <w:t>n</w:t>
      </w:r>
      <w:r>
        <w:t xml:space="preserve"> </w:t>
      </w:r>
      <w:r w:rsidR="00042D9C">
        <w:t>MT</w:t>
      </w:r>
      <w:r>
        <w:t xml:space="preserve"> Accord is meant to support transparency and to ensure that third-party actors are on board with </w:t>
      </w:r>
      <w:r w:rsidR="002E35BC">
        <w:t>a</w:t>
      </w:r>
      <w:r>
        <w:t xml:space="preserve"> proposed MTI. Any MTI </w:t>
      </w:r>
      <w:r w:rsidRPr="005B6F7C">
        <w:t>that moves past Stage 4 must have formal documentation</w:t>
      </w:r>
      <w:r w:rsidR="002E35BC">
        <w:t xml:space="preserve"> supporting it</w:t>
      </w:r>
      <w:r w:rsidRPr="005B6F7C">
        <w:t>.</w:t>
      </w:r>
    </w:p>
    <w:p w14:paraId="34781C7F" w14:textId="5063BF0B" w:rsidR="00E31708" w:rsidRDefault="00C01141" w:rsidP="00935DF5">
      <w:pPr>
        <w:numPr>
          <w:ilvl w:val="0"/>
          <w:numId w:val="3"/>
        </w:numPr>
      </w:pPr>
      <w:r>
        <w:t xml:space="preserve">The cumulative cost of developing </w:t>
      </w:r>
      <w:r w:rsidR="00042D9C">
        <w:t>a MT</w:t>
      </w:r>
      <w:r>
        <w:t xml:space="preserve"> Accord should be considered in cost-effectiveness</w:t>
      </w:r>
      <w:r w:rsidR="002E35BC">
        <w:t xml:space="preserve"> calculations.</w:t>
      </w:r>
    </w:p>
    <w:p w14:paraId="0388C289" w14:textId="35DE2A8A" w:rsidR="00E84FF8" w:rsidRDefault="00E84FF8" w:rsidP="00AA5F2F">
      <w:pPr>
        <w:rPr>
          <w:highlight w:val="yellow"/>
        </w:rPr>
      </w:pPr>
    </w:p>
    <w:p w14:paraId="2712BF1C" w14:textId="12029C3E" w:rsidR="008E5F0B" w:rsidRPr="001B4824" w:rsidRDefault="008E5F0B" w:rsidP="00AA5F2F">
      <w:pPr>
        <w:rPr>
          <w:b/>
          <w:bCs/>
          <w:smallCaps/>
          <w:sz w:val="26"/>
          <w:szCs w:val="26"/>
        </w:rPr>
      </w:pPr>
      <w:r>
        <w:t xml:space="preserve">As part of these discussions, the WG agreed to several modifications to the proposed stage gate text and schematic (see </w:t>
      </w:r>
      <w:r w:rsidR="00FD7A2B">
        <w:t>Redlined Compilation</w:t>
      </w:r>
      <w:r>
        <w:t>).</w:t>
      </w:r>
      <w:r w:rsidR="008C7824">
        <w:t xml:space="preserve"> </w:t>
      </w:r>
      <w:r w:rsidR="00B74090">
        <w:t xml:space="preserve">Additional action items are captured in </w:t>
      </w:r>
      <w:r w:rsidR="00934FB6">
        <w:t xml:space="preserve">the </w:t>
      </w:r>
      <w:r w:rsidR="008C7824" w:rsidRPr="008C7824">
        <w:t>Next Steps</w:t>
      </w:r>
      <w:r w:rsidR="00934FB6">
        <w:t xml:space="preserve"> section</w:t>
      </w:r>
      <w:r w:rsidR="00B74090">
        <w:t xml:space="preserve"> </w:t>
      </w:r>
      <w:r w:rsidR="008C7824" w:rsidRPr="008C7824">
        <w:t>of this document</w:t>
      </w:r>
      <w:r w:rsidR="00B74090">
        <w:t xml:space="preserve">. </w:t>
      </w:r>
    </w:p>
    <w:p w14:paraId="7A96FC3A" w14:textId="77777777" w:rsidR="008E5F0B" w:rsidRPr="001B4824" w:rsidRDefault="008E5F0B" w:rsidP="00AA5F2F">
      <w:pPr>
        <w:rPr>
          <w:highlight w:val="yellow"/>
        </w:rPr>
      </w:pPr>
    </w:p>
    <w:p w14:paraId="5AF55C92" w14:textId="4E1E73BC" w:rsidR="00E84FF8" w:rsidRPr="001B4824" w:rsidRDefault="00E84FF8" w:rsidP="00E84FF8">
      <w:pPr>
        <w:rPr>
          <w:u w:val="single"/>
        </w:rPr>
      </w:pPr>
      <w:r w:rsidRPr="001B4824">
        <w:rPr>
          <w:u w:val="single"/>
        </w:rPr>
        <w:t xml:space="preserve">MT </w:t>
      </w:r>
      <w:r w:rsidR="00FD7A2B">
        <w:rPr>
          <w:u w:val="single"/>
        </w:rPr>
        <w:t xml:space="preserve">Framework </w:t>
      </w:r>
      <w:r w:rsidRPr="001B4824">
        <w:rPr>
          <w:u w:val="single"/>
        </w:rPr>
        <w:t>Timing</w:t>
      </w:r>
      <w:r w:rsidR="005E0F27">
        <w:rPr>
          <w:u w:val="single"/>
        </w:rPr>
        <w:br/>
      </w:r>
    </w:p>
    <w:p w14:paraId="7468597C" w14:textId="777765BB" w:rsidR="007116B4" w:rsidRDefault="00D27294" w:rsidP="00AA5F2F">
      <w:r w:rsidRPr="00E878DE">
        <w:t xml:space="preserve">J. Raab </w:t>
      </w:r>
      <w:r w:rsidR="00E878DE" w:rsidRPr="00E878DE">
        <w:t xml:space="preserve">noted </w:t>
      </w:r>
      <w:r w:rsidRPr="00E878DE">
        <w:t xml:space="preserve">that the only timeframe </w:t>
      </w:r>
      <w:r w:rsidR="00577790">
        <w:t>mentioned</w:t>
      </w:r>
      <w:r w:rsidRPr="00E878DE">
        <w:t xml:space="preserve"> in</w:t>
      </w:r>
      <w:r w:rsidR="00577790">
        <w:t xml:space="preserve"> the text describing the stage gate approach is for a </w:t>
      </w:r>
      <w:r w:rsidR="00F70A97">
        <w:t>one</w:t>
      </w:r>
      <w:r w:rsidR="00577790">
        <w:t>-</w:t>
      </w:r>
      <w:r w:rsidR="00E878DE" w:rsidRPr="00E878DE">
        <w:t xml:space="preserve">month intake and solicitation </w:t>
      </w:r>
      <w:r w:rsidR="00E878DE">
        <w:t xml:space="preserve">period </w:t>
      </w:r>
      <w:r w:rsidR="00E878DE" w:rsidRPr="00E878DE">
        <w:t xml:space="preserve">during Stage 1. </w:t>
      </w:r>
      <w:r w:rsidR="00E878DE">
        <w:t xml:space="preserve">He asked the WG to reflect on </w:t>
      </w:r>
      <w:r w:rsidR="00577790">
        <w:t xml:space="preserve">the sufficiency of this </w:t>
      </w:r>
      <w:r w:rsidR="00F70A97">
        <w:t>one</w:t>
      </w:r>
      <w:r w:rsidR="00577790">
        <w:t xml:space="preserve">-month period, the </w:t>
      </w:r>
      <w:r w:rsidR="00E878DE">
        <w:t xml:space="preserve">mechanism </w:t>
      </w:r>
      <w:r w:rsidR="00577790">
        <w:t>that would</w:t>
      </w:r>
      <w:r w:rsidR="00E878DE">
        <w:t xml:space="preserve"> cause</w:t>
      </w:r>
      <w:r w:rsidR="00577790">
        <w:t xml:space="preserve"> Phase 1 to re-start, and if any other timeframes should be built into the stage gate </w:t>
      </w:r>
      <w:r w:rsidR="0088321E">
        <w:t>framework</w:t>
      </w:r>
      <w:r w:rsidR="00577790">
        <w:t xml:space="preserve">. </w:t>
      </w:r>
    </w:p>
    <w:p w14:paraId="7A9B7EA7" w14:textId="77777777" w:rsidR="007116B4" w:rsidRDefault="007116B4" w:rsidP="00AA5F2F"/>
    <w:p w14:paraId="6F09D618" w14:textId="623DDEDC" w:rsidR="00E878DE" w:rsidRDefault="00577790" w:rsidP="00AA5F2F">
      <w:r>
        <w:t>During the ensuing conversation, the WG agreed that:</w:t>
      </w:r>
      <w:r>
        <w:br/>
      </w:r>
    </w:p>
    <w:p w14:paraId="05356068" w14:textId="09309E77" w:rsidR="00577790" w:rsidRDefault="00577790" w:rsidP="00935DF5">
      <w:pPr>
        <w:numPr>
          <w:ilvl w:val="0"/>
          <w:numId w:val="4"/>
        </w:numPr>
      </w:pPr>
      <w:r>
        <w:t>An expected timeline for Phase 1 (through Review 1) should be determined and articulated</w:t>
      </w:r>
      <w:r w:rsidR="00FD7A2B">
        <w:t>, but that the in-take process should probably be 1-2 months in stage 1 and then the evaluation and ranking process several months in state 2</w:t>
      </w:r>
    </w:p>
    <w:p w14:paraId="448E4EF4" w14:textId="6E5692AC" w:rsidR="00577790" w:rsidRDefault="00577790" w:rsidP="00935DF5">
      <w:pPr>
        <w:numPr>
          <w:ilvl w:val="0"/>
          <w:numId w:val="4"/>
        </w:numPr>
      </w:pPr>
      <w:r>
        <w:t xml:space="preserve">The </w:t>
      </w:r>
      <w:r w:rsidR="00FD7A2B">
        <w:t>Administrator in consul</w:t>
      </w:r>
      <w:r w:rsidR="0097578D">
        <w:t>t</w:t>
      </w:r>
      <w:r w:rsidR="00FD7A2B">
        <w:t xml:space="preserve">ation with the </w:t>
      </w:r>
      <w:r>
        <w:t>MT Advisory Board should establish criteria</w:t>
      </w:r>
      <w:r w:rsidR="008379BA">
        <w:t xml:space="preserve"> to</w:t>
      </w:r>
      <w:r>
        <w:t xml:space="preserve"> determine how often Phase 1 should </w:t>
      </w:r>
      <w:r w:rsidR="006473ED">
        <w:t>re-start</w:t>
      </w:r>
      <w:r w:rsidR="00FD7A2B">
        <w:t xml:space="preserve"> based on what is submitted the first time through the process and other factor</w:t>
      </w:r>
      <w:r w:rsidR="0097578D">
        <w:t>s.</w:t>
      </w:r>
    </w:p>
    <w:p w14:paraId="334AFD60" w14:textId="77777777" w:rsidR="00924177" w:rsidRDefault="00924177" w:rsidP="00AA5F2F">
      <w:pPr>
        <w:rPr>
          <w:highlight w:val="yellow"/>
        </w:rPr>
      </w:pPr>
    </w:p>
    <w:p w14:paraId="55816F4E" w14:textId="5986EE73" w:rsidR="001C01D5" w:rsidRPr="00D76C19" w:rsidRDefault="00AA5F2F" w:rsidP="00AA5F2F">
      <w:pPr>
        <w:rPr>
          <w:u w:val="single"/>
        </w:rPr>
      </w:pPr>
      <w:r w:rsidRPr="00D76C19">
        <w:rPr>
          <w:u w:val="single"/>
        </w:rPr>
        <w:t xml:space="preserve">Criteria for </w:t>
      </w:r>
      <w:r w:rsidR="00DA7352" w:rsidRPr="00D76C19">
        <w:rPr>
          <w:u w:val="single"/>
        </w:rPr>
        <w:t xml:space="preserve">Stage </w:t>
      </w:r>
      <w:r w:rsidRPr="00D76C19">
        <w:rPr>
          <w:u w:val="single"/>
        </w:rPr>
        <w:t>Gates</w:t>
      </w:r>
      <w:r w:rsidR="005E0F27" w:rsidRPr="00D76C19">
        <w:rPr>
          <w:u w:val="single"/>
        </w:rPr>
        <w:br/>
      </w:r>
    </w:p>
    <w:p w14:paraId="7FD6EE74" w14:textId="7E947964" w:rsidR="001C01D5" w:rsidRDefault="00934FB6" w:rsidP="00AA5F2F">
      <w:r w:rsidRPr="001D1F56">
        <w:rPr>
          <w:rFonts w:cstheme="minorHAnsi"/>
        </w:rPr>
        <w:t>Carol Yin (</w:t>
      </w:r>
      <w:r>
        <w:rPr>
          <w:rFonts w:cstheme="minorHAnsi"/>
        </w:rPr>
        <w:t>C</w:t>
      </w:r>
      <w:r w:rsidRPr="001D1F56">
        <w:rPr>
          <w:rFonts w:cstheme="minorHAnsi"/>
        </w:rPr>
        <w:t>onsultant</w:t>
      </w:r>
      <w:r>
        <w:rPr>
          <w:rFonts w:cstheme="minorHAnsi"/>
        </w:rPr>
        <w:t xml:space="preserve"> to </w:t>
      </w:r>
      <w:r w:rsidRPr="00B42444">
        <w:rPr>
          <w:rFonts w:cstheme="minorHAnsi"/>
        </w:rPr>
        <w:t>Southern California Edison</w:t>
      </w:r>
      <w:r>
        <w:rPr>
          <w:rFonts w:cstheme="minorHAnsi"/>
        </w:rPr>
        <w:t xml:space="preserve">) presented </w:t>
      </w:r>
      <w:r w:rsidR="00F70A97">
        <w:rPr>
          <w:rFonts w:cstheme="minorHAnsi"/>
        </w:rPr>
        <w:t>four</w:t>
      </w:r>
      <w:r>
        <w:rPr>
          <w:rFonts w:cstheme="minorHAnsi"/>
        </w:rPr>
        <w:t xml:space="preserve"> proposed criteria and associated sub-criteria for evaluating MTIs during Phase 1 </w:t>
      </w:r>
      <w:r w:rsidR="00FD7A2B">
        <w:rPr>
          <w:rFonts w:cstheme="minorHAnsi"/>
        </w:rPr>
        <w:t xml:space="preserve">(as well as subsequent phases) </w:t>
      </w:r>
      <w:r>
        <w:rPr>
          <w:rFonts w:cstheme="minorHAnsi"/>
        </w:rPr>
        <w:t xml:space="preserve">of the stage gate process (see </w:t>
      </w:r>
      <w:r w:rsidR="00FD7A2B">
        <w:rPr>
          <w:rFonts w:cstheme="minorHAnsi"/>
        </w:rPr>
        <w:t>Slide 3 at link above</w:t>
      </w:r>
      <w:r>
        <w:rPr>
          <w:rFonts w:cstheme="minorHAnsi"/>
        </w:rPr>
        <w:t xml:space="preserve">). As C. Yin reviewed these criteria, </w:t>
      </w:r>
      <w:r>
        <w:t xml:space="preserve">J. Raab encouraged WG </w:t>
      </w:r>
      <w:r w:rsidR="00834518">
        <w:t>M</w:t>
      </w:r>
      <w:r w:rsidR="000F5B8E">
        <w:t>embers</w:t>
      </w:r>
      <w:r>
        <w:t xml:space="preserve"> to consider whether</w:t>
      </w:r>
      <w:r w:rsidR="00BA1798">
        <w:t xml:space="preserve"> or not</w:t>
      </w:r>
      <w:r w:rsidR="005C7395">
        <w:t xml:space="preserve"> the</w:t>
      </w:r>
      <w:r w:rsidR="00C81D26">
        <w:t xml:space="preserve"> MT WG should finalize</w:t>
      </w:r>
      <w:r>
        <w:t xml:space="preserve"> criteria</w:t>
      </w:r>
      <w:r w:rsidR="00BA1798">
        <w:t xml:space="preserve"> for the CPUC report</w:t>
      </w:r>
      <w:r>
        <w:t xml:space="preserve"> </w:t>
      </w:r>
      <w:r w:rsidR="000F5B8E">
        <w:t xml:space="preserve">or if it </w:t>
      </w:r>
      <w:r w:rsidR="00383DC2">
        <w:t>would be</w:t>
      </w:r>
      <w:r w:rsidR="000F5B8E">
        <w:t xml:space="preserve"> preferable to provide directional guidance </w:t>
      </w:r>
      <w:r w:rsidR="00BA1798">
        <w:t>on</w:t>
      </w:r>
      <w:r w:rsidR="00795D93">
        <w:t>ly.</w:t>
      </w:r>
    </w:p>
    <w:p w14:paraId="1F3BE562" w14:textId="45833FFF" w:rsidR="001C01D5" w:rsidRDefault="001C01D5" w:rsidP="00AA5F2F"/>
    <w:p w14:paraId="2D6641E1" w14:textId="795E670D" w:rsidR="004E088E" w:rsidRPr="0094301B" w:rsidRDefault="00A2070E" w:rsidP="00A2070E">
      <w:r w:rsidRPr="0094301B">
        <w:t xml:space="preserve">While several WG Members agreed that the </w:t>
      </w:r>
      <w:r w:rsidR="000C1EFF">
        <w:t>four</w:t>
      </w:r>
      <w:r w:rsidR="00F70A97">
        <w:t xml:space="preserve"> </w:t>
      </w:r>
      <w:r w:rsidRPr="0094301B">
        <w:t>proposed criteria ha</w:t>
      </w:r>
      <w:r w:rsidR="00795D93">
        <w:t>ve</w:t>
      </w:r>
      <w:r w:rsidRPr="0094301B">
        <w:t xml:space="preserve"> merit</w:t>
      </w:r>
      <w:r w:rsidR="00FD7A2B">
        <w:t xml:space="preserve"> others were not convinced that </w:t>
      </w:r>
      <w:r w:rsidR="005770AC">
        <w:t>it was appropriate to include “Portfolio Fit” as an MTI screening criteria.  I</w:t>
      </w:r>
      <w:r w:rsidRPr="0094301B">
        <w:t xml:space="preserve">t was decided that </w:t>
      </w:r>
      <w:r w:rsidR="00ED5A47">
        <w:t xml:space="preserve">the </w:t>
      </w:r>
      <w:r w:rsidR="005770AC">
        <w:t xml:space="preserve">final detailed delineation of criteria </w:t>
      </w:r>
      <w:r w:rsidR="00ED5A47">
        <w:t>and</w:t>
      </w:r>
      <w:r w:rsidR="00243D3F">
        <w:t xml:space="preserve"> possible</w:t>
      </w:r>
      <w:r w:rsidR="00ED5A47">
        <w:t xml:space="preserve"> weighting of criteria</w:t>
      </w:r>
      <w:r w:rsidRPr="0094301B">
        <w:t xml:space="preserve"> would be best resolved by the </w:t>
      </w:r>
      <w:r w:rsidR="004E088E" w:rsidRPr="0094301B">
        <w:t xml:space="preserve">future </w:t>
      </w:r>
      <w:r w:rsidRPr="0094301B">
        <w:t xml:space="preserve">MT Administrator and </w:t>
      </w:r>
      <w:r w:rsidR="00951D56">
        <w:t xml:space="preserve">MT Advisory </w:t>
      </w:r>
      <w:r w:rsidRPr="0094301B">
        <w:t>Board</w:t>
      </w:r>
      <w:r w:rsidR="00795D93">
        <w:t xml:space="preserve">. Additionally, </w:t>
      </w:r>
      <w:r w:rsidR="005770AC">
        <w:t xml:space="preserve">WG agreed that the criteria </w:t>
      </w:r>
      <w:r w:rsidR="005770AC">
        <w:lastRenderedPageBreak/>
        <w:t>should align with the MT principles as much as possible</w:t>
      </w:r>
      <w:r w:rsidR="004E088E" w:rsidRPr="0094301B">
        <w:t>.</w:t>
      </w:r>
      <w:r w:rsidR="00795D93" w:rsidRPr="00795D93">
        <w:t xml:space="preserve"> </w:t>
      </w:r>
      <w:r w:rsidR="001F0783">
        <w:t xml:space="preserve"> Finally, the WG agreed that criteria should be used to rank order MTIs in Phase 1.</w:t>
      </w:r>
    </w:p>
    <w:p w14:paraId="7138027B" w14:textId="77777777" w:rsidR="00A2070E" w:rsidRDefault="00A2070E" w:rsidP="001C01D5"/>
    <w:p w14:paraId="46333233" w14:textId="1D5293FE" w:rsidR="001C01D5" w:rsidRDefault="00A2070E" w:rsidP="001C01D5">
      <w:r>
        <w:t>Additional</w:t>
      </w:r>
      <w:r w:rsidR="001C01D5">
        <w:t xml:space="preserve"> feedback from the WG Members </w:t>
      </w:r>
      <w:r w:rsidR="0094301B">
        <w:t xml:space="preserve">on the </w:t>
      </w:r>
      <w:r w:rsidR="000D0F11">
        <w:t>four</w:t>
      </w:r>
      <w:r w:rsidR="0094301B">
        <w:t xml:space="preserve"> proposed criteria </w:t>
      </w:r>
      <w:r w:rsidR="001C01D5">
        <w:t>included the following:</w:t>
      </w:r>
    </w:p>
    <w:p w14:paraId="1E07206A" w14:textId="127356A8" w:rsidR="000F5B8E" w:rsidRDefault="000F5B8E" w:rsidP="001C01D5">
      <w:pPr>
        <w:rPr>
          <w:rFonts w:cstheme="minorHAnsi"/>
        </w:rPr>
      </w:pPr>
    </w:p>
    <w:p w14:paraId="75334FC3" w14:textId="39A6ED5C" w:rsidR="0060497D" w:rsidRDefault="0060497D" w:rsidP="00935DF5">
      <w:pPr>
        <w:pStyle w:val="ListParagraph"/>
        <w:numPr>
          <w:ilvl w:val="0"/>
          <w:numId w:val="4"/>
        </w:numPr>
        <w:rPr>
          <w:rFonts w:cstheme="minorHAnsi"/>
        </w:rPr>
      </w:pPr>
      <w:r>
        <w:rPr>
          <w:rFonts w:cstheme="minorHAnsi"/>
        </w:rPr>
        <w:t xml:space="preserve">Criteria are an important mechanism </w:t>
      </w:r>
      <w:r w:rsidR="00C81D26">
        <w:rPr>
          <w:rFonts w:cstheme="minorHAnsi"/>
        </w:rPr>
        <w:t xml:space="preserve">by which to </w:t>
      </w:r>
      <w:r>
        <w:rPr>
          <w:rFonts w:cstheme="minorHAnsi"/>
        </w:rPr>
        <w:t>provide feedback</w:t>
      </w:r>
      <w:r w:rsidR="00C81D26">
        <w:rPr>
          <w:rFonts w:cstheme="minorHAnsi"/>
        </w:rPr>
        <w:t xml:space="preserve"> when</w:t>
      </w:r>
      <w:r>
        <w:rPr>
          <w:rFonts w:cstheme="minorHAnsi"/>
        </w:rPr>
        <w:t xml:space="preserve"> MTIs </w:t>
      </w:r>
      <w:r w:rsidR="00AA2130">
        <w:rPr>
          <w:rFonts w:cstheme="minorHAnsi"/>
        </w:rPr>
        <w:t>are “off ramped.”</w:t>
      </w:r>
    </w:p>
    <w:p w14:paraId="6DD01DD5" w14:textId="5D164BBC" w:rsidR="000F5B8E" w:rsidRDefault="0060497D" w:rsidP="00935DF5">
      <w:pPr>
        <w:pStyle w:val="ListParagraph"/>
        <w:numPr>
          <w:ilvl w:val="0"/>
          <w:numId w:val="4"/>
        </w:numPr>
        <w:rPr>
          <w:rFonts w:cstheme="minorHAnsi"/>
        </w:rPr>
      </w:pPr>
      <w:r>
        <w:rPr>
          <w:rFonts w:cstheme="minorHAnsi"/>
        </w:rPr>
        <w:t>Evaluation c</w:t>
      </w:r>
      <w:r w:rsidR="000F5B8E">
        <w:rPr>
          <w:rFonts w:cstheme="minorHAnsi"/>
        </w:rPr>
        <w:t xml:space="preserve">riteria may need to </w:t>
      </w:r>
      <w:r w:rsidR="005770AC">
        <w:rPr>
          <w:rFonts w:cstheme="minorHAnsi"/>
        </w:rPr>
        <w:t>vary somewhat</w:t>
      </w:r>
      <w:r>
        <w:rPr>
          <w:rFonts w:cstheme="minorHAnsi"/>
        </w:rPr>
        <w:t xml:space="preserve"> at </w:t>
      </w:r>
      <w:r w:rsidR="00BA1798">
        <w:rPr>
          <w:rFonts w:cstheme="minorHAnsi"/>
        </w:rPr>
        <w:t xml:space="preserve">different phases </w:t>
      </w:r>
      <w:r w:rsidR="00F45641">
        <w:rPr>
          <w:rFonts w:cstheme="minorHAnsi"/>
        </w:rPr>
        <w:t>of</w:t>
      </w:r>
      <w:r>
        <w:rPr>
          <w:rFonts w:cstheme="minorHAnsi"/>
        </w:rPr>
        <w:t xml:space="preserve"> the stage gate process</w:t>
      </w:r>
      <w:r w:rsidR="005F79FD">
        <w:rPr>
          <w:rFonts w:cstheme="minorHAnsi"/>
        </w:rPr>
        <w:t>; but should</w:t>
      </w:r>
      <w:r w:rsidR="00D429B3">
        <w:rPr>
          <w:rFonts w:cstheme="minorHAnsi"/>
        </w:rPr>
        <w:t xml:space="preserve"> remain</w:t>
      </w:r>
      <w:r w:rsidR="005F79FD">
        <w:rPr>
          <w:rFonts w:cstheme="minorHAnsi"/>
        </w:rPr>
        <w:t xml:space="preserve"> consistent throughout the life-cycle of an MTI</w:t>
      </w:r>
      <w:r w:rsidR="009B1455">
        <w:rPr>
          <w:rFonts w:cstheme="minorHAnsi"/>
        </w:rPr>
        <w:t>.</w:t>
      </w:r>
    </w:p>
    <w:p w14:paraId="1599AB19" w14:textId="339C73A3" w:rsidR="000F5B8E" w:rsidRPr="00F45641" w:rsidRDefault="0060497D" w:rsidP="00935DF5">
      <w:pPr>
        <w:pStyle w:val="ListParagraph"/>
        <w:numPr>
          <w:ilvl w:val="0"/>
          <w:numId w:val="4"/>
        </w:numPr>
        <w:rPr>
          <w:rFonts w:cstheme="minorHAnsi"/>
        </w:rPr>
      </w:pPr>
      <w:r>
        <w:rPr>
          <w:rFonts w:cstheme="minorHAnsi"/>
        </w:rPr>
        <w:t xml:space="preserve">When </w:t>
      </w:r>
      <w:r w:rsidR="00477D2A">
        <w:rPr>
          <w:rFonts w:cstheme="minorHAnsi"/>
        </w:rPr>
        <w:t xml:space="preserve">establishing </w:t>
      </w:r>
      <w:r>
        <w:rPr>
          <w:rFonts w:cstheme="minorHAnsi"/>
        </w:rPr>
        <w:t>criteria,</w:t>
      </w:r>
      <w:r w:rsidR="00700C3E">
        <w:rPr>
          <w:rFonts w:cstheme="minorHAnsi"/>
        </w:rPr>
        <w:t xml:space="preserve"> decision-makers should consider wh</w:t>
      </w:r>
      <w:r w:rsidR="00477D2A">
        <w:rPr>
          <w:rFonts w:cstheme="minorHAnsi"/>
        </w:rPr>
        <w:t>at type of information those criteria will solicit</w:t>
      </w:r>
      <w:r w:rsidR="000A6BC6">
        <w:rPr>
          <w:rFonts w:cstheme="minorHAnsi"/>
        </w:rPr>
        <w:t xml:space="preserve">, </w:t>
      </w:r>
      <w:r w:rsidR="00477D2A">
        <w:rPr>
          <w:rFonts w:cstheme="minorHAnsi"/>
        </w:rPr>
        <w:t>whether that information is qualitative</w:t>
      </w:r>
      <w:r w:rsidR="00700C3E">
        <w:rPr>
          <w:rFonts w:cstheme="minorHAnsi"/>
        </w:rPr>
        <w:t xml:space="preserve"> or quantitative</w:t>
      </w:r>
      <w:r w:rsidR="000A6BC6">
        <w:rPr>
          <w:rFonts w:cstheme="minorHAnsi"/>
        </w:rPr>
        <w:t xml:space="preserve">, and whether that information </w:t>
      </w:r>
      <w:r w:rsidR="00243D3F">
        <w:rPr>
          <w:rFonts w:cstheme="minorHAnsi"/>
        </w:rPr>
        <w:t xml:space="preserve">is sufficient to </w:t>
      </w:r>
      <w:r w:rsidR="009B1455">
        <w:rPr>
          <w:rFonts w:cstheme="minorHAnsi"/>
        </w:rPr>
        <w:t xml:space="preserve">support </w:t>
      </w:r>
      <w:r w:rsidR="000A6BC6">
        <w:rPr>
          <w:rFonts w:cstheme="minorHAnsi"/>
        </w:rPr>
        <w:t>effective decision-making.</w:t>
      </w:r>
    </w:p>
    <w:p w14:paraId="2FD011D6" w14:textId="5333239B" w:rsidR="00512E0C" w:rsidRDefault="0094301B" w:rsidP="00935DF5">
      <w:pPr>
        <w:pStyle w:val="ListParagraph"/>
        <w:numPr>
          <w:ilvl w:val="0"/>
          <w:numId w:val="4"/>
        </w:numPr>
        <w:rPr>
          <w:rFonts w:cstheme="minorHAnsi"/>
        </w:rPr>
      </w:pPr>
      <w:r>
        <w:rPr>
          <w:rFonts w:cstheme="minorHAnsi"/>
        </w:rPr>
        <w:t>“</w:t>
      </w:r>
      <w:r w:rsidR="00512E0C">
        <w:rPr>
          <w:rFonts w:cstheme="minorHAnsi"/>
        </w:rPr>
        <w:t>Equity</w:t>
      </w:r>
      <w:r>
        <w:rPr>
          <w:rFonts w:cstheme="minorHAnsi"/>
        </w:rPr>
        <w:t>”</w:t>
      </w:r>
      <w:r w:rsidR="00512E0C">
        <w:rPr>
          <w:rFonts w:cstheme="minorHAnsi"/>
        </w:rPr>
        <w:t xml:space="preserve"> and </w:t>
      </w:r>
      <w:r>
        <w:rPr>
          <w:rFonts w:cstheme="minorHAnsi"/>
        </w:rPr>
        <w:t xml:space="preserve"> “workforce”</w:t>
      </w:r>
      <w:r w:rsidR="00F45641">
        <w:rPr>
          <w:rFonts w:cstheme="minorHAnsi"/>
        </w:rPr>
        <w:t xml:space="preserve"> may need to be elevated as primary criteria.</w:t>
      </w:r>
    </w:p>
    <w:p w14:paraId="5F9D693C" w14:textId="67490C9C" w:rsidR="00512E0C" w:rsidRDefault="00A93FA9" w:rsidP="007502B4">
      <w:pPr>
        <w:pStyle w:val="ListParagraph"/>
        <w:numPr>
          <w:ilvl w:val="1"/>
          <w:numId w:val="4"/>
        </w:numPr>
        <w:rPr>
          <w:rFonts w:cstheme="minorHAnsi"/>
        </w:rPr>
      </w:pPr>
      <w:r>
        <w:rPr>
          <w:rFonts w:cstheme="minorHAnsi"/>
        </w:rPr>
        <w:t xml:space="preserve">Criteria </w:t>
      </w:r>
      <w:r w:rsidR="00512E0C">
        <w:rPr>
          <w:rFonts w:cstheme="minorHAnsi"/>
        </w:rPr>
        <w:t>around “workforce” should be inclusive of both “workforce development” and “workforce standards</w:t>
      </w:r>
      <w:r w:rsidR="000A6BC6">
        <w:rPr>
          <w:rFonts w:cstheme="minorHAnsi"/>
        </w:rPr>
        <w:t>.</w:t>
      </w:r>
      <w:r w:rsidR="00512E0C">
        <w:rPr>
          <w:rFonts w:cstheme="minorHAnsi"/>
        </w:rPr>
        <w:t>”</w:t>
      </w:r>
    </w:p>
    <w:p w14:paraId="196DD15F" w14:textId="77777777" w:rsidR="001F0783" w:rsidRDefault="00A2070E" w:rsidP="001F0783">
      <w:pPr>
        <w:pStyle w:val="ListParagraph"/>
        <w:numPr>
          <w:ilvl w:val="0"/>
          <w:numId w:val="4"/>
        </w:numPr>
        <w:rPr>
          <w:rFonts w:cstheme="minorHAnsi"/>
        </w:rPr>
      </w:pPr>
      <w:r>
        <w:rPr>
          <w:rFonts w:cstheme="minorHAnsi"/>
        </w:rPr>
        <w:t>The term “portfolio fit” has different interpretation</w:t>
      </w:r>
      <w:r w:rsidR="00A93FA9">
        <w:rPr>
          <w:rFonts w:cstheme="minorHAnsi"/>
        </w:rPr>
        <w:t xml:space="preserve">s and </w:t>
      </w:r>
      <w:r w:rsidR="009B1455">
        <w:rPr>
          <w:rFonts w:cstheme="minorHAnsi"/>
        </w:rPr>
        <w:t>should be re</w:t>
      </w:r>
      <w:r w:rsidR="0018564B">
        <w:rPr>
          <w:rFonts w:cstheme="minorHAnsi"/>
        </w:rPr>
        <w:t>visited</w:t>
      </w:r>
      <w:r w:rsidR="00A93FA9">
        <w:rPr>
          <w:rFonts w:cstheme="minorHAnsi"/>
        </w:rPr>
        <w:t xml:space="preserve">. </w:t>
      </w:r>
    </w:p>
    <w:p w14:paraId="51AD1436" w14:textId="632EE757" w:rsidR="00512E0C" w:rsidRDefault="009B1455" w:rsidP="007502B4">
      <w:pPr>
        <w:pStyle w:val="ListParagraph"/>
        <w:numPr>
          <w:ilvl w:val="1"/>
          <w:numId w:val="4"/>
        </w:numPr>
        <w:rPr>
          <w:rFonts w:cstheme="minorHAnsi"/>
        </w:rPr>
      </w:pPr>
      <w:r>
        <w:rPr>
          <w:rFonts w:cstheme="minorHAnsi"/>
        </w:rPr>
        <w:t>The term</w:t>
      </w:r>
      <w:r w:rsidR="00A2070E">
        <w:rPr>
          <w:rFonts w:cstheme="minorHAnsi"/>
        </w:rPr>
        <w:t xml:space="preserve"> could mean MTI fit with the existing energy efficiency programs/ portfolio or MTI fit with energy system needs. </w:t>
      </w:r>
      <w:r w:rsidR="0032064F">
        <w:rPr>
          <w:rFonts w:cstheme="minorHAnsi"/>
        </w:rPr>
        <w:t>These are different and</w:t>
      </w:r>
      <w:r w:rsidR="00A93FA9">
        <w:rPr>
          <w:rFonts w:cstheme="minorHAnsi"/>
        </w:rPr>
        <w:t xml:space="preserve"> important</w:t>
      </w:r>
      <w:r w:rsidR="00243D3F">
        <w:rPr>
          <w:rFonts w:cstheme="minorHAnsi"/>
        </w:rPr>
        <w:t xml:space="preserve"> objectives. </w:t>
      </w:r>
      <w:r w:rsidR="00A2070E">
        <w:rPr>
          <w:rFonts w:cstheme="minorHAnsi"/>
        </w:rPr>
        <w:t>This</w:t>
      </w:r>
      <w:r w:rsidR="00A93FA9">
        <w:rPr>
          <w:rFonts w:cstheme="minorHAnsi"/>
        </w:rPr>
        <w:t xml:space="preserve"> term also has a different meaning in the third-party solicitation process.</w:t>
      </w:r>
    </w:p>
    <w:p w14:paraId="75191375" w14:textId="06EFBAA5" w:rsidR="00A93FA9" w:rsidRPr="000F5B8E" w:rsidRDefault="0018564B" w:rsidP="00935DF5">
      <w:pPr>
        <w:pStyle w:val="ListParagraph"/>
        <w:numPr>
          <w:ilvl w:val="0"/>
          <w:numId w:val="4"/>
        </w:numPr>
        <w:rPr>
          <w:rFonts w:cstheme="minorHAnsi"/>
        </w:rPr>
      </w:pPr>
      <w:r>
        <w:rPr>
          <w:rFonts w:cstheme="minorHAnsi"/>
        </w:rPr>
        <w:t>The proposed</w:t>
      </w:r>
      <w:r w:rsidR="0034305C">
        <w:rPr>
          <w:rFonts w:cstheme="minorHAnsi"/>
        </w:rPr>
        <w:t xml:space="preserve"> sub-criteria on “a</w:t>
      </w:r>
      <w:r w:rsidR="0034305C" w:rsidRPr="0034305C">
        <w:rPr>
          <w:rFonts w:cstheme="minorHAnsi"/>
        </w:rPr>
        <w:t>greement of non-MT PA market actors</w:t>
      </w:r>
      <w:r w:rsidR="0034305C">
        <w:rPr>
          <w:rFonts w:cstheme="minorHAnsi"/>
        </w:rPr>
        <w:t>”</w:t>
      </w:r>
      <w:r>
        <w:rPr>
          <w:rFonts w:cstheme="minorHAnsi"/>
        </w:rPr>
        <w:t xml:space="preserve"> </w:t>
      </w:r>
      <w:r w:rsidR="00157D98">
        <w:rPr>
          <w:rFonts w:cstheme="minorHAnsi"/>
        </w:rPr>
        <w:t>raised</w:t>
      </w:r>
      <w:r>
        <w:rPr>
          <w:rFonts w:cstheme="minorHAnsi"/>
        </w:rPr>
        <w:t xml:space="preserve"> some concerns and should be revisited.</w:t>
      </w:r>
    </w:p>
    <w:p w14:paraId="0A9D658C" w14:textId="54A86B35" w:rsidR="00AA5F2F" w:rsidRDefault="00AA5F2F" w:rsidP="00AA5F2F">
      <w:pPr>
        <w:rPr>
          <w:highlight w:val="yellow"/>
        </w:rPr>
      </w:pPr>
    </w:p>
    <w:p w14:paraId="5C25BC99" w14:textId="2EC12C73" w:rsidR="00782E4D" w:rsidRPr="00782E4D" w:rsidRDefault="00782E4D" w:rsidP="00AA5F2F">
      <w:pPr>
        <w:rPr>
          <w:rFonts w:cs="Times New Roman (Body CS)"/>
          <w:smallCaps/>
          <w:sz w:val="26"/>
          <w:szCs w:val="26"/>
          <w:highlight w:val="yellow"/>
        </w:rPr>
      </w:pPr>
      <w:r w:rsidRPr="00782E4D">
        <w:rPr>
          <w:rFonts w:cs="Times New Roman (Body CS)"/>
          <w:b/>
          <w:smallCaps/>
          <w:sz w:val="26"/>
          <w:szCs w:val="26"/>
        </w:rPr>
        <w:t>Roles &amp; Responsibilities</w:t>
      </w:r>
    </w:p>
    <w:p w14:paraId="76B3A06E" w14:textId="6CAB81AC" w:rsidR="00782E4D" w:rsidRDefault="00782E4D" w:rsidP="00AA5F2F">
      <w:pPr>
        <w:rPr>
          <w:highlight w:val="yellow"/>
        </w:rPr>
      </w:pPr>
    </w:p>
    <w:p w14:paraId="78AEF651" w14:textId="65EB9E5B" w:rsidR="00673AFF" w:rsidRDefault="00F03E46" w:rsidP="00673AFF">
      <w:r w:rsidRPr="009141F0">
        <w:t xml:space="preserve">J. Raab explained that </w:t>
      </w:r>
      <w:r w:rsidR="00673AFF">
        <w:t>the</w:t>
      </w:r>
      <w:r w:rsidR="00AC09C3">
        <w:t xml:space="preserve">re are </w:t>
      </w:r>
      <w:r w:rsidR="001F0783">
        <w:t xml:space="preserve">many </w:t>
      </w:r>
      <w:r w:rsidR="00AC09C3">
        <w:t xml:space="preserve">similarities </w:t>
      </w:r>
      <w:r w:rsidR="001F0783">
        <w:t xml:space="preserve">on roles and responsibilities </w:t>
      </w:r>
      <w:r w:rsidR="00AC09C3">
        <w:t>between the</w:t>
      </w:r>
      <w:r w:rsidR="00673AFF">
        <w:t xml:space="preserve"> </w:t>
      </w:r>
      <w:r w:rsidRPr="009141F0">
        <w:t xml:space="preserve">two administration </w:t>
      </w:r>
      <w:r w:rsidR="00972F0C">
        <w:t>proposals</w:t>
      </w:r>
      <w:r>
        <w:t xml:space="preserve"> under </w:t>
      </w:r>
      <w:r w:rsidR="00673AFF">
        <w:t>consideratio</w:t>
      </w:r>
      <w:r w:rsidR="00AC09C3">
        <w:t xml:space="preserve">n: (1) </w:t>
      </w:r>
      <w:r w:rsidR="00972F0C">
        <w:t>Option</w:t>
      </w:r>
      <w:r w:rsidR="00AC09C3">
        <w:t xml:space="preserve"> A - </w:t>
      </w:r>
      <w:r w:rsidR="00AC09C3" w:rsidRPr="00AC09C3">
        <w:t>Existing Program Administrators</w:t>
      </w:r>
      <w:r w:rsidR="00AC09C3">
        <w:t xml:space="preserve">; and (2) </w:t>
      </w:r>
      <w:r w:rsidR="00972F0C">
        <w:t>Option</w:t>
      </w:r>
      <w:r w:rsidR="00AC09C3">
        <w:t xml:space="preserve"> B – Independent Statewide Administrator</w:t>
      </w:r>
      <w:r w:rsidR="001F0783">
        <w:t xml:space="preserve"> (see Redlined Compilation)—separate from who the Administrator(s) should be</w:t>
      </w:r>
      <w:r w:rsidR="00F811F3">
        <w:t xml:space="preserve">. </w:t>
      </w:r>
      <w:r w:rsidR="00C33D76">
        <w:t xml:space="preserve">He said that the goal of the discussion is to review both proposals for convergence </w:t>
      </w:r>
      <w:r w:rsidR="00F137B7">
        <w:t xml:space="preserve">and divergence, </w:t>
      </w:r>
      <w:r w:rsidR="00C33D76">
        <w:t xml:space="preserve">with the aim of identifying administration </w:t>
      </w:r>
      <w:r w:rsidR="00F137B7">
        <w:t xml:space="preserve">features </w:t>
      </w:r>
      <w:r w:rsidR="00972F0C">
        <w:t>or a</w:t>
      </w:r>
      <w:r w:rsidR="00EA7725">
        <w:t>n overall</w:t>
      </w:r>
      <w:r w:rsidR="00972F0C">
        <w:t xml:space="preserve"> </w:t>
      </w:r>
      <w:r w:rsidR="00157DB0">
        <w:t xml:space="preserve">MT administration </w:t>
      </w:r>
      <w:r w:rsidR="00972F0C">
        <w:t xml:space="preserve">model </w:t>
      </w:r>
      <w:r w:rsidR="00F137B7">
        <w:t xml:space="preserve">that the WG can support regardless of </w:t>
      </w:r>
      <w:r w:rsidR="00157DB0">
        <w:t xml:space="preserve">the </w:t>
      </w:r>
      <w:r w:rsidR="00C33D76">
        <w:t>administrator type</w:t>
      </w:r>
      <w:r w:rsidR="00F137B7">
        <w:t xml:space="preserve">. Because both </w:t>
      </w:r>
      <w:r w:rsidR="00972F0C">
        <w:t xml:space="preserve">proposals </w:t>
      </w:r>
      <w:r w:rsidR="001F0783">
        <w:t xml:space="preserve">appeared to </w:t>
      </w:r>
      <w:r w:rsidR="00972F0C">
        <w:t xml:space="preserve">call for the formation of </w:t>
      </w:r>
      <w:r w:rsidR="00F137B7">
        <w:t>a</w:t>
      </w:r>
      <w:r w:rsidR="00F137B7" w:rsidRPr="009141F0">
        <w:t xml:space="preserve"> MT </w:t>
      </w:r>
      <w:r w:rsidR="001F0783">
        <w:t xml:space="preserve">Advisory </w:t>
      </w:r>
      <w:r w:rsidR="00F137B7" w:rsidRPr="009141F0">
        <w:t>Board and</w:t>
      </w:r>
      <w:r w:rsidR="00F137B7">
        <w:t xml:space="preserve"> </w:t>
      </w:r>
      <w:r w:rsidR="00F137B7" w:rsidRPr="00775A4E">
        <w:t xml:space="preserve">MT </w:t>
      </w:r>
      <w:r w:rsidR="001F0783">
        <w:t>t</w:t>
      </w:r>
      <w:r w:rsidR="00F137B7" w:rsidRPr="00775A4E">
        <w:t xml:space="preserve">echnical </w:t>
      </w:r>
      <w:r w:rsidR="001F0783">
        <w:t>s</w:t>
      </w:r>
      <w:r w:rsidR="00F137B7" w:rsidRPr="00775A4E">
        <w:t>ub-</w:t>
      </w:r>
      <w:r w:rsidR="001F0783">
        <w:t>c</w:t>
      </w:r>
      <w:r w:rsidR="00F137B7" w:rsidRPr="00775A4E">
        <w:t>ommittees</w:t>
      </w:r>
      <w:r w:rsidR="002652BE">
        <w:t xml:space="preserve">, the WG discussed these </w:t>
      </w:r>
      <w:r w:rsidR="00F811F3">
        <w:t>constructs first.</w:t>
      </w:r>
    </w:p>
    <w:p w14:paraId="74F562BF" w14:textId="77777777" w:rsidR="00F03E46" w:rsidRDefault="00F03E46" w:rsidP="00AA5F2F">
      <w:pPr>
        <w:rPr>
          <w:highlight w:val="yellow"/>
        </w:rPr>
      </w:pPr>
    </w:p>
    <w:p w14:paraId="0DE157EA" w14:textId="0FE11E6F" w:rsidR="00951D56" w:rsidRPr="00951D56" w:rsidRDefault="00951D56" w:rsidP="009141F0">
      <w:pPr>
        <w:rPr>
          <w:u w:val="single"/>
        </w:rPr>
      </w:pPr>
      <w:r w:rsidRPr="00951D56">
        <w:rPr>
          <w:u w:val="single"/>
        </w:rPr>
        <w:t xml:space="preserve">Stakeholders: MT </w:t>
      </w:r>
      <w:r w:rsidR="001F0783">
        <w:rPr>
          <w:u w:val="single"/>
        </w:rPr>
        <w:t xml:space="preserve">Advisory </w:t>
      </w:r>
      <w:r w:rsidRPr="00951D56">
        <w:rPr>
          <w:u w:val="single"/>
        </w:rPr>
        <w:t xml:space="preserve">Board/MT </w:t>
      </w:r>
      <w:r w:rsidR="001F0783">
        <w:rPr>
          <w:u w:val="single"/>
        </w:rPr>
        <w:t>t</w:t>
      </w:r>
      <w:r w:rsidRPr="00951D56">
        <w:rPr>
          <w:u w:val="single"/>
        </w:rPr>
        <w:t xml:space="preserve">echnical </w:t>
      </w:r>
      <w:r w:rsidR="001F0783">
        <w:rPr>
          <w:u w:val="single"/>
        </w:rPr>
        <w:t>s</w:t>
      </w:r>
      <w:r w:rsidRPr="00951D56">
        <w:rPr>
          <w:u w:val="single"/>
        </w:rPr>
        <w:t>ub-</w:t>
      </w:r>
      <w:r w:rsidR="001F0783">
        <w:rPr>
          <w:u w:val="single"/>
        </w:rPr>
        <w:t>c</w:t>
      </w:r>
      <w:r w:rsidRPr="00951D56">
        <w:rPr>
          <w:u w:val="single"/>
        </w:rPr>
        <w:t xml:space="preserve">ommittees </w:t>
      </w:r>
    </w:p>
    <w:p w14:paraId="03066309" w14:textId="77777777" w:rsidR="00951D56" w:rsidRDefault="00951D56" w:rsidP="00AA5F2F">
      <w:pPr>
        <w:rPr>
          <w:highlight w:val="yellow"/>
        </w:rPr>
      </w:pPr>
    </w:p>
    <w:p w14:paraId="092464FC" w14:textId="63895269" w:rsidR="000123CC" w:rsidRPr="00951D56" w:rsidRDefault="009360E6" w:rsidP="00AA5F2F">
      <w:r w:rsidRPr="00B168C9">
        <w:t xml:space="preserve">Adam Scheer (Pacific Gas and Electric) and </w:t>
      </w:r>
      <w:r w:rsidR="00B168C9" w:rsidRPr="00B168C9">
        <w:t xml:space="preserve">Hayley Goodson (The Utility Reform Network) provided an overview of their Sub-Group proposals </w:t>
      </w:r>
      <w:r w:rsidR="000557D6">
        <w:t xml:space="preserve">for the MT Board </w:t>
      </w:r>
      <w:r w:rsidR="00B168C9" w:rsidRPr="00B168C9">
        <w:t xml:space="preserve">(see link above). </w:t>
      </w:r>
      <w:r w:rsidR="00951D56" w:rsidRPr="00B168C9">
        <w:t>As part of th</w:t>
      </w:r>
      <w:r w:rsidR="00421218">
        <w:t>is</w:t>
      </w:r>
      <w:r w:rsidR="00951D56" w:rsidRPr="00B168C9">
        <w:t xml:space="preserve"> discussion, the WG</w:t>
      </w:r>
      <w:r w:rsidR="000557D6">
        <w:t xml:space="preserve"> reached consensus on the following </w:t>
      </w:r>
      <w:r w:rsidR="000557D6">
        <w:lastRenderedPageBreak/>
        <w:t>issues</w:t>
      </w:r>
      <w:r w:rsidR="00F207DF">
        <w:t>:</w:t>
      </w:r>
      <w:r w:rsidR="00F207DF" w:rsidRPr="00951D56">
        <w:rPr>
          <w:highlight w:val="yellow"/>
        </w:rPr>
        <w:t xml:space="preserve"> </w:t>
      </w:r>
      <w:r w:rsidR="00D53E50" w:rsidRPr="00951D56">
        <w:rPr>
          <w:highlight w:val="yellow"/>
        </w:rPr>
        <w:br/>
      </w:r>
    </w:p>
    <w:p w14:paraId="248AA0AD" w14:textId="4A594C6F" w:rsidR="009A533C" w:rsidRPr="00C92FC9" w:rsidRDefault="009A533C" w:rsidP="00935DF5">
      <w:pPr>
        <w:pStyle w:val="ListParagraph"/>
        <w:numPr>
          <w:ilvl w:val="0"/>
          <w:numId w:val="5"/>
        </w:numPr>
      </w:pPr>
      <w:r w:rsidRPr="00C92FC9">
        <w:t>The term “M</w:t>
      </w:r>
      <w:r w:rsidR="001F0783">
        <w:t>arket Transformation (MT)</w:t>
      </w:r>
      <w:r w:rsidRPr="00C92FC9">
        <w:t xml:space="preserve"> Advisory Board” should be used.</w:t>
      </w:r>
    </w:p>
    <w:p w14:paraId="500A4E60" w14:textId="5F3EFB2E" w:rsidR="00951D56" w:rsidRPr="00C92FC9" w:rsidRDefault="00951D56" w:rsidP="007502B4">
      <w:pPr>
        <w:pStyle w:val="ListParagraph"/>
        <w:numPr>
          <w:ilvl w:val="1"/>
          <w:numId w:val="5"/>
        </w:numPr>
      </w:pPr>
      <w:r w:rsidRPr="00C92FC9">
        <w:t>The MT Advisory Board should serve in an advisory capacity to the MT Administrator</w:t>
      </w:r>
      <w:r w:rsidR="00594D65" w:rsidRPr="00C92FC9">
        <w:t>.</w:t>
      </w:r>
    </w:p>
    <w:p w14:paraId="580CE470" w14:textId="0E29331C" w:rsidR="00951D56" w:rsidRPr="00C92FC9" w:rsidRDefault="00951D56" w:rsidP="007502B4">
      <w:pPr>
        <w:pStyle w:val="ListParagraph"/>
        <w:numPr>
          <w:ilvl w:val="1"/>
          <w:numId w:val="5"/>
        </w:numPr>
      </w:pPr>
      <w:r w:rsidRPr="00C92FC9">
        <w:t xml:space="preserve">The MT Administrator should not </w:t>
      </w:r>
      <w:r w:rsidR="00594D65" w:rsidRPr="00C92FC9">
        <w:t>serve</w:t>
      </w:r>
      <w:r w:rsidRPr="00C92FC9">
        <w:t xml:space="preserve"> on the MT Advisory Board</w:t>
      </w:r>
      <w:r w:rsidR="00526EFE" w:rsidRPr="00C92FC9">
        <w:t>.</w:t>
      </w:r>
    </w:p>
    <w:p w14:paraId="4823F0D6" w14:textId="5F7F8E89" w:rsidR="00951D56" w:rsidRPr="00C92FC9" w:rsidRDefault="00951D56" w:rsidP="007502B4">
      <w:pPr>
        <w:pStyle w:val="ListParagraph"/>
        <w:numPr>
          <w:ilvl w:val="1"/>
          <w:numId w:val="5"/>
        </w:numPr>
      </w:pPr>
      <w:r w:rsidRPr="00C92FC9">
        <w:t xml:space="preserve">While the MT Administrator would have ultimate authority to bring issues to the CPUC, the level of consensus between the MT Administrator and MT Advisory Board would </w:t>
      </w:r>
      <w:r w:rsidR="00202B38" w:rsidRPr="00C92FC9">
        <w:t>dictate the</w:t>
      </w:r>
      <w:r w:rsidRPr="00C92FC9">
        <w:t xml:space="preserve"> tier of advice letter</w:t>
      </w:r>
      <w:r w:rsidR="00202B38" w:rsidRPr="00C92FC9">
        <w:t xml:space="preserve"> </w:t>
      </w:r>
      <w:r w:rsidR="008B1066">
        <w:t>brought forward.</w:t>
      </w:r>
    </w:p>
    <w:p w14:paraId="1530AE93" w14:textId="660C898A" w:rsidR="006A6A92" w:rsidRPr="00C92FC9" w:rsidRDefault="000557D6" w:rsidP="00935DF5">
      <w:pPr>
        <w:pStyle w:val="ListParagraph"/>
        <w:numPr>
          <w:ilvl w:val="0"/>
          <w:numId w:val="5"/>
        </w:numPr>
      </w:pPr>
      <w:r>
        <w:t xml:space="preserve">Further </w:t>
      </w:r>
      <w:r w:rsidR="00C92FC9">
        <w:t>Sub-Group and</w:t>
      </w:r>
      <w:r w:rsidR="006A6A92" w:rsidRPr="00C92FC9">
        <w:t xml:space="preserve"> </w:t>
      </w:r>
      <w:r w:rsidR="00C92FC9">
        <w:t xml:space="preserve">WG </w:t>
      </w:r>
      <w:r w:rsidR="006A6A92" w:rsidRPr="00C92FC9">
        <w:t>discussion is needed on the composition of the Board</w:t>
      </w:r>
      <w:r w:rsidR="007202FD" w:rsidRPr="00C92FC9">
        <w:t xml:space="preserve">; how the Board would give advice to </w:t>
      </w:r>
      <w:r w:rsidR="00ED6E55">
        <w:t xml:space="preserve">the MT </w:t>
      </w:r>
      <w:r w:rsidR="007202FD" w:rsidRPr="00C92FC9">
        <w:t>Administrator and by what mechanism</w:t>
      </w:r>
      <w:r w:rsidR="006A76DB" w:rsidRPr="00C92FC9">
        <w:t>; and where the Board fits in with the overall stage</w:t>
      </w:r>
      <w:r w:rsidR="005A2847">
        <w:t xml:space="preserve"> </w:t>
      </w:r>
      <w:r w:rsidR="006A76DB" w:rsidRPr="00C92FC9">
        <w:t>gate process.</w:t>
      </w:r>
    </w:p>
    <w:p w14:paraId="6E13917E" w14:textId="0B7A7234" w:rsidR="0074720A" w:rsidRDefault="0074720A" w:rsidP="0074720A"/>
    <w:p w14:paraId="589B4A4F" w14:textId="11D85FFB" w:rsidR="005E0BDC" w:rsidRDefault="00DB5588" w:rsidP="00DB5588">
      <w:r>
        <w:t xml:space="preserve">The WG </w:t>
      </w:r>
      <w:r w:rsidR="00421218">
        <w:t xml:space="preserve">then </w:t>
      </w:r>
      <w:r>
        <w:t xml:space="preserve">discussed the two </w:t>
      </w:r>
      <w:r w:rsidR="000907BA">
        <w:t xml:space="preserve">Sub-Group proposals for </w:t>
      </w:r>
      <w:r w:rsidRPr="00775A4E">
        <w:t xml:space="preserve">MT </w:t>
      </w:r>
      <w:r w:rsidR="001F0783">
        <w:t>t</w:t>
      </w:r>
      <w:r w:rsidRPr="00775A4E">
        <w:t xml:space="preserve">echnical </w:t>
      </w:r>
      <w:r w:rsidR="001F0783">
        <w:t>s</w:t>
      </w:r>
      <w:r w:rsidRPr="00775A4E">
        <w:t>ub-</w:t>
      </w:r>
      <w:r w:rsidR="001F0783">
        <w:t>c</w:t>
      </w:r>
      <w:r w:rsidRPr="00775A4E">
        <w:t>ommittee</w:t>
      </w:r>
      <w:r w:rsidR="000907BA">
        <w:t>s</w:t>
      </w:r>
      <w:r w:rsidR="00F207DF">
        <w:t xml:space="preserve">. </w:t>
      </w:r>
      <w:r w:rsidR="00F207DF" w:rsidRPr="00B168C9">
        <w:t>As part of th</w:t>
      </w:r>
      <w:r w:rsidR="00421218">
        <w:t>is</w:t>
      </w:r>
      <w:r w:rsidR="00F207DF" w:rsidRPr="00B168C9">
        <w:t xml:space="preserve"> discussion, </w:t>
      </w:r>
      <w:r w:rsidR="00F207DF">
        <w:t>it reached consensus on the following issues:</w:t>
      </w:r>
      <w:r w:rsidRPr="00951D56">
        <w:rPr>
          <w:highlight w:val="yellow"/>
        </w:rPr>
        <w:br/>
      </w:r>
    </w:p>
    <w:p w14:paraId="0EA4A757" w14:textId="629A494D" w:rsidR="006A76DB" w:rsidRDefault="00F05C59" w:rsidP="00935DF5">
      <w:pPr>
        <w:pStyle w:val="ListParagraph"/>
        <w:numPr>
          <w:ilvl w:val="0"/>
          <w:numId w:val="5"/>
        </w:numPr>
      </w:pPr>
      <w:r>
        <w:t>The term “Initiative Review Committee</w:t>
      </w:r>
      <w:r w:rsidR="004E4E1D">
        <w:t>s</w:t>
      </w:r>
      <w:r>
        <w:t>” (IRC</w:t>
      </w:r>
      <w:r w:rsidR="004E4E1D">
        <w:t>s</w:t>
      </w:r>
      <w:r>
        <w:t>) should be used.</w:t>
      </w:r>
    </w:p>
    <w:p w14:paraId="5DF45B46" w14:textId="5BE4387F" w:rsidR="004E4E1D" w:rsidRDefault="004E4E1D" w:rsidP="00935DF5">
      <w:pPr>
        <w:pStyle w:val="ListParagraph"/>
        <w:numPr>
          <w:ilvl w:val="0"/>
          <w:numId w:val="5"/>
        </w:numPr>
      </w:pPr>
      <w:r>
        <w:t>An IRC would be specific to an MTI (or group of related MTIs) and formed only if needed</w:t>
      </w:r>
    </w:p>
    <w:p w14:paraId="4A4E8D7C" w14:textId="7B3D6DE4" w:rsidR="00F05C59" w:rsidRDefault="00F05C59" w:rsidP="0097578D">
      <w:pPr>
        <w:pStyle w:val="ListParagraph"/>
        <w:numPr>
          <w:ilvl w:val="0"/>
          <w:numId w:val="5"/>
        </w:numPr>
      </w:pPr>
      <w:r>
        <w:t>An IRC would be a technical body that includes market experts</w:t>
      </w:r>
      <w:r w:rsidR="004E4E1D">
        <w:t xml:space="preserve"> (e.g., manufacturers, government agencies, independent technical experts)</w:t>
      </w:r>
      <w:r>
        <w:t>.</w:t>
      </w:r>
    </w:p>
    <w:p w14:paraId="6E8DAA6A" w14:textId="4850729C" w:rsidR="00F05C59" w:rsidRDefault="00F05C59" w:rsidP="00935DF5">
      <w:pPr>
        <w:pStyle w:val="ListParagraph"/>
        <w:numPr>
          <w:ilvl w:val="0"/>
          <w:numId w:val="5"/>
        </w:numPr>
      </w:pPr>
      <w:r>
        <w:t>An IRC could be formed at any stage between stages 1-6</w:t>
      </w:r>
      <w:r w:rsidR="00293B42">
        <w:t xml:space="preserve"> of the stage gate process.</w:t>
      </w:r>
    </w:p>
    <w:p w14:paraId="279D4887" w14:textId="7EADB411" w:rsidR="004E4E1D" w:rsidRDefault="004E4E1D" w:rsidP="00935DF5">
      <w:pPr>
        <w:pStyle w:val="ListParagraph"/>
        <w:numPr>
          <w:ilvl w:val="0"/>
          <w:numId w:val="5"/>
        </w:numPr>
      </w:pPr>
      <w:r>
        <w:t>The Administrator can form an IRC as needed.</w:t>
      </w:r>
    </w:p>
    <w:p w14:paraId="1E64BA79" w14:textId="4FCE4D27" w:rsidR="00F05C59" w:rsidRDefault="004E4E1D" w:rsidP="00935DF5">
      <w:pPr>
        <w:pStyle w:val="ListParagraph"/>
        <w:numPr>
          <w:ilvl w:val="0"/>
          <w:numId w:val="5"/>
        </w:numPr>
      </w:pPr>
      <w:r>
        <w:t>T</w:t>
      </w:r>
      <w:r w:rsidR="00F05C59">
        <w:t xml:space="preserve">he MT Advisory Board could </w:t>
      </w:r>
      <w:r>
        <w:t xml:space="preserve">also </w:t>
      </w:r>
      <w:r w:rsidR="00F05C59">
        <w:t>recommend the creation of an IRC as a condition of an MTI advancing through the stage gate process.</w:t>
      </w:r>
    </w:p>
    <w:p w14:paraId="26A9308C" w14:textId="55A39875" w:rsidR="00F05C59" w:rsidRDefault="00F05C59" w:rsidP="00935DF5">
      <w:pPr>
        <w:pStyle w:val="ListParagraph"/>
        <w:numPr>
          <w:ilvl w:val="0"/>
          <w:numId w:val="5"/>
        </w:numPr>
      </w:pPr>
      <w:r>
        <w:t xml:space="preserve">If formed, an IRC’s recommendations </w:t>
      </w:r>
      <w:r w:rsidR="00293B42">
        <w:t>must</w:t>
      </w:r>
      <w:r>
        <w:t xml:space="preserve"> be shared with the MT Advisory Board.</w:t>
      </w:r>
    </w:p>
    <w:p w14:paraId="02DC8304" w14:textId="09AA4DBA" w:rsidR="00293B42" w:rsidRDefault="00293B42" w:rsidP="00935DF5">
      <w:pPr>
        <w:pStyle w:val="ListParagraph"/>
        <w:numPr>
          <w:ilvl w:val="0"/>
          <w:numId w:val="5"/>
        </w:numPr>
      </w:pPr>
      <w:r>
        <w:t xml:space="preserve">An IRC may </w:t>
      </w:r>
      <w:r w:rsidR="004E4E1D">
        <w:t>includ</w:t>
      </w:r>
      <w:r w:rsidR="0097578D">
        <w:t>e</w:t>
      </w:r>
      <w:r>
        <w:t xml:space="preserve"> members who have </w:t>
      </w:r>
      <w:r w:rsidR="004E4E1D">
        <w:t xml:space="preserve">potential </w:t>
      </w:r>
      <w:r>
        <w:t>conflicts of interest</w:t>
      </w:r>
      <w:r w:rsidR="004E4E1D">
        <w:t xml:space="preserve">, as long as the potential conflicts are </w:t>
      </w:r>
      <w:r>
        <w:t xml:space="preserve"> acknowledged and handled </w:t>
      </w:r>
      <w:r w:rsidR="000907BA">
        <w:t>in a transparent manner.</w:t>
      </w:r>
    </w:p>
    <w:p w14:paraId="5A9CA493" w14:textId="16E4F163" w:rsidR="006A76DB" w:rsidRDefault="006A76DB" w:rsidP="00935DF5">
      <w:pPr>
        <w:pStyle w:val="ListParagraph"/>
        <w:numPr>
          <w:ilvl w:val="0"/>
          <w:numId w:val="5"/>
        </w:numPr>
      </w:pPr>
      <w:r>
        <w:t xml:space="preserve">Additional </w:t>
      </w:r>
      <w:r w:rsidR="00DB5588">
        <w:t>Sub-Group and</w:t>
      </w:r>
      <w:r w:rsidR="00DB5588" w:rsidRPr="00C92FC9">
        <w:t xml:space="preserve"> </w:t>
      </w:r>
      <w:r w:rsidR="00DB5588">
        <w:t xml:space="preserve">WG </w:t>
      </w:r>
      <w:r>
        <w:t>discussion is needed on wh</w:t>
      </w:r>
      <w:r w:rsidR="008C2ACB">
        <w:t>ether or not</w:t>
      </w:r>
      <w:r w:rsidR="008C2ACB" w:rsidRPr="008C2ACB">
        <w:t xml:space="preserve"> there </w:t>
      </w:r>
      <w:r w:rsidR="000907BA">
        <w:t>sh</w:t>
      </w:r>
      <w:r w:rsidR="00694DEB">
        <w:t>ould be</w:t>
      </w:r>
      <w:r w:rsidR="008C2ACB" w:rsidRPr="008C2ACB">
        <w:t xml:space="preserve"> funding </w:t>
      </w:r>
      <w:r w:rsidR="008C2ACB">
        <w:t>to support IRC participants and</w:t>
      </w:r>
      <w:r w:rsidR="000907BA">
        <w:t>, if yes,</w:t>
      </w:r>
      <w:r w:rsidR="003F703E">
        <w:t xml:space="preserve"> </w:t>
      </w:r>
      <w:r w:rsidR="00694DEB">
        <w:t>what the</w:t>
      </w:r>
      <w:r w:rsidR="00EF5304">
        <w:t xml:space="preserve"> funding</w:t>
      </w:r>
      <w:r w:rsidR="00694DEB">
        <w:t xml:space="preserve"> </w:t>
      </w:r>
      <w:r w:rsidR="000907BA">
        <w:t xml:space="preserve">source </w:t>
      </w:r>
      <w:r w:rsidR="00EF5304">
        <w:t>would be.</w:t>
      </w:r>
    </w:p>
    <w:p w14:paraId="2BE2C327" w14:textId="426B0BCD" w:rsidR="006A76DB" w:rsidRDefault="006A76DB" w:rsidP="008C2ACB"/>
    <w:p w14:paraId="0E99160B" w14:textId="14C1E36B" w:rsidR="00AB43FB" w:rsidRPr="00063950" w:rsidRDefault="00EF5304" w:rsidP="00B77759">
      <w:r>
        <w:t>A. S</w:t>
      </w:r>
      <w:r w:rsidR="000907BA" w:rsidRPr="00063950">
        <w:t>cheer reviewed his Sub</w:t>
      </w:r>
      <w:r w:rsidR="00407991">
        <w:t>-</w:t>
      </w:r>
      <w:r w:rsidR="000907BA" w:rsidRPr="00063950">
        <w:t>Group’s proposal for Peer Review Groups (PRGs) and Independent Evaluators (IEs), which the other Sub</w:t>
      </w:r>
      <w:r w:rsidR="00407991">
        <w:t>-</w:t>
      </w:r>
      <w:r w:rsidR="000907BA" w:rsidRPr="00063950">
        <w:t>Group did not propose. He explained that</w:t>
      </w:r>
      <w:r w:rsidR="00053088" w:rsidRPr="00063950">
        <w:t xml:space="preserve"> this proposal mirrors the third-party solicitation process in terms of oversight.</w:t>
      </w:r>
      <w:r w:rsidR="000907BA" w:rsidRPr="00063950">
        <w:t xml:space="preserve"> PRGs would</w:t>
      </w:r>
      <w:r w:rsidR="00053088" w:rsidRPr="00063950">
        <w:t xml:space="preserve"> be comprised of non-financially invested stakeholders (which </w:t>
      </w:r>
      <w:r w:rsidR="00ED6E55">
        <w:t>c</w:t>
      </w:r>
      <w:r w:rsidR="00053088" w:rsidRPr="00063950">
        <w:t xml:space="preserve">ould make </w:t>
      </w:r>
      <w:r w:rsidR="00ED6E55">
        <w:t>them</w:t>
      </w:r>
      <w:r w:rsidR="00053088" w:rsidRPr="00063950">
        <w:t xml:space="preserve"> distinct from the MT Advisory Board</w:t>
      </w:r>
      <w:r w:rsidR="004E4E1D">
        <w:t xml:space="preserve"> and IRCs</w:t>
      </w:r>
      <w:r w:rsidR="00053088" w:rsidRPr="00063950">
        <w:t>) and would</w:t>
      </w:r>
      <w:r w:rsidR="000907BA" w:rsidRPr="00063950">
        <w:t xml:space="preserve"> </w:t>
      </w:r>
      <w:r w:rsidR="00053088" w:rsidRPr="00063950">
        <w:t>play a role beginning in Stage 5 of the stage gate proces</w:t>
      </w:r>
      <w:r w:rsidR="004E4E1D">
        <w:t>s.</w:t>
      </w:r>
      <w:r w:rsidR="006D53D6" w:rsidRPr="00063950">
        <w:t xml:space="preserve"> The IE would be involved early</w:t>
      </w:r>
      <w:r w:rsidR="00ED6E55">
        <w:t xml:space="preserve"> on</w:t>
      </w:r>
      <w:r w:rsidR="006D53D6" w:rsidRPr="00063950">
        <w:t xml:space="preserve"> in the stage gate process to ensure MTIs are being evaluated fairly and transparently. </w:t>
      </w:r>
      <w:r w:rsidR="0051311B" w:rsidRPr="00063950">
        <w:t>Daniel Buch (</w:t>
      </w:r>
      <w:r w:rsidR="00063950" w:rsidRPr="00063950">
        <w:t xml:space="preserve">California Public Advocates Office) said that </w:t>
      </w:r>
      <w:r>
        <w:t xml:space="preserve">IEs </w:t>
      </w:r>
      <w:r w:rsidR="00063950" w:rsidRPr="00063950">
        <w:t xml:space="preserve">would not be necessary under </w:t>
      </w:r>
      <w:r w:rsidR="00ED6E55">
        <w:t xml:space="preserve">the </w:t>
      </w:r>
      <w:r w:rsidR="00063950" w:rsidRPr="00063950">
        <w:t xml:space="preserve">Statewide Independent Administrator model unless a </w:t>
      </w:r>
      <w:r w:rsidR="00063950" w:rsidRPr="00063950">
        <w:lastRenderedPageBreak/>
        <w:t xml:space="preserve">utility was </w:t>
      </w:r>
      <w:r w:rsidR="00AA248D">
        <w:t>leading</w:t>
      </w:r>
      <w:r w:rsidR="00063950" w:rsidRPr="00063950">
        <w:t xml:space="preserve"> the procurement process.</w:t>
      </w:r>
      <w:r w:rsidR="00AA248D">
        <w:t xml:space="preserve"> Both </w:t>
      </w:r>
      <w:r w:rsidR="004E4E1D">
        <w:t xml:space="preserve">Administrator </w:t>
      </w:r>
      <w:r w:rsidR="00AA248D">
        <w:t>Sub-Groups agreed</w:t>
      </w:r>
      <w:r w:rsidR="00B77759">
        <w:t xml:space="preserve"> to further explore the need</w:t>
      </w:r>
      <w:r>
        <w:t>, if any,</w:t>
      </w:r>
      <w:r w:rsidR="00B77759">
        <w:t xml:space="preserve"> for PRGs and IEs</w:t>
      </w:r>
      <w:r>
        <w:t>.</w:t>
      </w:r>
    </w:p>
    <w:p w14:paraId="77E9F862" w14:textId="4A0130D1" w:rsidR="00AB43FB" w:rsidRDefault="00AB43FB" w:rsidP="008C2ACB">
      <w:pPr>
        <w:rPr>
          <w:highlight w:val="yellow"/>
        </w:rPr>
      </w:pPr>
    </w:p>
    <w:p w14:paraId="2949F19C" w14:textId="77777777" w:rsidR="005E0F27" w:rsidRDefault="00407991" w:rsidP="0074720A">
      <w:pPr>
        <w:rPr>
          <w:u w:val="single"/>
        </w:rPr>
      </w:pPr>
      <w:r w:rsidRPr="00EC2CEA">
        <w:rPr>
          <w:u w:val="single"/>
        </w:rPr>
        <w:t>MT Administration</w:t>
      </w:r>
    </w:p>
    <w:p w14:paraId="242694B6" w14:textId="77777777" w:rsidR="005E0F27" w:rsidRDefault="005E0F27" w:rsidP="0074720A">
      <w:pPr>
        <w:rPr>
          <w:u w:val="single"/>
        </w:rPr>
      </w:pPr>
    </w:p>
    <w:p w14:paraId="0BF93C1A" w14:textId="14C6A7F8" w:rsidR="005E0BDC" w:rsidRPr="005E0F27" w:rsidRDefault="00EC2CEA" w:rsidP="0074720A">
      <w:pPr>
        <w:rPr>
          <w:i/>
        </w:rPr>
      </w:pPr>
      <w:r w:rsidRPr="005E0F27">
        <w:rPr>
          <w:i/>
        </w:rPr>
        <w:t>Option A - Existing Program Administrators</w:t>
      </w:r>
    </w:p>
    <w:p w14:paraId="141C04A3" w14:textId="11EA8AE1" w:rsidR="00407991" w:rsidRDefault="00407991" w:rsidP="0074720A">
      <w:pPr>
        <w:rPr>
          <w:u w:val="single"/>
        </w:rPr>
      </w:pPr>
    </w:p>
    <w:p w14:paraId="3754F424" w14:textId="04F17E45" w:rsidR="00ED6E55" w:rsidRDefault="007C0D37" w:rsidP="00007AEE">
      <w:r>
        <w:t>A. S</w:t>
      </w:r>
      <w:r w:rsidR="00407991">
        <w:t xml:space="preserve">cheer </w:t>
      </w:r>
      <w:r>
        <w:t xml:space="preserve">provided </w:t>
      </w:r>
      <w:r w:rsidR="00407991">
        <w:t>the rationale for</w:t>
      </w:r>
      <w:r w:rsidR="00B447A2">
        <w:t xml:space="preserve"> and answered clarifying questions on</w:t>
      </w:r>
      <w:r w:rsidR="00407991">
        <w:t xml:space="preserve"> </w:t>
      </w:r>
      <w:r>
        <w:t>employing the e</w:t>
      </w:r>
      <w:r w:rsidR="00407991" w:rsidRPr="00AC09C3">
        <w:t xml:space="preserve">xisting </w:t>
      </w:r>
      <w:r>
        <w:t>p</w:t>
      </w:r>
      <w:r w:rsidR="00407991" w:rsidRPr="00AC09C3">
        <w:t xml:space="preserve">rogram </w:t>
      </w:r>
      <w:r>
        <w:t>a</w:t>
      </w:r>
      <w:r w:rsidR="00407991" w:rsidRPr="00AC09C3">
        <w:t>dministrator</w:t>
      </w:r>
      <w:r>
        <w:t>s</w:t>
      </w:r>
      <w:r w:rsidR="00212B90">
        <w:t xml:space="preserve"> (PAs)</w:t>
      </w:r>
      <w:r w:rsidR="00407991">
        <w:t xml:space="preserve"> </w:t>
      </w:r>
      <w:r>
        <w:t xml:space="preserve">as the MT </w:t>
      </w:r>
      <w:r w:rsidR="00B447A2">
        <w:t>A</w:t>
      </w:r>
      <w:r>
        <w:t xml:space="preserve">dministrator. </w:t>
      </w:r>
    </w:p>
    <w:p w14:paraId="735BA0CA" w14:textId="29326589" w:rsidR="00007AEE" w:rsidRPr="00757743" w:rsidRDefault="00ED6E55" w:rsidP="00007AEE">
      <w:pPr>
        <w:rPr>
          <w:rFonts w:cstheme="minorHAnsi"/>
        </w:rPr>
      </w:pPr>
      <w:r>
        <w:br/>
      </w:r>
      <w:r w:rsidR="00007AEE">
        <w:t>During this discussion, key points of feedback from WG Members included the following:</w:t>
      </w:r>
    </w:p>
    <w:p w14:paraId="5CEA4172" w14:textId="7B2D2410" w:rsidR="007C0D37" w:rsidRDefault="007C0D37" w:rsidP="007C0D37"/>
    <w:p w14:paraId="0DCD796B" w14:textId="7836E965" w:rsidR="007C0D37" w:rsidRDefault="007C0D37" w:rsidP="00935DF5">
      <w:pPr>
        <w:pStyle w:val="ListParagraph"/>
        <w:numPr>
          <w:ilvl w:val="0"/>
          <w:numId w:val="5"/>
        </w:numPr>
      </w:pPr>
      <w:r>
        <w:t xml:space="preserve">The budget for </w:t>
      </w:r>
      <w:r w:rsidR="00B447A2">
        <w:t xml:space="preserve">MT </w:t>
      </w:r>
      <w:r>
        <w:t xml:space="preserve">administration would come from the </w:t>
      </w:r>
      <w:r w:rsidR="00ED6E55">
        <w:t>R</w:t>
      </w:r>
      <w:r>
        <w:t>olling</w:t>
      </w:r>
      <w:r w:rsidR="00ED6E55">
        <w:t xml:space="preserve"> P</w:t>
      </w:r>
      <w:r>
        <w:t>ortfolio budget.</w:t>
      </w:r>
    </w:p>
    <w:p w14:paraId="24D3CC41" w14:textId="6CE3A89D" w:rsidR="007C0D37" w:rsidRDefault="00B447A2" w:rsidP="00935DF5">
      <w:pPr>
        <w:pStyle w:val="ListParagraph"/>
        <w:numPr>
          <w:ilvl w:val="0"/>
          <w:numId w:val="5"/>
        </w:numPr>
      </w:pPr>
      <w:r>
        <w:t xml:space="preserve">MTIs would be assigned to the </w:t>
      </w:r>
      <w:r w:rsidR="00212B90">
        <w:t>PA</w:t>
      </w:r>
      <w:r>
        <w:t xml:space="preserve"> that has expertise or that is best positioned to administer the MTI</w:t>
      </w:r>
      <w:r w:rsidR="00466913">
        <w:t xml:space="preserve"> in question.</w:t>
      </w:r>
    </w:p>
    <w:p w14:paraId="588445CD" w14:textId="3841C3D1" w:rsidR="001D0B4D" w:rsidRDefault="007C3C83" w:rsidP="00935DF5">
      <w:pPr>
        <w:pStyle w:val="ListParagraph"/>
        <w:numPr>
          <w:ilvl w:val="0"/>
          <w:numId w:val="5"/>
        </w:numPr>
      </w:pPr>
      <w:r>
        <w:t>There would be o</w:t>
      </w:r>
      <w:r w:rsidR="0006233D">
        <w:t xml:space="preserve">nly one MT Advisory Board </w:t>
      </w:r>
      <w:r>
        <w:t xml:space="preserve">that </w:t>
      </w:r>
      <w:r w:rsidR="0006233D">
        <w:t xml:space="preserve">would </w:t>
      </w:r>
      <w:r>
        <w:t>advise all the PA Administrators</w:t>
      </w:r>
      <w:r w:rsidR="00212B90">
        <w:t>.</w:t>
      </w:r>
    </w:p>
    <w:p w14:paraId="41EFD73B" w14:textId="77777777" w:rsidR="00865076" w:rsidRPr="00C17BFF" w:rsidRDefault="00865076" w:rsidP="00865076">
      <w:pPr>
        <w:pStyle w:val="ListParagraph"/>
        <w:numPr>
          <w:ilvl w:val="0"/>
          <w:numId w:val="5"/>
        </w:numPr>
        <w:rPr>
          <w:rFonts w:ascii="Cambria" w:hAnsi="Cambria"/>
        </w:rPr>
      </w:pPr>
      <w:r w:rsidRPr="00C17BFF">
        <w:rPr>
          <w:rFonts w:ascii="Cambria" w:hAnsi="Cambria"/>
        </w:rPr>
        <w:t>Internal policies of the IOUs</w:t>
      </w:r>
      <w:r w:rsidRPr="00C17BFF" w:rsidDel="00C17BFF">
        <w:rPr>
          <w:rFonts w:ascii="Cambria" w:hAnsi="Cambria"/>
        </w:rPr>
        <w:t xml:space="preserve"> </w:t>
      </w:r>
      <w:r w:rsidRPr="00C17BFF">
        <w:rPr>
          <w:rFonts w:ascii="Cambria" w:hAnsi="Cambria"/>
        </w:rPr>
        <w:t xml:space="preserve">may prevent the IOUs from administering certain MTIs (like building code compliance programs </w:t>
      </w:r>
      <w:r w:rsidRPr="00C17BFF">
        <w:rPr>
          <w:rFonts w:ascii="Cambria" w:eastAsia="Times New Roman" w:hAnsi="Cambria" w:cs="Times New Roman"/>
          <w:color w:val="FF0000"/>
          <w:shd w:val="clear" w:color="auto" w:fill="FFFFFF"/>
        </w:rPr>
        <w:t>that provide direct assistance to building department staff</w:t>
      </w:r>
      <w:r w:rsidRPr="00C17BFF">
        <w:rPr>
          <w:rFonts w:ascii="Cambria" w:hAnsi="Cambria"/>
        </w:rPr>
        <w:t xml:space="preserve">). In these instances, it may be possible for a Community Choice Aggregator (CCA) or Regional Energy Network (REN) to administer the MTI in question. </w:t>
      </w:r>
      <w:r w:rsidRPr="00C17BFF">
        <w:rPr>
          <w:rFonts w:ascii="Cambria" w:eastAsia="Times New Roman" w:hAnsi="Cambria" w:cs="Times New Roman"/>
          <w:color w:val="FF0000"/>
          <w:shd w:val="clear" w:color="auto" w:fill="FFFFFF"/>
        </w:rPr>
        <w:t>A concern was raised that the non-IOU PAs were not positioned to administer statewide programs; and</w:t>
      </w:r>
      <w:r w:rsidRPr="00C17BFF">
        <w:rPr>
          <w:rFonts w:ascii="Cambria" w:hAnsi="Cambria"/>
        </w:rPr>
        <w:t xml:space="preserve"> the statutory language granting them this authority should be confirmed.</w:t>
      </w:r>
    </w:p>
    <w:p w14:paraId="5D022877" w14:textId="77777777" w:rsidR="00EC2CEA" w:rsidRDefault="00EC2CEA" w:rsidP="00EC2CEA">
      <w:bookmarkStart w:id="0" w:name="_GoBack"/>
      <w:bookmarkEnd w:id="0"/>
    </w:p>
    <w:p w14:paraId="36D73F8A" w14:textId="3B77C507" w:rsidR="00EC2CEA" w:rsidRPr="005E0F27" w:rsidRDefault="00EC2CEA" w:rsidP="00EC2CEA">
      <w:pPr>
        <w:rPr>
          <w:i/>
        </w:rPr>
      </w:pPr>
      <w:r w:rsidRPr="005E0F27">
        <w:rPr>
          <w:i/>
        </w:rPr>
        <w:t>Option B – Independent Statewide Administrator</w:t>
      </w:r>
      <w:r w:rsidR="00BF30D4">
        <w:rPr>
          <w:i/>
        </w:rPr>
        <w:t xml:space="preserve"> (ISA)</w:t>
      </w:r>
    </w:p>
    <w:p w14:paraId="7D3905C3" w14:textId="77777777" w:rsidR="005C0996" w:rsidRDefault="005C0996" w:rsidP="00EC2CEA"/>
    <w:p w14:paraId="29CDA5A5" w14:textId="4E020370" w:rsidR="00CB4623" w:rsidRDefault="00CB4623" w:rsidP="00EC2CEA">
      <w:r w:rsidRPr="00CB4623">
        <w:t>Beckie Menten</w:t>
      </w:r>
      <w:r>
        <w:t xml:space="preserve"> (</w:t>
      </w:r>
      <w:r w:rsidRPr="00CB4623">
        <w:t>Center for Sustainable Energy</w:t>
      </w:r>
      <w:r>
        <w:t>), Lara Ettenson (Natural Resources Defense Council), and D. Buch</w:t>
      </w:r>
      <w:r w:rsidR="007C3C83">
        <w:t xml:space="preserve"> </w:t>
      </w:r>
      <w:r w:rsidR="007C3C83" w:rsidRPr="00063950">
        <w:t xml:space="preserve">(California Public Advocates Office) </w:t>
      </w:r>
      <w:r>
        <w:t xml:space="preserve"> provided the rationale for and answered clarifying questions on employing an Independent Statewide Administrator</w:t>
      </w:r>
      <w:r w:rsidR="002A3A5E">
        <w:t xml:space="preserve"> </w:t>
      </w:r>
      <w:r>
        <w:t>(</w:t>
      </w:r>
      <w:r w:rsidR="002A3A5E">
        <w:t>ISA</w:t>
      </w:r>
      <w:r>
        <w:t>) as the MT Administrator.</w:t>
      </w:r>
      <w:r w:rsidR="005E0F27">
        <w:t xml:space="preserve"> </w:t>
      </w:r>
    </w:p>
    <w:p w14:paraId="5F6C8CDD" w14:textId="6264F398" w:rsidR="007F2D7C" w:rsidRDefault="007F2D7C" w:rsidP="00EC2CEA"/>
    <w:p w14:paraId="58B8404A" w14:textId="77777777" w:rsidR="007F2D7C" w:rsidRPr="00757743" w:rsidRDefault="007F2D7C" w:rsidP="007F2D7C">
      <w:pPr>
        <w:rPr>
          <w:rFonts w:cstheme="minorHAnsi"/>
        </w:rPr>
      </w:pPr>
      <w:r>
        <w:t>During this discussion, key points of feedback from WG Members included the following:</w:t>
      </w:r>
    </w:p>
    <w:p w14:paraId="0FED0DB9" w14:textId="14342B15" w:rsidR="005E0F27" w:rsidRDefault="005E0F27" w:rsidP="00EC2CEA"/>
    <w:p w14:paraId="306572F0" w14:textId="5F76320C" w:rsidR="005E0F27" w:rsidRDefault="002A3A5E" w:rsidP="00935DF5">
      <w:pPr>
        <w:pStyle w:val="ListParagraph"/>
        <w:numPr>
          <w:ilvl w:val="0"/>
          <w:numId w:val="5"/>
        </w:numPr>
      </w:pPr>
      <w:r>
        <w:t xml:space="preserve">Even if an ISA is employed, the </w:t>
      </w:r>
      <w:r w:rsidR="00BF30D4">
        <w:t xml:space="preserve">existing </w:t>
      </w:r>
      <w:r>
        <w:t>PAs</w:t>
      </w:r>
      <w:r w:rsidR="001A38B5">
        <w:t xml:space="preserve"> w</w:t>
      </w:r>
      <w:r w:rsidR="007F2D7C">
        <w:t>ould</w:t>
      </w:r>
      <w:r w:rsidR="001A38B5">
        <w:t xml:space="preserve"> play a pivotal role in MT, including through </w:t>
      </w:r>
      <w:r w:rsidR="007F2D7C">
        <w:t>the</w:t>
      </w:r>
      <w:r w:rsidR="001A38B5">
        <w:t xml:space="preserve"> sharing</w:t>
      </w:r>
      <w:r w:rsidR="007F2D7C">
        <w:t xml:space="preserve"> of dat</w:t>
      </w:r>
      <w:r w:rsidR="00EF7685">
        <w:t>a</w:t>
      </w:r>
      <w:r w:rsidR="001A38B5">
        <w:t xml:space="preserve"> and </w:t>
      </w:r>
      <w:r w:rsidR="00EF7685">
        <w:t>by</w:t>
      </w:r>
      <w:r w:rsidR="001A38B5">
        <w:t xml:space="preserve"> leveraging </w:t>
      </w:r>
      <w:r w:rsidR="00EF7685">
        <w:t>their relationships with key market actors</w:t>
      </w:r>
      <w:r w:rsidR="00BF30D4">
        <w:t>, and being on the MT Advisory Board</w:t>
      </w:r>
      <w:r w:rsidR="00EF7685">
        <w:t>.</w:t>
      </w:r>
    </w:p>
    <w:p w14:paraId="06C0F518" w14:textId="24C700C5" w:rsidR="001A38B5" w:rsidRDefault="001A38B5" w:rsidP="00935DF5">
      <w:pPr>
        <w:pStyle w:val="ListParagraph"/>
        <w:numPr>
          <w:ilvl w:val="0"/>
          <w:numId w:val="5"/>
        </w:numPr>
      </w:pPr>
      <w:r>
        <w:t>Under</w:t>
      </w:r>
      <w:r w:rsidR="003A17DF">
        <w:t xml:space="preserve"> the</w:t>
      </w:r>
      <w:r>
        <w:t xml:space="preserve"> ISA model, the investor-owned utilities (IOUs) could propose MTIs</w:t>
      </w:r>
      <w:r w:rsidR="002E214E">
        <w:t>.</w:t>
      </w:r>
    </w:p>
    <w:p w14:paraId="75045A28" w14:textId="3E4AC9B6" w:rsidR="00EF7685" w:rsidRDefault="00EF7685" w:rsidP="00935DF5">
      <w:pPr>
        <w:pStyle w:val="ListParagraph"/>
        <w:numPr>
          <w:ilvl w:val="0"/>
          <w:numId w:val="5"/>
        </w:numPr>
      </w:pPr>
      <w:r>
        <w:t xml:space="preserve">The ISA could play a more or less active </w:t>
      </w:r>
      <w:r w:rsidR="00BF30D4">
        <w:t xml:space="preserve">ideation </w:t>
      </w:r>
      <w:r>
        <w:t>role depending on the MTI in question.</w:t>
      </w:r>
    </w:p>
    <w:p w14:paraId="5CE02F4F" w14:textId="43EE1740" w:rsidR="001A38B5" w:rsidRDefault="001A38B5" w:rsidP="001A38B5"/>
    <w:p w14:paraId="1FFEDE00" w14:textId="243A8118" w:rsidR="001A38B5" w:rsidRPr="00472F24" w:rsidRDefault="00572DB1" w:rsidP="001A38B5">
      <w:pPr>
        <w:rPr>
          <w:i/>
        </w:rPr>
      </w:pPr>
      <w:r>
        <w:rPr>
          <w:i/>
        </w:rPr>
        <w:t xml:space="preserve">Informal </w:t>
      </w:r>
      <w:r w:rsidR="00472F24" w:rsidRPr="00472F24">
        <w:rPr>
          <w:i/>
        </w:rPr>
        <w:t xml:space="preserve">Straw Poll and </w:t>
      </w:r>
      <w:r w:rsidR="001A38B5" w:rsidRPr="00472F24">
        <w:rPr>
          <w:i/>
        </w:rPr>
        <w:t>General Discussion</w:t>
      </w:r>
    </w:p>
    <w:p w14:paraId="3A133A6C" w14:textId="77777777" w:rsidR="001A38B5" w:rsidRDefault="001A38B5" w:rsidP="00EC2CEA"/>
    <w:p w14:paraId="3F64A2FA" w14:textId="47DE6DF2" w:rsidR="00AA5561" w:rsidRDefault="001A38B5" w:rsidP="00472F24">
      <w:r>
        <w:t>Following these presentations and clari</w:t>
      </w:r>
      <w:r w:rsidR="00472F24">
        <w:t>f</w:t>
      </w:r>
      <w:r>
        <w:t xml:space="preserve">ying questions, </w:t>
      </w:r>
      <w:r w:rsidR="00472F24">
        <w:t>J. Raab conducted an informal straw poll to gauge the level of support for each proposal. The WG was roughly split in its support</w:t>
      </w:r>
      <w:r w:rsidR="00BF30D4">
        <w:t xml:space="preserve"> of the two approaches</w:t>
      </w:r>
      <w:r w:rsidR="00472F24">
        <w:t xml:space="preserve">. </w:t>
      </w:r>
    </w:p>
    <w:p w14:paraId="60836E40" w14:textId="77777777" w:rsidR="00AA5561" w:rsidRDefault="00AA5561" w:rsidP="00472F24"/>
    <w:p w14:paraId="567FC7A2" w14:textId="2DAF6ED2" w:rsidR="00AA5561" w:rsidRDefault="00472F24" w:rsidP="00472F24">
      <w:r>
        <w:t>T</w:t>
      </w:r>
      <w:r w:rsidR="001A38B5">
        <w:t xml:space="preserve">he WG </w:t>
      </w:r>
      <w:r>
        <w:t xml:space="preserve">then </w:t>
      </w:r>
      <w:r w:rsidR="001A38B5">
        <w:t xml:space="preserve">discussed potential ways to </w:t>
      </w:r>
      <w:r w:rsidR="00BF30D4">
        <w:t xml:space="preserve">potentially </w:t>
      </w:r>
      <w:r w:rsidR="001A38B5">
        <w:t xml:space="preserve">bridge the </w:t>
      </w:r>
      <w:r>
        <w:t xml:space="preserve">gap </w:t>
      </w:r>
      <w:r w:rsidR="001A38B5">
        <w:t>between the two proposals</w:t>
      </w:r>
      <w:r>
        <w:t xml:space="preserve"> and to find ways that each proposal could be modified to become more palatable to the overall WG. </w:t>
      </w:r>
      <w:r w:rsidR="00AA5561">
        <w:t xml:space="preserve">As part of this discussion, two additional administrative models were </w:t>
      </w:r>
      <w:r w:rsidR="00D07EB9">
        <w:t>surfaced:</w:t>
      </w:r>
    </w:p>
    <w:p w14:paraId="33B65612" w14:textId="77777777" w:rsidR="00AA5561" w:rsidRDefault="00AA5561" w:rsidP="00472F24"/>
    <w:p w14:paraId="1A33E459" w14:textId="16B6AE4C" w:rsidR="00AA5561" w:rsidRDefault="00AA5561" w:rsidP="00935DF5">
      <w:pPr>
        <w:pStyle w:val="ListParagraph"/>
        <w:numPr>
          <w:ilvl w:val="0"/>
          <w:numId w:val="6"/>
        </w:numPr>
      </w:pPr>
      <w:r>
        <w:t xml:space="preserve">A hybrid model, wherein the roles and responsibilities would be split or bifurcated between the </w:t>
      </w:r>
      <w:r w:rsidR="00BF30D4">
        <w:t xml:space="preserve">existing </w:t>
      </w:r>
      <w:r>
        <w:t>PAs and an ISA. This concept had limited-to-no support.</w:t>
      </w:r>
    </w:p>
    <w:p w14:paraId="114DC86B" w14:textId="6574A0E0" w:rsidR="00AA5561" w:rsidRDefault="00AA5561" w:rsidP="00935DF5">
      <w:pPr>
        <w:pStyle w:val="ListParagraph"/>
        <w:numPr>
          <w:ilvl w:val="0"/>
          <w:numId w:val="6"/>
        </w:numPr>
      </w:pPr>
      <w:r>
        <w:t xml:space="preserve">One </w:t>
      </w:r>
      <w:r w:rsidR="00BF30D4">
        <w:t>existing PA</w:t>
      </w:r>
      <w:r>
        <w:t xml:space="preserve"> administrator </w:t>
      </w:r>
      <w:r w:rsidR="00BF30D4">
        <w:t>who would work statewide</w:t>
      </w:r>
      <w:r w:rsidR="005D133C">
        <w:t>.</w:t>
      </w:r>
      <w:r w:rsidR="00095089">
        <w:t xml:space="preserve"> </w:t>
      </w:r>
      <w:r w:rsidR="00095089" w:rsidRPr="00095089">
        <w:t>Athena Besa</w:t>
      </w:r>
      <w:r w:rsidR="00095089">
        <w:t xml:space="preserve"> (San Diego Gas &amp; Electric) said this recommendation has been considered in the past. The WG </w:t>
      </w:r>
      <w:r w:rsidR="00792943">
        <w:t xml:space="preserve">acknowledged that this model </w:t>
      </w:r>
      <w:r w:rsidR="00BF30D4">
        <w:t>c</w:t>
      </w:r>
      <w:r w:rsidR="00792943">
        <w:t>ould have some operational benefits</w:t>
      </w:r>
      <w:r w:rsidR="00BF30D4">
        <w:t xml:space="preserve"> over multiple existing PA administrators</w:t>
      </w:r>
      <w:r w:rsidR="00792943">
        <w:t>.</w:t>
      </w:r>
      <w:r w:rsidR="00BF30D4">
        <w:t xml:space="preserve">  However, numerous WG members pointed out that this would still not be an independent administrator. </w:t>
      </w:r>
      <w:r w:rsidR="00792943">
        <w:br/>
      </w:r>
    </w:p>
    <w:p w14:paraId="5AEBB790" w14:textId="624AA81D" w:rsidR="005F10D6" w:rsidRPr="005F10D6" w:rsidRDefault="005F10D6" w:rsidP="005F10D6">
      <w:pPr>
        <w:ind w:left="360"/>
        <w:rPr>
          <w:rFonts w:cstheme="minorHAnsi"/>
        </w:rPr>
      </w:pPr>
      <w:r>
        <w:t>Other key points of feedback from WG Members included the following:</w:t>
      </w:r>
    </w:p>
    <w:p w14:paraId="7732AFFD" w14:textId="77777777" w:rsidR="00472F24" w:rsidRDefault="00472F24" w:rsidP="00472F24"/>
    <w:p w14:paraId="72BB9DAD" w14:textId="0DC248D3" w:rsidR="00472F24" w:rsidRPr="00383ADD" w:rsidRDefault="007B6231" w:rsidP="00935DF5">
      <w:pPr>
        <w:pStyle w:val="ListParagraph"/>
        <w:numPr>
          <w:ilvl w:val="0"/>
          <w:numId w:val="5"/>
        </w:numPr>
      </w:pPr>
      <w:r>
        <w:t xml:space="preserve">The ISA proposal </w:t>
      </w:r>
      <w:r w:rsidR="00383ADD">
        <w:t>raises concerns for the IOUs in four main areas</w:t>
      </w:r>
      <w:r>
        <w:t xml:space="preserve">: (1) </w:t>
      </w:r>
      <w:r w:rsidR="005F10D6">
        <w:t xml:space="preserve">Budget management; </w:t>
      </w:r>
      <w:r>
        <w:t xml:space="preserve">(2) Coordination and integration </w:t>
      </w:r>
      <w:r w:rsidR="005F10D6">
        <w:t xml:space="preserve">of MT </w:t>
      </w:r>
      <w:r>
        <w:t xml:space="preserve">with the Rolling Portfolio, Resource </w:t>
      </w:r>
      <w:r w:rsidR="00383ADD">
        <w:t>Acquisition</w:t>
      </w:r>
      <w:r>
        <w:t xml:space="preserve"> prog</w:t>
      </w:r>
      <w:r w:rsidR="00383ADD">
        <w:t>r</w:t>
      </w:r>
      <w:r>
        <w:t xml:space="preserve">ams, </w:t>
      </w:r>
      <w:r w:rsidR="005F10D6">
        <w:t>C</w:t>
      </w:r>
      <w:r>
        <w:t xml:space="preserve">odes and </w:t>
      </w:r>
      <w:r w:rsidR="005F10D6">
        <w:t>S</w:t>
      </w:r>
      <w:r>
        <w:t>tandards, and I</w:t>
      </w:r>
      <w:r w:rsidR="00383ADD">
        <w:t>ntegrated Resource Planning;</w:t>
      </w:r>
      <w:r>
        <w:t xml:space="preserve"> (3) </w:t>
      </w:r>
      <w:r w:rsidR="00383ADD">
        <w:t>IOU r</w:t>
      </w:r>
      <w:r>
        <w:t>esponsibilities</w:t>
      </w:r>
      <w:r w:rsidR="00383ADD">
        <w:t xml:space="preserve"> for meeting savings, outsourcing, and cost-effective requirements; and</w:t>
      </w:r>
      <w:r>
        <w:t xml:space="preserve"> (4) </w:t>
      </w:r>
      <w:r w:rsidR="00383ADD">
        <w:t>Commission management</w:t>
      </w:r>
      <w:r w:rsidR="005F10D6">
        <w:t xml:space="preserve"> of a new entity, including related </w:t>
      </w:r>
      <w:r w:rsidR="00383ADD">
        <w:t xml:space="preserve">rules </w:t>
      </w:r>
      <w:r w:rsidR="005F10D6">
        <w:t>and regulations.</w:t>
      </w:r>
    </w:p>
    <w:p w14:paraId="4B9F187D" w14:textId="1EBE09C6" w:rsidR="00AA5561" w:rsidRDefault="00AA5561" w:rsidP="00935DF5">
      <w:pPr>
        <w:pStyle w:val="ListParagraph"/>
        <w:numPr>
          <w:ilvl w:val="0"/>
          <w:numId w:val="5"/>
        </w:numPr>
      </w:pPr>
      <w:r>
        <w:t>Each administration model presents unique coordination challenges.</w:t>
      </w:r>
    </w:p>
    <w:p w14:paraId="58873FE9" w14:textId="005995B3" w:rsidR="005F10D6" w:rsidRDefault="00383ADD" w:rsidP="00935DF5">
      <w:pPr>
        <w:pStyle w:val="ListParagraph"/>
        <w:numPr>
          <w:ilvl w:val="0"/>
          <w:numId w:val="5"/>
        </w:numPr>
      </w:pPr>
      <w:r w:rsidRPr="005F10D6">
        <w:t xml:space="preserve">The involvement of the PAs on the MT Advisory Board and/or as proposers of MTIs may </w:t>
      </w:r>
      <w:r w:rsidR="005F10D6" w:rsidRPr="005F10D6">
        <w:t xml:space="preserve">help to address </w:t>
      </w:r>
      <w:r w:rsidR="00BF30D4">
        <w:t xml:space="preserve">some of </w:t>
      </w:r>
      <w:r w:rsidR="005F10D6" w:rsidRPr="005F10D6">
        <w:t>the</w:t>
      </w:r>
      <w:r w:rsidR="00BF30D4">
        <w:t xml:space="preserve"> PAs</w:t>
      </w:r>
      <w:r w:rsidR="005F10D6" w:rsidRPr="005F10D6">
        <w:t xml:space="preserve"> concerns with the ISA model.</w:t>
      </w:r>
    </w:p>
    <w:p w14:paraId="772AB02E" w14:textId="57ABB93E" w:rsidR="00383ADD" w:rsidRPr="005F10D6" w:rsidRDefault="00383ADD" w:rsidP="00935DF5">
      <w:pPr>
        <w:pStyle w:val="ListParagraph"/>
        <w:numPr>
          <w:ilvl w:val="0"/>
          <w:numId w:val="5"/>
        </w:numPr>
      </w:pPr>
      <w:r>
        <w:t xml:space="preserve">There may be legal or regulatory obstacles to the ISA model that </w:t>
      </w:r>
      <w:r w:rsidR="005F10D6">
        <w:t>w</w:t>
      </w:r>
      <w:r>
        <w:t>ould require Commission or legislative action.</w:t>
      </w:r>
    </w:p>
    <w:p w14:paraId="5303110C" w14:textId="75433635" w:rsidR="00240B21" w:rsidRDefault="00240B21" w:rsidP="00240B21"/>
    <w:p w14:paraId="2E837994" w14:textId="04DBF305" w:rsidR="00240B21" w:rsidRDefault="00240B21" w:rsidP="00240B21">
      <w:r>
        <w:t xml:space="preserve">Action items are captured in the </w:t>
      </w:r>
      <w:r w:rsidRPr="008C7824">
        <w:t>Next Steps</w:t>
      </w:r>
      <w:r>
        <w:t xml:space="preserve"> section </w:t>
      </w:r>
      <w:r w:rsidRPr="008C7824">
        <w:t>of this document</w:t>
      </w:r>
      <w:r>
        <w:t>.</w:t>
      </w:r>
    </w:p>
    <w:p w14:paraId="3E40B2C5" w14:textId="26D6C8A1" w:rsidR="00E45A7D" w:rsidRDefault="00E45A7D" w:rsidP="008063B1">
      <w:pPr>
        <w:rPr>
          <w:rFonts w:cs="Times New Roman (Body CS)"/>
          <w:b/>
          <w:smallCaps/>
          <w:sz w:val="26"/>
          <w:szCs w:val="26"/>
        </w:rPr>
      </w:pPr>
    </w:p>
    <w:p w14:paraId="13C5C1B3" w14:textId="157411C6" w:rsidR="00866E95" w:rsidRDefault="00201FEB" w:rsidP="008063B1">
      <w:pPr>
        <w:rPr>
          <w:rFonts w:cs="Times New Roman (Body CS)"/>
          <w:b/>
          <w:smallCaps/>
          <w:sz w:val="26"/>
          <w:szCs w:val="26"/>
        </w:rPr>
      </w:pPr>
      <w:r w:rsidRPr="00201FEB">
        <w:rPr>
          <w:rFonts w:cs="Times New Roman (Body CS)"/>
          <w:b/>
          <w:smallCaps/>
          <w:sz w:val="26"/>
          <w:szCs w:val="26"/>
        </w:rPr>
        <w:t>Other MT Framework Issues</w:t>
      </w:r>
    </w:p>
    <w:p w14:paraId="5C54EFB2" w14:textId="7377310F" w:rsidR="00866E95" w:rsidRDefault="00866E95" w:rsidP="008063B1">
      <w:pPr>
        <w:rPr>
          <w:rFonts w:cs="Times New Roman (Body CS)"/>
          <w:smallCaps/>
        </w:rPr>
      </w:pPr>
    </w:p>
    <w:p w14:paraId="22171E63" w14:textId="74406E27" w:rsidR="00F31C26" w:rsidRDefault="00FE590C" w:rsidP="008063B1">
      <w:r>
        <w:t xml:space="preserve">The WG </w:t>
      </w:r>
      <w:r w:rsidR="006C2E44">
        <w:t>discussed the</w:t>
      </w:r>
      <w:r>
        <w:t xml:space="preserve"> interplay between MT and Resource Acquisition</w:t>
      </w:r>
      <w:r w:rsidR="004F14C2">
        <w:t xml:space="preserve"> (RA)</w:t>
      </w:r>
      <w:r>
        <w:t xml:space="preserve"> programs</w:t>
      </w:r>
      <w:r w:rsidR="00F31C26">
        <w:t>, c</w:t>
      </w:r>
      <w:r w:rsidR="00F31C26" w:rsidRPr="00F31C26">
        <w:t xml:space="preserve">odes and </w:t>
      </w:r>
      <w:r w:rsidR="00F31C26">
        <w:t>s</w:t>
      </w:r>
      <w:r w:rsidR="00F31C26" w:rsidRPr="00F31C26">
        <w:t>tandards, and</w:t>
      </w:r>
      <w:r w:rsidR="00F31C26">
        <w:t xml:space="preserve"> the</w:t>
      </w:r>
      <w:r w:rsidR="00F31C26" w:rsidRPr="00F31C26">
        <w:t xml:space="preserve"> </w:t>
      </w:r>
      <w:r w:rsidR="00F31C26">
        <w:t>m</w:t>
      </w:r>
      <w:r w:rsidR="00F31C26" w:rsidRPr="00F31C26">
        <w:t xml:space="preserve">ovement to </w:t>
      </w:r>
      <w:r w:rsidR="00F31C26">
        <w:t>t</w:t>
      </w:r>
      <w:r w:rsidR="00F31C26" w:rsidRPr="00F31C26">
        <w:t>hird-</w:t>
      </w:r>
      <w:r w:rsidR="00F31C26">
        <w:t>p</w:t>
      </w:r>
      <w:r w:rsidR="00F31C26" w:rsidRPr="00F31C26">
        <w:t xml:space="preserve">arty </w:t>
      </w:r>
      <w:r w:rsidR="00F31C26">
        <w:t>i</w:t>
      </w:r>
      <w:r w:rsidR="00F31C26" w:rsidRPr="00F31C26">
        <w:t>mplementation</w:t>
      </w:r>
      <w:r>
        <w:t xml:space="preserve">. It </w:t>
      </w:r>
      <w:r w:rsidR="006F23F9">
        <w:t>identified</w:t>
      </w:r>
      <w:r w:rsidR="00F31C26">
        <w:t xml:space="preserve"> </w:t>
      </w:r>
      <w:r w:rsidR="006F23F9">
        <w:t>the</w:t>
      </w:r>
      <w:r w:rsidR="00F31C26">
        <w:t xml:space="preserve"> </w:t>
      </w:r>
      <w:r w:rsidR="00035635">
        <w:t xml:space="preserve">following </w:t>
      </w:r>
      <w:r w:rsidR="006F23F9">
        <w:t>questions:</w:t>
      </w:r>
    </w:p>
    <w:p w14:paraId="1742320E" w14:textId="61870865" w:rsidR="00035635" w:rsidRDefault="00035635" w:rsidP="008063B1"/>
    <w:p w14:paraId="4764D3F8" w14:textId="6ABD94A9" w:rsidR="00BF30D4" w:rsidRDefault="00BF30D4" w:rsidP="00BF30D4">
      <w:pPr>
        <w:pStyle w:val="ListParagraph"/>
        <w:numPr>
          <w:ilvl w:val="0"/>
          <w:numId w:val="5"/>
        </w:numPr>
      </w:pPr>
      <w:r>
        <w:t>What is the relationship between MT and RA over the short- and long-term?</w:t>
      </w:r>
    </w:p>
    <w:p w14:paraId="1459E535" w14:textId="7ADE90C5" w:rsidR="00035635" w:rsidRDefault="00035635" w:rsidP="00035635">
      <w:pPr>
        <w:pStyle w:val="ListParagraph"/>
        <w:numPr>
          <w:ilvl w:val="0"/>
          <w:numId w:val="5"/>
        </w:numPr>
      </w:pPr>
      <w:r>
        <w:t>How will MT impact third-party programs and contracts?</w:t>
      </w:r>
    </w:p>
    <w:p w14:paraId="05BD3A1E" w14:textId="4377BCC3" w:rsidR="00035635" w:rsidRDefault="00035635" w:rsidP="00035635">
      <w:pPr>
        <w:pStyle w:val="ListParagraph"/>
        <w:numPr>
          <w:ilvl w:val="0"/>
          <w:numId w:val="5"/>
        </w:numPr>
      </w:pPr>
      <w:r>
        <w:lastRenderedPageBreak/>
        <w:t>How will costs and savings be attributed when it comes to cost-effectiveness</w:t>
      </w:r>
      <w:r w:rsidR="00BF30D4">
        <w:t>, meeting goals, and shareholder incentives</w:t>
      </w:r>
      <w:r>
        <w:t>?</w:t>
      </w:r>
    </w:p>
    <w:p w14:paraId="37AB6F5A" w14:textId="54C0DBCD" w:rsidR="00035635" w:rsidRDefault="00035635" w:rsidP="00035635">
      <w:pPr>
        <w:pStyle w:val="ListParagraph"/>
        <w:numPr>
          <w:ilvl w:val="0"/>
          <w:numId w:val="5"/>
        </w:numPr>
      </w:pPr>
      <w:r>
        <w:t>How do we ensure that MTIs are informed by the needs of the Rolling Portfolio?</w:t>
      </w:r>
    </w:p>
    <w:p w14:paraId="3200D00C" w14:textId="008316B0" w:rsidR="004F14C2" w:rsidRDefault="004F14C2" w:rsidP="00035635">
      <w:pPr>
        <w:pStyle w:val="ListParagraph"/>
        <w:numPr>
          <w:ilvl w:val="0"/>
          <w:numId w:val="5"/>
        </w:numPr>
      </w:pPr>
      <w:r>
        <w:t xml:space="preserve">How does MT impact an evolving energy system </w:t>
      </w:r>
      <w:r w:rsidR="006C4404">
        <w:t xml:space="preserve">that is </w:t>
      </w:r>
      <w:r>
        <w:t xml:space="preserve">shaped by </w:t>
      </w:r>
      <w:r w:rsidR="006C4404">
        <w:t xml:space="preserve">the proliferation of </w:t>
      </w:r>
      <w:r>
        <w:t>other distributed energy resources?</w:t>
      </w:r>
    </w:p>
    <w:p w14:paraId="55E16E1D" w14:textId="5DF1963B" w:rsidR="004F14C2" w:rsidRDefault="004F14C2" w:rsidP="00035635">
      <w:pPr>
        <w:pStyle w:val="ListParagraph"/>
        <w:numPr>
          <w:ilvl w:val="0"/>
          <w:numId w:val="5"/>
        </w:numPr>
      </w:pPr>
      <w:r>
        <w:t>How should other proceedings</w:t>
      </w:r>
      <w:r w:rsidR="006F23F9">
        <w:t xml:space="preserve"> (like the </w:t>
      </w:r>
      <w:r w:rsidR="006F23F9" w:rsidRPr="006F23F9">
        <w:t>Integrated Distributed Energy Resources</w:t>
      </w:r>
      <w:r w:rsidR="006F23F9">
        <w:t xml:space="preserve"> proceeding)</w:t>
      </w:r>
      <w:r>
        <w:t xml:space="preserve"> inform MT?</w:t>
      </w:r>
    </w:p>
    <w:p w14:paraId="097CD448" w14:textId="77777777" w:rsidR="006F23F9" w:rsidRDefault="004F14C2" w:rsidP="00035635">
      <w:pPr>
        <w:pStyle w:val="ListParagraph"/>
        <w:numPr>
          <w:ilvl w:val="0"/>
          <w:numId w:val="5"/>
        </w:numPr>
      </w:pPr>
      <w:r>
        <w:t>Will MT only happen through the MT framework or in other areas too?</w:t>
      </w:r>
    </w:p>
    <w:p w14:paraId="4B5ABB10" w14:textId="77777777" w:rsidR="006F23F9" w:rsidRDefault="006F23F9" w:rsidP="006F23F9"/>
    <w:p w14:paraId="47BD27CD" w14:textId="32FD5914" w:rsidR="00035635" w:rsidRDefault="006F23F9" w:rsidP="008063B1">
      <w:r>
        <w:t>The WG</w:t>
      </w:r>
      <w:r w:rsidR="004F14C2">
        <w:t xml:space="preserve"> </w:t>
      </w:r>
      <w:r>
        <w:t xml:space="preserve">agreed that these topics are ripe for further conversation </w:t>
      </w:r>
      <w:r w:rsidR="00BF30D4">
        <w:t xml:space="preserve">through a new MT </w:t>
      </w:r>
      <w:r w:rsidR="005D133C">
        <w:t>S</w:t>
      </w:r>
      <w:r w:rsidR="00BF30D4">
        <w:t>ub-group</w:t>
      </w:r>
      <w:r w:rsidR="005D133C">
        <w:t xml:space="preserve"> </w:t>
      </w:r>
      <w:r>
        <w:t xml:space="preserve">and should be expanded upon in </w:t>
      </w:r>
      <w:r w:rsidR="006C4404">
        <w:t xml:space="preserve">a </w:t>
      </w:r>
      <w:r>
        <w:t>one-to-</w:t>
      </w:r>
      <w:r w:rsidR="00A73E4F">
        <w:t>two-page</w:t>
      </w:r>
      <w:r w:rsidR="006C4404">
        <w:t xml:space="preserve"> section in the report. </w:t>
      </w:r>
      <w:r w:rsidR="000F433C">
        <w:t xml:space="preserve">Action items are captured in the </w:t>
      </w:r>
      <w:r w:rsidR="000F433C" w:rsidRPr="008C7824">
        <w:t>Next Steps</w:t>
      </w:r>
      <w:r w:rsidR="000F433C">
        <w:t xml:space="preserve"> section </w:t>
      </w:r>
      <w:r w:rsidR="000F433C" w:rsidRPr="008C7824">
        <w:t>of this document</w:t>
      </w:r>
      <w:r w:rsidR="000F433C">
        <w:t>.</w:t>
      </w:r>
    </w:p>
    <w:p w14:paraId="5318A970" w14:textId="7429183C" w:rsidR="00035635" w:rsidRDefault="00035635" w:rsidP="008063B1"/>
    <w:p w14:paraId="3B993194" w14:textId="7282D334" w:rsidR="00201FEB" w:rsidRPr="000F433C" w:rsidRDefault="0087493A" w:rsidP="008063B1">
      <w:pPr>
        <w:rPr>
          <w:rFonts w:cs="Times New Roman (Body CS)"/>
          <w:smallCaps/>
        </w:rPr>
      </w:pPr>
      <w:r w:rsidRPr="00DC28ED">
        <w:rPr>
          <w:rFonts w:cs="Times New Roman (Body CS)"/>
          <w:u w:val="single"/>
        </w:rPr>
        <w:t>MT Budget-related Issues</w:t>
      </w:r>
    </w:p>
    <w:p w14:paraId="1C0BBF1D" w14:textId="3A08B0CF" w:rsidR="00201FEB" w:rsidRPr="00DC28ED" w:rsidRDefault="00201FEB" w:rsidP="008063B1">
      <w:pPr>
        <w:rPr>
          <w:rFonts w:cs="Times New Roman (Body CS)"/>
          <w:smallCaps/>
        </w:rPr>
      </w:pPr>
    </w:p>
    <w:p w14:paraId="7A73D4BB" w14:textId="4B15D114" w:rsidR="0087493A" w:rsidRPr="00881765" w:rsidRDefault="00DC28ED" w:rsidP="008063B1">
      <w:pPr>
        <w:rPr>
          <w:rFonts w:cs="Times New Roman (Body CS)"/>
        </w:rPr>
      </w:pPr>
      <w:r w:rsidRPr="00881765">
        <w:rPr>
          <w:rFonts w:cs="Times New Roman (Body CS)"/>
        </w:rPr>
        <w:t>Due to time constraints, budget-related issues were not discussed</w:t>
      </w:r>
      <w:r w:rsidR="00FC546F" w:rsidRPr="00881765">
        <w:rPr>
          <w:rFonts w:cs="Times New Roman (Body CS)"/>
        </w:rPr>
        <w:t xml:space="preserve">. </w:t>
      </w:r>
      <w:r w:rsidR="003157B2" w:rsidRPr="00881765">
        <w:t>Action</w:t>
      </w:r>
      <w:r w:rsidR="00FC546F" w:rsidRPr="00881765">
        <w:t xml:space="preserve"> items </w:t>
      </w:r>
      <w:r w:rsidR="00BC53D7" w:rsidRPr="00881765">
        <w:t>a</w:t>
      </w:r>
      <w:r w:rsidR="00FC546F" w:rsidRPr="00881765">
        <w:t>re captured in the Next Steps section of this document.</w:t>
      </w:r>
    </w:p>
    <w:p w14:paraId="61F9ED90" w14:textId="77777777" w:rsidR="0087493A" w:rsidRPr="00881765" w:rsidRDefault="0087493A" w:rsidP="008063B1">
      <w:pPr>
        <w:rPr>
          <w:rFonts w:cs="Times New Roman (Body CS)"/>
          <w:b/>
          <w:smallCaps/>
          <w:sz w:val="26"/>
          <w:szCs w:val="26"/>
        </w:rPr>
      </w:pPr>
    </w:p>
    <w:p w14:paraId="3DEABCF3" w14:textId="5054313C" w:rsidR="004A6256" w:rsidRPr="00335BF3" w:rsidRDefault="00335BF3" w:rsidP="00282A25">
      <w:pPr>
        <w:rPr>
          <w:rFonts w:cs="Times New Roman (Body CS)"/>
          <w:b/>
          <w:bCs/>
          <w:smallCaps/>
          <w:sz w:val="26"/>
          <w:szCs w:val="26"/>
        </w:rPr>
      </w:pPr>
      <w:r w:rsidRPr="00881765">
        <w:rPr>
          <w:rFonts w:cs="Times New Roman (Body CS)"/>
          <w:b/>
          <w:smallCaps/>
          <w:sz w:val="26"/>
          <w:szCs w:val="23"/>
        </w:rPr>
        <w:t>MT Cost-Effectiveness Framework</w:t>
      </w:r>
    </w:p>
    <w:p w14:paraId="70FD9BB1" w14:textId="6221A42D" w:rsidR="00E04A1C" w:rsidRDefault="00E04A1C" w:rsidP="00282A25">
      <w:pPr>
        <w:rPr>
          <w:rFonts w:cs="Times New Roman (Body CS)"/>
          <w:b/>
          <w:bCs/>
          <w:smallCaps/>
          <w:sz w:val="26"/>
          <w:szCs w:val="26"/>
        </w:rPr>
      </w:pPr>
    </w:p>
    <w:p w14:paraId="3FA43D45" w14:textId="037CB88E" w:rsidR="00AD7B5D" w:rsidRDefault="007A2F59" w:rsidP="00282A25">
      <w:pPr>
        <w:rPr>
          <w:rFonts w:cs="Times New Roman (Body CS)"/>
          <w:bCs/>
        </w:rPr>
      </w:pPr>
      <w:r>
        <w:rPr>
          <w:rFonts w:cs="Times New Roman (Body CS)"/>
          <w:bCs/>
        </w:rPr>
        <w:t>H. Goodson summarized and answered clarifying questions on the Cost-Effectiveness Sub-Group</w:t>
      </w:r>
      <w:r w:rsidR="00CF1796">
        <w:rPr>
          <w:rFonts w:cs="Times New Roman (Body CS)"/>
          <w:bCs/>
        </w:rPr>
        <w:t xml:space="preserve">’s </w:t>
      </w:r>
      <w:r w:rsidR="00F64D1F">
        <w:rPr>
          <w:rFonts w:cs="Times New Roman (Body CS)"/>
          <w:bCs/>
        </w:rPr>
        <w:t xml:space="preserve">three main </w:t>
      </w:r>
      <w:r w:rsidR="00CF1796">
        <w:rPr>
          <w:rFonts w:cs="Times New Roman (Body CS)"/>
          <w:bCs/>
        </w:rPr>
        <w:t>recommendations</w:t>
      </w:r>
      <w:r>
        <w:rPr>
          <w:rFonts w:cs="Times New Roman (Body CS)"/>
          <w:bCs/>
        </w:rPr>
        <w:t xml:space="preserve">: </w:t>
      </w:r>
      <w:r w:rsidRPr="007A2F59">
        <w:rPr>
          <w:rFonts w:cs="Times New Roman (Body CS)"/>
          <w:bCs/>
        </w:rPr>
        <w:t xml:space="preserve">(1) </w:t>
      </w:r>
      <w:r w:rsidR="00814760">
        <w:rPr>
          <w:rFonts w:cs="Times New Roman (Body CS)"/>
          <w:bCs/>
        </w:rPr>
        <w:t>to c</w:t>
      </w:r>
      <w:r w:rsidRPr="007A2F59">
        <w:rPr>
          <w:rFonts w:cs="Times New Roman (Body CS)"/>
          <w:bCs/>
        </w:rPr>
        <w:t xml:space="preserve">ount </w:t>
      </w:r>
      <w:r w:rsidR="00814760">
        <w:rPr>
          <w:rFonts w:cs="Times New Roman (Body CS)"/>
          <w:bCs/>
        </w:rPr>
        <w:t>c</w:t>
      </w:r>
      <w:r w:rsidRPr="007A2F59">
        <w:rPr>
          <w:rFonts w:cs="Times New Roman (Body CS)"/>
          <w:bCs/>
        </w:rPr>
        <w:t xml:space="preserve">odes &amp; </w:t>
      </w:r>
      <w:r w:rsidR="00814760">
        <w:rPr>
          <w:rFonts w:cs="Times New Roman (Body CS)"/>
          <w:bCs/>
        </w:rPr>
        <w:t>s</w:t>
      </w:r>
      <w:r w:rsidRPr="007A2F59">
        <w:rPr>
          <w:rFonts w:cs="Times New Roman (Body CS)"/>
          <w:bCs/>
        </w:rPr>
        <w:t xml:space="preserve">tandards </w:t>
      </w:r>
      <w:r w:rsidR="00814760">
        <w:rPr>
          <w:rFonts w:cs="Times New Roman (Body CS)"/>
          <w:bCs/>
        </w:rPr>
        <w:t>s</w:t>
      </w:r>
      <w:r w:rsidRPr="007A2F59">
        <w:rPr>
          <w:rFonts w:cs="Times New Roman (Body CS)"/>
          <w:bCs/>
        </w:rPr>
        <w:t xml:space="preserve">avings and </w:t>
      </w:r>
      <w:r w:rsidR="00814760">
        <w:rPr>
          <w:rFonts w:cs="Times New Roman (Body CS)"/>
          <w:bCs/>
        </w:rPr>
        <w:t>c</w:t>
      </w:r>
      <w:r w:rsidRPr="007A2F59">
        <w:rPr>
          <w:rFonts w:cs="Times New Roman (Body CS)"/>
          <w:bCs/>
        </w:rPr>
        <w:t xml:space="preserve">osts; (2) </w:t>
      </w:r>
      <w:r w:rsidR="00814760">
        <w:rPr>
          <w:rFonts w:cs="Times New Roman (Body CS)"/>
          <w:bCs/>
        </w:rPr>
        <w:t>to expand the timeframe for cost-effectiveness analysis to the expected life of the MTI (plus codes and standards if applicable)</w:t>
      </w:r>
      <w:r w:rsidRPr="007A2F59">
        <w:rPr>
          <w:rFonts w:cs="Times New Roman (Body CS)"/>
          <w:bCs/>
        </w:rPr>
        <w:t xml:space="preserve">; and (3) </w:t>
      </w:r>
      <w:r w:rsidR="00814760">
        <w:rPr>
          <w:rFonts w:cs="Times New Roman (Body CS)"/>
          <w:bCs/>
        </w:rPr>
        <w:t>an MTI specific n</w:t>
      </w:r>
      <w:r w:rsidRPr="007A2F59">
        <w:rPr>
          <w:rFonts w:cs="Times New Roman (Body CS)"/>
          <w:bCs/>
        </w:rPr>
        <w:t>et-to-</w:t>
      </w:r>
      <w:r w:rsidR="00814760">
        <w:rPr>
          <w:rFonts w:cs="Times New Roman (Body CS)"/>
          <w:bCs/>
        </w:rPr>
        <w:t>g</w:t>
      </w:r>
      <w:r w:rsidRPr="007A2F59">
        <w:rPr>
          <w:rFonts w:cs="Times New Roman (Body CS)"/>
          <w:bCs/>
        </w:rPr>
        <w:t>ross methodology</w:t>
      </w:r>
      <w:r>
        <w:rPr>
          <w:rFonts w:cs="Times New Roman (Body CS)"/>
          <w:bCs/>
        </w:rPr>
        <w:t xml:space="preserve"> (see </w:t>
      </w:r>
      <w:r w:rsidR="00814760">
        <w:rPr>
          <w:rFonts w:cs="Times New Roman (Body CS)"/>
          <w:bCs/>
        </w:rPr>
        <w:t>Redlined Compilation</w:t>
      </w:r>
      <w:r>
        <w:rPr>
          <w:rFonts w:cs="Times New Roman (Body CS)"/>
          <w:bCs/>
        </w:rPr>
        <w:t xml:space="preserve">). The WG </w:t>
      </w:r>
      <w:r w:rsidR="00814760">
        <w:rPr>
          <w:rFonts w:cs="Times New Roman (Body CS)"/>
          <w:bCs/>
        </w:rPr>
        <w:t xml:space="preserve">agreed to </w:t>
      </w:r>
      <w:r w:rsidR="00CF1796">
        <w:rPr>
          <w:rFonts w:cs="Times New Roman (Body CS)"/>
          <w:bCs/>
        </w:rPr>
        <w:t xml:space="preserve">the Sub-Group’s </w:t>
      </w:r>
      <w:r w:rsidR="00814760">
        <w:rPr>
          <w:rFonts w:cs="Times New Roman (Body CS)"/>
          <w:bCs/>
        </w:rPr>
        <w:t xml:space="preserve">three cost-effectiveness recommendations for inclusion </w:t>
      </w:r>
      <w:r w:rsidR="00CF1796">
        <w:rPr>
          <w:rFonts w:cs="Times New Roman (Body CS)"/>
          <w:bCs/>
        </w:rPr>
        <w:t>in the report</w:t>
      </w:r>
      <w:r w:rsidR="00240B21">
        <w:rPr>
          <w:rFonts w:cs="Times New Roman (Body CS)"/>
          <w:bCs/>
        </w:rPr>
        <w:t>.</w:t>
      </w:r>
    </w:p>
    <w:p w14:paraId="66D4CBF3" w14:textId="0CA128CF" w:rsidR="00CF1796" w:rsidRDefault="00CF1796" w:rsidP="00282A25">
      <w:pPr>
        <w:rPr>
          <w:rFonts w:cs="Times New Roman (Body CS)"/>
          <w:bCs/>
        </w:rPr>
      </w:pPr>
    </w:p>
    <w:p w14:paraId="5099A6BF" w14:textId="1A81FD95" w:rsidR="00277B7E" w:rsidRDefault="00CF1796" w:rsidP="00282A25">
      <w:pPr>
        <w:rPr>
          <w:rFonts w:cs="Times New Roman (Body CS)"/>
          <w:bCs/>
        </w:rPr>
      </w:pPr>
      <w:r>
        <w:rPr>
          <w:rFonts w:cs="Times New Roman (Body CS)"/>
          <w:bCs/>
        </w:rPr>
        <w:t>The WG then discussed the Sub-Group’s questions and challenges</w:t>
      </w:r>
      <w:r w:rsidRPr="00CF1796">
        <w:rPr>
          <w:rFonts w:cs="Times New Roman (Body CS)"/>
          <w:bCs/>
        </w:rPr>
        <w:t xml:space="preserve"> </w:t>
      </w:r>
      <w:r>
        <w:rPr>
          <w:rFonts w:cs="Times New Roman (Body CS)"/>
          <w:bCs/>
        </w:rPr>
        <w:t>on f</w:t>
      </w:r>
      <w:r w:rsidR="003157B2">
        <w:rPr>
          <w:rFonts w:cs="Times New Roman (Body CS)"/>
          <w:bCs/>
        </w:rPr>
        <w:t>ive</w:t>
      </w:r>
      <w:r>
        <w:rPr>
          <w:rFonts w:cs="Times New Roman (Body CS)"/>
          <w:bCs/>
        </w:rPr>
        <w:t xml:space="preserve"> unresolved issues: (1) </w:t>
      </w:r>
      <w:r w:rsidRPr="00CF1796">
        <w:rPr>
          <w:rFonts w:cs="Times New Roman (Body CS)"/>
          <w:bCs/>
        </w:rPr>
        <w:t>Estimated useful life</w:t>
      </w:r>
      <w:r w:rsidR="00277B7E">
        <w:rPr>
          <w:rFonts w:cs="Times New Roman (Body CS)"/>
          <w:bCs/>
        </w:rPr>
        <w:t xml:space="preserve"> (EUL)</w:t>
      </w:r>
      <w:r>
        <w:rPr>
          <w:rFonts w:cs="Times New Roman (Body CS)"/>
          <w:bCs/>
        </w:rPr>
        <w:t xml:space="preserve">; (2) </w:t>
      </w:r>
      <w:r w:rsidRPr="00CF1796">
        <w:rPr>
          <w:rFonts w:cs="Times New Roman (Body CS)"/>
          <w:bCs/>
        </w:rPr>
        <w:t>Discount rate</w:t>
      </w:r>
      <w:r>
        <w:rPr>
          <w:rFonts w:cs="Times New Roman (Body CS)"/>
          <w:bCs/>
        </w:rPr>
        <w:t xml:space="preserve">; (3) </w:t>
      </w:r>
      <w:r w:rsidRPr="00CF1796">
        <w:rPr>
          <w:rFonts w:cs="Times New Roman (Body CS)"/>
          <w:bCs/>
        </w:rPr>
        <w:t>Contingency Evaluations of Changes to the Energy System</w:t>
      </w:r>
      <w:r>
        <w:rPr>
          <w:rFonts w:cs="Times New Roman (Body CS)"/>
          <w:bCs/>
        </w:rPr>
        <w:t xml:space="preserve">; (4) </w:t>
      </w:r>
      <w:r w:rsidRPr="00CF1796">
        <w:rPr>
          <w:rFonts w:cs="Times New Roman (Body CS)"/>
          <w:bCs/>
        </w:rPr>
        <w:t xml:space="preserve">Dual </w:t>
      </w:r>
      <w:r w:rsidR="00C92EF5">
        <w:rPr>
          <w:rFonts w:cs="Times New Roman (Body CS)"/>
          <w:bCs/>
        </w:rPr>
        <w:t>t</w:t>
      </w:r>
      <w:r w:rsidRPr="00CF1796">
        <w:rPr>
          <w:rFonts w:cs="Times New Roman (Body CS)"/>
          <w:bCs/>
        </w:rPr>
        <w:t>est</w:t>
      </w:r>
      <w:r w:rsidR="003157B2">
        <w:rPr>
          <w:rFonts w:cs="Times New Roman (Body CS)"/>
          <w:bCs/>
        </w:rPr>
        <w:t>; and (5) Cost-effectiveness threshold</w:t>
      </w:r>
      <w:r w:rsidR="00814760">
        <w:rPr>
          <w:rFonts w:cs="Times New Roman (Body CS)"/>
          <w:bCs/>
        </w:rPr>
        <w:t>.</w:t>
      </w:r>
    </w:p>
    <w:p w14:paraId="35CED0E7" w14:textId="77777777" w:rsidR="00277B7E" w:rsidRDefault="00277B7E" w:rsidP="00282A25">
      <w:pPr>
        <w:rPr>
          <w:rFonts w:cs="Times New Roman (Body CS)"/>
          <w:bCs/>
        </w:rPr>
      </w:pPr>
    </w:p>
    <w:p w14:paraId="29008FEA" w14:textId="6D11F257" w:rsidR="00277B7E" w:rsidRDefault="00814760" w:rsidP="00282A25">
      <w:pPr>
        <w:rPr>
          <w:rFonts w:cs="Times New Roman (Body CS)"/>
          <w:bCs/>
        </w:rPr>
      </w:pPr>
      <w:r>
        <w:t xml:space="preserve">The key screening criteria that the WG used while discussing these questions was whether or not each issue was sufficiently unique to MTIs (compare to RA) to warrant advocating that MTIs should be treated differently on the one hand; and whether or not changing the methodology would have a significant effect or not.  The WG concluded the following: </w:t>
      </w:r>
      <w:r w:rsidR="00194142">
        <w:br/>
      </w:r>
    </w:p>
    <w:p w14:paraId="0A45175F" w14:textId="5058C100" w:rsidR="00277B7E" w:rsidRDefault="004855E3" w:rsidP="00277B7E">
      <w:pPr>
        <w:pStyle w:val="ListParagraph"/>
        <w:numPr>
          <w:ilvl w:val="0"/>
          <w:numId w:val="5"/>
        </w:numPr>
        <w:rPr>
          <w:rFonts w:cs="Times New Roman (Body CS)"/>
          <w:bCs/>
        </w:rPr>
      </w:pPr>
      <w:r>
        <w:rPr>
          <w:rFonts w:cs="Times New Roman (Body CS)"/>
          <w:bCs/>
        </w:rPr>
        <w:t>The</w:t>
      </w:r>
      <w:r w:rsidR="00277B7E" w:rsidRPr="00277B7E">
        <w:rPr>
          <w:rFonts w:cs="Times New Roman (Body CS)"/>
          <w:bCs/>
        </w:rPr>
        <w:t xml:space="preserve"> EUL issue</w:t>
      </w:r>
      <w:r>
        <w:rPr>
          <w:rFonts w:cs="Times New Roman (Body CS)"/>
          <w:bCs/>
        </w:rPr>
        <w:t xml:space="preserve"> should not be pursued at this time.</w:t>
      </w:r>
    </w:p>
    <w:p w14:paraId="0B980FD3" w14:textId="77777777" w:rsidR="00814760" w:rsidRDefault="00814760" w:rsidP="00194142">
      <w:pPr>
        <w:pStyle w:val="ListParagraph"/>
        <w:numPr>
          <w:ilvl w:val="0"/>
          <w:numId w:val="5"/>
        </w:numPr>
        <w:rPr>
          <w:rFonts w:cs="Times New Roman (Body CS)"/>
          <w:bCs/>
        </w:rPr>
      </w:pPr>
      <w:r>
        <w:rPr>
          <w:rFonts w:cs="Times New Roman (Body CS)"/>
          <w:bCs/>
        </w:rPr>
        <w:t xml:space="preserve">A lower discount rate might be justified and may or may not make a significant difference in the cost-effectiveness of individual MTIs—but probably will just note this and not pursue now. </w:t>
      </w:r>
    </w:p>
    <w:p w14:paraId="7F844466" w14:textId="3825576F" w:rsidR="00F84F85" w:rsidRDefault="00194142" w:rsidP="007502B4">
      <w:pPr>
        <w:pStyle w:val="ListParagraph"/>
        <w:numPr>
          <w:ilvl w:val="1"/>
          <w:numId w:val="5"/>
        </w:numPr>
        <w:rPr>
          <w:rFonts w:cs="Times New Roman (Body CS)"/>
          <w:bCs/>
        </w:rPr>
      </w:pPr>
      <w:r>
        <w:rPr>
          <w:rFonts w:cs="Times New Roman (Body CS)"/>
          <w:bCs/>
        </w:rPr>
        <w:lastRenderedPageBreak/>
        <w:t xml:space="preserve">If the discount rate is adjusted for MT, a policy rationale should be provided to justify why MT warrants a discount rate </w:t>
      </w:r>
      <w:r w:rsidR="009E7FD0">
        <w:rPr>
          <w:rFonts w:cs="Times New Roman (Body CS)"/>
          <w:bCs/>
        </w:rPr>
        <w:t xml:space="preserve">that is different </w:t>
      </w:r>
      <w:r>
        <w:rPr>
          <w:rFonts w:cs="Times New Roman (Body CS)"/>
          <w:bCs/>
        </w:rPr>
        <w:t>from other efficiency initiatives.</w:t>
      </w:r>
    </w:p>
    <w:p w14:paraId="46A73877" w14:textId="0DE62C10" w:rsidR="00194142" w:rsidRDefault="004855E3" w:rsidP="00814760">
      <w:pPr>
        <w:pStyle w:val="ListParagraph"/>
        <w:numPr>
          <w:ilvl w:val="1"/>
          <w:numId w:val="5"/>
        </w:numPr>
        <w:rPr>
          <w:rFonts w:cs="Times New Roman (Body CS)"/>
          <w:bCs/>
        </w:rPr>
      </w:pPr>
      <w:r>
        <w:rPr>
          <w:rFonts w:cs="Times New Roman (Body CS)"/>
          <w:bCs/>
        </w:rPr>
        <w:t>MT’s</w:t>
      </w:r>
      <w:r w:rsidR="00194142">
        <w:rPr>
          <w:rFonts w:cs="Times New Roman (Body CS)"/>
          <w:bCs/>
        </w:rPr>
        <w:t xml:space="preserve"> upfront cost, long-term investment horizon, and significant potential </w:t>
      </w:r>
      <w:r>
        <w:rPr>
          <w:rFonts w:cs="Times New Roman (Body CS)"/>
          <w:bCs/>
        </w:rPr>
        <w:t>to deliver</w:t>
      </w:r>
      <w:r w:rsidR="00194142">
        <w:rPr>
          <w:rFonts w:cs="Times New Roman (Body CS)"/>
          <w:bCs/>
        </w:rPr>
        <w:t xml:space="preserve"> benefits may justify a different</w:t>
      </w:r>
      <w:r w:rsidR="003157B2">
        <w:rPr>
          <w:rFonts w:cs="Times New Roman (Body CS)"/>
          <w:bCs/>
        </w:rPr>
        <w:t>, lower</w:t>
      </w:r>
      <w:r w:rsidR="00194142">
        <w:rPr>
          <w:rFonts w:cs="Times New Roman (Body CS)"/>
          <w:bCs/>
        </w:rPr>
        <w:t xml:space="preserve"> discount rate</w:t>
      </w:r>
      <w:r>
        <w:rPr>
          <w:rFonts w:cs="Times New Roman (Body CS)"/>
          <w:bCs/>
        </w:rPr>
        <w:t>.</w:t>
      </w:r>
    </w:p>
    <w:p w14:paraId="52352060" w14:textId="443598A7" w:rsidR="00AC0F4A" w:rsidRDefault="00AC0F4A" w:rsidP="007502B4">
      <w:pPr>
        <w:pStyle w:val="ListParagraph"/>
        <w:numPr>
          <w:ilvl w:val="1"/>
          <w:numId w:val="5"/>
        </w:numPr>
        <w:rPr>
          <w:rFonts w:cs="Times New Roman (Body CS)"/>
          <w:bCs/>
        </w:rPr>
      </w:pPr>
      <w:r>
        <w:rPr>
          <w:rFonts w:cs="Times New Roman (Body CS)"/>
          <w:bCs/>
        </w:rPr>
        <w:t>An 8% discount rate can greatly attenuate savings in the 20-30</w:t>
      </w:r>
      <w:r w:rsidR="005D133C">
        <w:rPr>
          <w:rFonts w:cs="Times New Roman (Body CS)"/>
          <w:bCs/>
        </w:rPr>
        <w:t>-</w:t>
      </w:r>
      <w:r>
        <w:rPr>
          <w:rFonts w:cs="Times New Roman (Body CS)"/>
          <w:bCs/>
        </w:rPr>
        <w:t>year timeframe</w:t>
      </w:r>
    </w:p>
    <w:p w14:paraId="1CBA3591" w14:textId="021DD2A1" w:rsidR="00814760" w:rsidRDefault="00814760" w:rsidP="00277B7E">
      <w:pPr>
        <w:pStyle w:val="ListParagraph"/>
        <w:numPr>
          <w:ilvl w:val="0"/>
          <w:numId w:val="5"/>
        </w:numPr>
        <w:rPr>
          <w:rFonts w:cs="Times New Roman (Body CS)"/>
          <w:bCs/>
        </w:rPr>
      </w:pPr>
      <w:r>
        <w:rPr>
          <w:rFonts w:cs="Times New Roman (Body CS)"/>
          <w:bCs/>
        </w:rPr>
        <w:t>Expected changes to the energy system should be taken into account for MTIs and RA programs, but there isn’t a unique justification for advocating for such a change just for MTIs</w:t>
      </w:r>
    </w:p>
    <w:p w14:paraId="48701439" w14:textId="63A3C49A" w:rsidR="00194142" w:rsidRPr="000A0AB5" w:rsidRDefault="0041000E" w:rsidP="007502B4">
      <w:pPr>
        <w:pStyle w:val="ListParagraph"/>
        <w:numPr>
          <w:ilvl w:val="1"/>
          <w:numId w:val="5"/>
        </w:numPr>
        <w:rPr>
          <w:rFonts w:cs="Times New Roman (Body CS)"/>
          <w:bCs/>
        </w:rPr>
      </w:pPr>
      <w:r>
        <w:rPr>
          <w:rFonts w:cs="Times New Roman (Body CS)"/>
          <w:bCs/>
        </w:rPr>
        <w:t xml:space="preserve">When MT is evaluated for cost-effectiveness, all value streams should be </w:t>
      </w:r>
      <w:r w:rsidRPr="000A0AB5">
        <w:rPr>
          <w:rFonts w:cs="Times New Roman (Body CS)"/>
          <w:bCs/>
        </w:rPr>
        <w:t>considered</w:t>
      </w:r>
      <w:r w:rsidR="009E7FD0" w:rsidRPr="000A0AB5">
        <w:rPr>
          <w:rFonts w:cs="Times New Roman (Body CS)"/>
          <w:bCs/>
        </w:rPr>
        <w:t xml:space="preserve"> including non-energy benefits.</w:t>
      </w:r>
    </w:p>
    <w:p w14:paraId="709F4B5A" w14:textId="5C9864D2" w:rsidR="00CB6DA1" w:rsidRPr="000A0AB5" w:rsidRDefault="00CB6DA1" w:rsidP="007502B4">
      <w:pPr>
        <w:pStyle w:val="ListParagraph"/>
        <w:numPr>
          <w:ilvl w:val="1"/>
          <w:numId w:val="5"/>
        </w:numPr>
        <w:rPr>
          <w:rFonts w:cs="Times New Roman (Body CS)"/>
          <w:bCs/>
        </w:rPr>
      </w:pPr>
      <w:r w:rsidRPr="000A0AB5">
        <w:rPr>
          <w:rFonts w:cs="Times New Roman (Body CS)"/>
          <w:bCs/>
        </w:rPr>
        <w:t xml:space="preserve">The energy system is evolving. The long-term nature of MTIs means that the benefits they deliver to the energy system may </w:t>
      </w:r>
      <w:r w:rsidR="00A45BED" w:rsidRPr="000A0AB5">
        <w:rPr>
          <w:rFonts w:cs="Times New Roman (Body CS)"/>
          <w:bCs/>
        </w:rPr>
        <w:t xml:space="preserve">sometimes </w:t>
      </w:r>
      <w:r w:rsidRPr="000A0AB5">
        <w:rPr>
          <w:rFonts w:cs="Times New Roman (Body CS)"/>
          <w:bCs/>
        </w:rPr>
        <w:t>be hard to predict.</w:t>
      </w:r>
    </w:p>
    <w:p w14:paraId="71D3DFDB" w14:textId="3DB053EE" w:rsidR="00277B7E" w:rsidRPr="007E5D6E" w:rsidRDefault="001E6A40" w:rsidP="007502B4">
      <w:pPr>
        <w:pStyle w:val="ListParagraph"/>
        <w:numPr>
          <w:ilvl w:val="1"/>
          <w:numId w:val="5"/>
        </w:numPr>
        <w:rPr>
          <w:rFonts w:cs="Times New Roman (Body CS)"/>
          <w:bCs/>
        </w:rPr>
      </w:pPr>
      <w:r w:rsidRPr="007E5D6E">
        <w:rPr>
          <w:rFonts w:cs="Times New Roman (Body CS)"/>
          <w:bCs/>
        </w:rPr>
        <w:t>The long-term nature of MTIs</w:t>
      </w:r>
      <w:r w:rsidR="00F84F85" w:rsidRPr="007E5D6E">
        <w:rPr>
          <w:rFonts w:cs="Times New Roman (Body CS)"/>
          <w:bCs/>
        </w:rPr>
        <w:t xml:space="preserve"> means that future avoided costs</w:t>
      </w:r>
      <w:r w:rsidR="00D823B9" w:rsidRPr="007E5D6E">
        <w:rPr>
          <w:rFonts w:cs="Times New Roman (Body CS)"/>
          <w:bCs/>
        </w:rPr>
        <w:t xml:space="preserve"> are </w:t>
      </w:r>
      <w:r w:rsidR="007E5D6E" w:rsidRPr="007E5D6E">
        <w:rPr>
          <w:rFonts w:cs="Times New Roman (Body CS)"/>
          <w:bCs/>
        </w:rPr>
        <w:t>an important consideration in cost-effectiveness, however,</w:t>
      </w:r>
      <w:r w:rsidR="00F84F85" w:rsidRPr="007E5D6E">
        <w:rPr>
          <w:rFonts w:cs="Times New Roman (Body CS)"/>
          <w:bCs/>
        </w:rPr>
        <w:t xml:space="preserve"> </w:t>
      </w:r>
      <w:r w:rsidR="007E5D6E" w:rsidRPr="007E5D6E">
        <w:rPr>
          <w:rFonts w:cs="Times New Roman (Body CS)"/>
          <w:bCs/>
        </w:rPr>
        <w:t>t</w:t>
      </w:r>
      <w:r w:rsidR="00F84F85" w:rsidRPr="007E5D6E">
        <w:rPr>
          <w:rFonts w:cs="Times New Roman (Body CS)"/>
          <w:bCs/>
        </w:rPr>
        <w:t xml:space="preserve">his issue </w:t>
      </w:r>
      <w:r w:rsidR="00C92EF5">
        <w:rPr>
          <w:rFonts w:cs="Times New Roman (Body CS)"/>
          <w:bCs/>
        </w:rPr>
        <w:t>of avoided costs are</w:t>
      </w:r>
      <w:r w:rsidR="00F84F85" w:rsidRPr="007E5D6E">
        <w:rPr>
          <w:rFonts w:cs="Times New Roman (Body CS)"/>
          <w:bCs/>
        </w:rPr>
        <w:t xml:space="preserve"> not </w:t>
      </w:r>
      <w:r w:rsidR="00D823B9" w:rsidRPr="007E5D6E">
        <w:rPr>
          <w:rFonts w:cs="Times New Roman (Body CS)"/>
          <w:bCs/>
        </w:rPr>
        <w:t>unique to MT.</w:t>
      </w:r>
    </w:p>
    <w:p w14:paraId="09A794A3" w14:textId="2E530380" w:rsidR="00AF1D5B" w:rsidRPr="000A0AB5" w:rsidRDefault="009E7FD0" w:rsidP="007502B4">
      <w:pPr>
        <w:pStyle w:val="ListParagraph"/>
        <w:numPr>
          <w:ilvl w:val="1"/>
          <w:numId w:val="5"/>
        </w:numPr>
        <w:rPr>
          <w:rFonts w:cs="Times New Roman (Body CS)"/>
          <w:bCs/>
        </w:rPr>
      </w:pPr>
      <w:r w:rsidRPr="000A0AB5">
        <w:t xml:space="preserve">Other </w:t>
      </w:r>
      <w:r w:rsidR="00465D06">
        <w:t xml:space="preserve">CPUC </w:t>
      </w:r>
      <w:r w:rsidRPr="000A0AB5">
        <w:t xml:space="preserve">proceedings </w:t>
      </w:r>
      <w:r w:rsidR="00D823B9" w:rsidRPr="000A0AB5">
        <w:t>are relevant</w:t>
      </w:r>
      <w:r w:rsidR="00465D06">
        <w:t xml:space="preserve"> to this discussion </w:t>
      </w:r>
      <w:r w:rsidRPr="000A0AB5">
        <w:t>like the Integrated Distributed Energy Resources proceeding</w:t>
      </w:r>
      <w:r w:rsidR="00465D06">
        <w:t xml:space="preserve"> which is</w:t>
      </w:r>
      <w:r w:rsidR="008F70B9" w:rsidRPr="000A0AB5">
        <w:t xml:space="preserve"> considering </w:t>
      </w:r>
      <w:r w:rsidR="00D823B9" w:rsidRPr="000A0AB5">
        <w:t xml:space="preserve">updates to the </w:t>
      </w:r>
      <w:r w:rsidR="008F70B9" w:rsidRPr="000A0AB5">
        <w:t>avoided cost</w:t>
      </w:r>
      <w:r w:rsidR="00D823B9" w:rsidRPr="000A0AB5">
        <w:t xml:space="preserve"> methodology</w:t>
      </w:r>
      <w:r w:rsidR="00465D06">
        <w:t>.</w:t>
      </w:r>
    </w:p>
    <w:p w14:paraId="3AB8A8D7" w14:textId="47FFC373" w:rsidR="00540276" w:rsidRDefault="00540276" w:rsidP="00180680">
      <w:pPr>
        <w:pStyle w:val="ListParagraph"/>
        <w:numPr>
          <w:ilvl w:val="0"/>
          <w:numId w:val="5"/>
        </w:numPr>
        <w:rPr>
          <w:rFonts w:cs="Times New Roman (Body CS)"/>
          <w:bCs/>
        </w:rPr>
      </w:pPr>
      <w:r>
        <w:rPr>
          <w:rFonts w:cs="Times New Roman (Body CS)"/>
          <w:bCs/>
        </w:rPr>
        <w:t>The WG agreed to think a bit further about whether anything should be recommended related to the dual tests</w:t>
      </w:r>
    </w:p>
    <w:p w14:paraId="52737CA5" w14:textId="04EAB1EE" w:rsidR="00E57CFF" w:rsidRDefault="00E57CFF" w:rsidP="007502B4">
      <w:pPr>
        <w:pStyle w:val="ListParagraph"/>
        <w:numPr>
          <w:ilvl w:val="1"/>
          <w:numId w:val="5"/>
        </w:numPr>
        <w:rPr>
          <w:rFonts w:cs="Times New Roman (Body CS)"/>
          <w:bCs/>
        </w:rPr>
      </w:pPr>
      <w:r w:rsidRPr="000A0AB5">
        <w:rPr>
          <w:rFonts w:cs="Times New Roman (Body CS)"/>
          <w:bCs/>
        </w:rPr>
        <w:t xml:space="preserve">In practice, California’s dual test is a one-part Total Resource Cost test. </w:t>
      </w:r>
    </w:p>
    <w:p w14:paraId="2869D121" w14:textId="729E198F" w:rsidR="00AC0F4A" w:rsidRDefault="00AC0F4A" w:rsidP="00465D06">
      <w:pPr>
        <w:pStyle w:val="ListParagraph"/>
        <w:numPr>
          <w:ilvl w:val="0"/>
          <w:numId w:val="5"/>
        </w:numPr>
        <w:rPr>
          <w:rFonts w:cs="Times New Roman (Body CS)"/>
          <w:bCs/>
        </w:rPr>
      </w:pPr>
      <w:r>
        <w:rPr>
          <w:rFonts w:cs="Times New Roman (Body CS)"/>
          <w:bCs/>
        </w:rPr>
        <w:t>The WG initially agreed that s</w:t>
      </w:r>
      <w:r w:rsidRPr="000A0AB5">
        <w:rPr>
          <w:rFonts w:cs="Times New Roman (Body CS)"/>
          <w:bCs/>
        </w:rPr>
        <w:t xml:space="preserve">cenario runs and sensitivity analyses would help </w:t>
      </w:r>
      <w:r>
        <w:rPr>
          <w:rFonts w:cs="Times New Roman (Body CS)"/>
          <w:bCs/>
        </w:rPr>
        <w:t xml:space="preserve">it </w:t>
      </w:r>
      <w:r w:rsidRPr="000A0AB5">
        <w:rPr>
          <w:rFonts w:cs="Times New Roman (Body CS)"/>
          <w:bCs/>
        </w:rPr>
        <w:t xml:space="preserve">to deliberate on issues like the cost-effectiveness threshold </w:t>
      </w:r>
      <w:r>
        <w:rPr>
          <w:rFonts w:cs="Times New Roman (Body CS)"/>
          <w:bCs/>
        </w:rPr>
        <w:t>(</w:t>
      </w:r>
      <w:r w:rsidRPr="000A0AB5">
        <w:rPr>
          <w:rFonts w:cs="Times New Roman (Body CS)"/>
          <w:bCs/>
        </w:rPr>
        <w:t>and</w:t>
      </w:r>
      <w:r>
        <w:rPr>
          <w:rFonts w:cs="Times New Roman (Body CS)"/>
          <w:bCs/>
        </w:rPr>
        <w:t xml:space="preserve"> </w:t>
      </w:r>
      <w:r w:rsidR="005D133C">
        <w:rPr>
          <w:rFonts w:cs="Times New Roman (Body CS)"/>
          <w:bCs/>
        </w:rPr>
        <w:t xml:space="preserve">a </w:t>
      </w:r>
      <w:r>
        <w:rPr>
          <w:rFonts w:cs="Times New Roman (Body CS)"/>
          <w:bCs/>
        </w:rPr>
        <w:t>possible recommendation on a different</w:t>
      </w:r>
      <w:r w:rsidRPr="00694846">
        <w:rPr>
          <w:rFonts w:cs="Times New Roman (Body CS)"/>
          <w:bCs/>
        </w:rPr>
        <w:t xml:space="preserve"> discount rate</w:t>
      </w:r>
      <w:r>
        <w:rPr>
          <w:rFonts w:cs="Times New Roman (Body CS)"/>
          <w:bCs/>
        </w:rPr>
        <w:t>)</w:t>
      </w:r>
      <w:r w:rsidRPr="00694846">
        <w:rPr>
          <w:rFonts w:cs="Times New Roman (Body CS)"/>
          <w:bCs/>
        </w:rPr>
        <w:t xml:space="preserve">. </w:t>
      </w:r>
      <w:r>
        <w:rPr>
          <w:rFonts w:cs="Times New Roman (Body CS)"/>
          <w:bCs/>
        </w:rPr>
        <w:t>However, a</w:t>
      </w:r>
      <w:r w:rsidRPr="00694846">
        <w:rPr>
          <w:rFonts w:cs="Times New Roman (Body CS)"/>
          <w:bCs/>
        </w:rPr>
        <w:t xml:space="preserve">fter considerable discussion, it was determined that these analyses could not be performed due to </w:t>
      </w:r>
      <w:r>
        <w:rPr>
          <w:rFonts w:cs="Times New Roman (Body CS)"/>
          <w:bCs/>
        </w:rPr>
        <w:t xml:space="preserve">time and </w:t>
      </w:r>
      <w:r w:rsidRPr="00694846">
        <w:rPr>
          <w:rFonts w:cs="Times New Roman (Body CS)"/>
          <w:bCs/>
        </w:rPr>
        <w:t>resource constraints</w:t>
      </w:r>
      <w:r>
        <w:rPr>
          <w:rFonts w:cs="Times New Roman (Body CS)"/>
          <w:bCs/>
        </w:rPr>
        <w:t xml:space="preserve"> before the </w:t>
      </w:r>
      <w:r w:rsidR="005D133C">
        <w:rPr>
          <w:rFonts w:cs="Times New Roman (Body CS)"/>
          <w:bCs/>
        </w:rPr>
        <w:t>r</w:t>
      </w:r>
      <w:r>
        <w:rPr>
          <w:rFonts w:cs="Times New Roman (Body CS)"/>
          <w:bCs/>
        </w:rPr>
        <w:t>eport is due</w:t>
      </w:r>
      <w:r w:rsidRPr="00694846">
        <w:rPr>
          <w:rFonts w:cs="Times New Roman (Body CS)"/>
          <w:bCs/>
        </w:rPr>
        <w:t xml:space="preserve">. Instead the Sub-Group decided to </w:t>
      </w:r>
      <w:r>
        <w:rPr>
          <w:rFonts w:cs="Times New Roman (Body CS)"/>
          <w:bCs/>
        </w:rPr>
        <w:t>make its recommendation(s) on the cost effectiveness through</w:t>
      </w:r>
      <w:r w:rsidRPr="00694846">
        <w:rPr>
          <w:rFonts w:cs="Times New Roman (Body CS)"/>
          <w:bCs/>
        </w:rPr>
        <w:t xml:space="preserve"> </w:t>
      </w:r>
      <w:r>
        <w:rPr>
          <w:rFonts w:cs="Times New Roman (Body CS)"/>
          <w:bCs/>
        </w:rPr>
        <w:t xml:space="preserve">the same </w:t>
      </w:r>
      <w:r w:rsidRPr="00694846">
        <w:rPr>
          <w:rFonts w:cs="Times New Roman (Body CS)"/>
          <w:bCs/>
        </w:rPr>
        <w:t>policy lens</w:t>
      </w:r>
      <w:r>
        <w:rPr>
          <w:rFonts w:cs="Times New Roman (Body CS)"/>
          <w:bCs/>
        </w:rPr>
        <w:t xml:space="preserve"> it had been applying to other cost-effectiveness issues (i.e., is there something sufficiently unique about MTIs to justify a different threshold then Ras)</w:t>
      </w:r>
      <w:r w:rsidRPr="00694846">
        <w:rPr>
          <w:rFonts w:cs="Times New Roman (Body CS)"/>
          <w:bCs/>
        </w:rPr>
        <w:t>.</w:t>
      </w:r>
    </w:p>
    <w:p w14:paraId="45E50844" w14:textId="1B58600F" w:rsidR="00465D06" w:rsidRDefault="00465D06" w:rsidP="007502B4">
      <w:pPr>
        <w:pStyle w:val="ListParagraph"/>
        <w:numPr>
          <w:ilvl w:val="1"/>
          <w:numId w:val="5"/>
        </w:numPr>
        <w:rPr>
          <w:rFonts w:cs="Times New Roman (Body CS)"/>
          <w:bCs/>
        </w:rPr>
      </w:pPr>
      <w:r>
        <w:rPr>
          <w:rFonts w:cs="Times New Roman (Body CS)"/>
          <w:bCs/>
        </w:rPr>
        <w:t>If the cost effectiveness threshold is adjusted for MT, a policy rationale should be provided to justify why MT warrants a threshold that is different from other efficiency initiatives.</w:t>
      </w:r>
    </w:p>
    <w:p w14:paraId="706763C6" w14:textId="0868210B" w:rsidR="000A0AB5" w:rsidRPr="000A0AB5" w:rsidRDefault="00465D06" w:rsidP="007502B4">
      <w:pPr>
        <w:pStyle w:val="ListParagraph"/>
        <w:numPr>
          <w:ilvl w:val="1"/>
          <w:numId w:val="5"/>
        </w:numPr>
        <w:rPr>
          <w:rFonts w:cs="Times New Roman (Body CS)"/>
          <w:bCs/>
        </w:rPr>
      </w:pPr>
      <w:r>
        <w:rPr>
          <w:rFonts w:cs="Times New Roman (Body CS)"/>
          <w:bCs/>
        </w:rPr>
        <w:t xml:space="preserve">A lower </w:t>
      </w:r>
      <w:r w:rsidR="00C92EF5">
        <w:rPr>
          <w:rFonts w:cs="Times New Roman (Body CS)"/>
          <w:bCs/>
        </w:rPr>
        <w:t xml:space="preserve">cost-effectiveness </w:t>
      </w:r>
      <w:r>
        <w:rPr>
          <w:rFonts w:cs="Times New Roman (Body CS)"/>
          <w:bCs/>
        </w:rPr>
        <w:t>threshold could be justified because of the significant benefits MT should theoretically deliver. On the other hand, a higher threshold could be justified due to the uncertainty and risk of MT.</w:t>
      </w:r>
    </w:p>
    <w:p w14:paraId="7F1D34CB" w14:textId="50F15DE0" w:rsidR="000A0AB5" w:rsidRPr="000A0AB5" w:rsidRDefault="000A0AB5" w:rsidP="00180680">
      <w:pPr>
        <w:pStyle w:val="ListParagraph"/>
        <w:numPr>
          <w:ilvl w:val="0"/>
          <w:numId w:val="5"/>
        </w:numPr>
        <w:rPr>
          <w:rFonts w:cs="Times New Roman (Body CS)"/>
          <w:bCs/>
        </w:rPr>
      </w:pPr>
      <w:r>
        <w:rPr>
          <w:rFonts w:cs="Times New Roman (Body CS)"/>
          <w:bCs/>
        </w:rPr>
        <w:t>The existing Cost-Effectiveness Tool (CET) may not be designed to accommodate the cost-effectiveness evaluation of MTIs.</w:t>
      </w:r>
    </w:p>
    <w:p w14:paraId="5F6051A2" w14:textId="77777777" w:rsidR="00AC0F4A" w:rsidRDefault="00AC0F4A" w:rsidP="00282A25"/>
    <w:p w14:paraId="20E0FDA2" w14:textId="1081D1F5" w:rsidR="00AD7B5D" w:rsidRPr="001E4FCB" w:rsidRDefault="003157B2" w:rsidP="00282A25">
      <w:pPr>
        <w:rPr>
          <w:rFonts w:cs="Times New Roman (Body CS)"/>
          <w:bCs/>
        </w:rPr>
      </w:pPr>
      <w:r w:rsidRPr="00694846">
        <w:t>Action items are captured in the Next Steps section of this document.</w:t>
      </w:r>
      <w:r>
        <w:br/>
      </w:r>
    </w:p>
    <w:p w14:paraId="6E3B2431" w14:textId="700121AE" w:rsidR="00E04A1C" w:rsidRPr="00335BF3" w:rsidRDefault="00335BF3" w:rsidP="00282A25">
      <w:pPr>
        <w:rPr>
          <w:rFonts w:cs="Times New Roman (Body CS)"/>
          <w:b/>
          <w:bCs/>
          <w:smallCaps/>
          <w:sz w:val="26"/>
          <w:szCs w:val="26"/>
        </w:rPr>
      </w:pPr>
      <w:r w:rsidRPr="00335BF3">
        <w:rPr>
          <w:rFonts w:cs="Times New Roman (Body CS)"/>
          <w:b/>
          <w:smallCaps/>
          <w:sz w:val="26"/>
          <w:szCs w:val="23"/>
        </w:rPr>
        <w:lastRenderedPageBreak/>
        <w:t>Planning for Next Meeting/Final Report</w:t>
      </w:r>
    </w:p>
    <w:p w14:paraId="1D8E1D27" w14:textId="26E28C67" w:rsidR="00335BF3" w:rsidRDefault="00335BF3" w:rsidP="00282A25">
      <w:pPr>
        <w:rPr>
          <w:b/>
          <w:bCs/>
          <w:smallCaps/>
          <w:sz w:val="26"/>
          <w:szCs w:val="26"/>
        </w:rPr>
      </w:pPr>
    </w:p>
    <w:p w14:paraId="5C310E2D" w14:textId="4451A45D" w:rsidR="00335BF3" w:rsidRPr="00974C7E" w:rsidRDefault="00B6168F" w:rsidP="00282A25">
      <w:pPr>
        <w:rPr>
          <w:rFonts w:cs="Times New Roman (Body CS)"/>
          <w:bCs/>
          <w:u w:val="single"/>
        </w:rPr>
      </w:pPr>
      <w:r w:rsidRPr="00974C7E">
        <w:rPr>
          <w:rFonts w:cs="Times New Roman (Body CS)"/>
          <w:bCs/>
          <w:u w:val="single"/>
        </w:rPr>
        <w:t xml:space="preserve">Proposed </w:t>
      </w:r>
      <w:r w:rsidR="00F95B8F" w:rsidRPr="00974C7E">
        <w:rPr>
          <w:rFonts w:cs="Times New Roman (Body CS)"/>
          <w:bCs/>
          <w:u w:val="single"/>
        </w:rPr>
        <w:t>F</w:t>
      </w:r>
      <w:r w:rsidRPr="00974C7E">
        <w:rPr>
          <w:rFonts w:cs="Times New Roman (Body CS)"/>
          <w:bCs/>
          <w:u w:val="single"/>
        </w:rPr>
        <w:t xml:space="preserve">inal </w:t>
      </w:r>
      <w:r w:rsidR="00F95B8F" w:rsidRPr="00974C7E">
        <w:rPr>
          <w:rFonts w:cs="Times New Roman (Body CS)"/>
          <w:bCs/>
          <w:u w:val="single"/>
        </w:rPr>
        <w:t>P</w:t>
      </w:r>
      <w:r w:rsidRPr="00974C7E">
        <w:rPr>
          <w:rFonts w:cs="Times New Roman (Body CS)"/>
          <w:bCs/>
          <w:u w:val="single"/>
        </w:rPr>
        <w:t xml:space="preserve">roduct and </w:t>
      </w:r>
      <w:r w:rsidR="00F95B8F" w:rsidRPr="00974C7E">
        <w:rPr>
          <w:rFonts w:cs="Times New Roman (Body CS)"/>
          <w:bCs/>
          <w:u w:val="single"/>
        </w:rPr>
        <w:t>F</w:t>
      </w:r>
      <w:r w:rsidRPr="00974C7E">
        <w:rPr>
          <w:rFonts w:cs="Times New Roman (Body CS)"/>
          <w:bCs/>
          <w:u w:val="single"/>
        </w:rPr>
        <w:t xml:space="preserve">iling </w:t>
      </w:r>
      <w:r w:rsidR="00F95B8F" w:rsidRPr="00974C7E">
        <w:rPr>
          <w:rFonts w:cs="Times New Roman (Body CS)"/>
          <w:bCs/>
          <w:u w:val="single"/>
        </w:rPr>
        <w:t>A</w:t>
      </w:r>
      <w:r w:rsidRPr="00974C7E">
        <w:rPr>
          <w:rFonts w:cs="Times New Roman (Body CS)"/>
          <w:bCs/>
          <w:u w:val="single"/>
        </w:rPr>
        <w:t>pproach at the CPUC</w:t>
      </w:r>
    </w:p>
    <w:p w14:paraId="6A73215E" w14:textId="377D10A2" w:rsidR="00335BF3" w:rsidRPr="00974C7E" w:rsidRDefault="00335BF3" w:rsidP="00282A25">
      <w:pPr>
        <w:rPr>
          <w:b/>
          <w:bCs/>
          <w:smallCaps/>
          <w:sz w:val="26"/>
          <w:szCs w:val="26"/>
        </w:rPr>
      </w:pPr>
    </w:p>
    <w:p w14:paraId="53F3F004" w14:textId="0398AC29" w:rsidR="00974C7E" w:rsidRDefault="00974C7E" w:rsidP="00282A25">
      <w:pPr>
        <w:rPr>
          <w:rFonts w:cs="Times New Roman (Body CS)"/>
          <w:bCs/>
        </w:rPr>
      </w:pPr>
      <w:r w:rsidRPr="00974C7E">
        <w:rPr>
          <w:rFonts w:cs="Times New Roman (Body CS)"/>
          <w:bCs/>
        </w:rPr>
        <w:t>Hal Kane (California Public Utilities Commission)</w:t>
      </w:r>
      <w:r>
        <w:rPr>
          <w:rFonts w:cs="Times New Roman (Body CS)"/>
          <w:bCs/>
        </w:rPr>
        <w:t xml:space="preserve"> updated the WG on the </w:t>
      </w:r>
      <w:r w:rsidR="00075577">
        <w:rPr>
          <w:rFonts w:cs="Times New Roman (Body CS)"/>
          <w:bCs/>
        </w:rPr>
        <w:t>proposed final product and filing approach at the CPUC based on his conversations with the presiding Administrative Law Judge (ALJ).</w:t>
      </w:r>
    </w:p>
    <w:p w14:paraId="678AE510" w14:textId="56827333" w:rsidR="00075577" w:rsidRDefault="00075577" w:rsidP="00282A25">
      <w:pPr>
        <w:rPr>
          <w:rFonts w:cs="Times New Roman (Body CS)"/>
          <w:bCs/>
        </w:rPr>
      </w:pPr>
    </w:p>
    <w:p w14:paraId="4BA183BF" w14:textId="52E57CB3" w:rsidR="00254A3C" w:rsidRPr="007502B4" w:rsidRDefault="00075577" w:rsidP="007502B4">
      <w:pPr>
        <w:pStyle w:val="ListParagraph"/>
        <w:numPr>
          <w:ilvl w:val="0"/>
          <w:numId w:val="14"/>
        </w:numPr>
        <w:rPr>
          <w:rFonts w:cs="Times New Roman (Body CS)"/>
          <w:bCs/>
        </w:rPr>
      </w:pPr>
      <w:r w:rsidRPr="00EA4138">
        <w:rPr>
          <w:rFonts w:cs="Times New Roman (Body CS)"/>
          <w:bCs/>
        </w:rPr>
        <w:t xml:space="preserve">The ALJ </w:t>
      </w:r>
      <w:r w:rsidR="00254A3C" w:rsidRPr="00EA4138">
        <w:rPr>
          <w:rFonts w:cs="Times New Roman (Body CS)"/>
          <w:bCs/>
        </w:rPr>
        <w:t xml:space="preserve">believes </w:t>
      </w:r>
      <w:r w:rsidRPr="00EA4138">
        <w:rPr>
          <w:rFonts w:cs="Times New Roman (Body CS)"/>
          <w:bCs/>
        </w:rPr>
        <w:t>th</w:t>
      </w:r>
      <w:r w:rsidR="00254A3C" w:rsidRPr="00EA4138">
        <w:rPr>
          <w:rFonts w:cs="Times New Roman (Body CS)"/>
          <w:bCs/>
        </w:rPr>
        <w:t>at entities who are not parties to the proceeding could sign the report</w:t>
      </w:r>
      <w:r w:rsidR="00CF013C" w:rsidRPr="007502B4">
        <w:rPr>
          <w:rFonts w:cs="Times New Roman (Body CS)"/>
          <w:bCs/>
        </w:rPr>
        <w:t>,</w:t>
      </w:r>
      <w:r w:rsidR="00254A3C" w:rsidRPr="007502B4">
        <w:rPr>
          <w:rFonts w:cs="Times New Roman (Body CS)"/>
          <w:bCs/>
        </w:rPr>
        <w:t xml:space="preserve"> but she is still confirming if this is correct. H. Kane noted that it is easy for an entity to become a party to the proceeding. It is also possible that entities who are not parties to the proceeding could be listed on the report under a separate category.</w:t>
      </w:r>
    </w:p>
    <w:p w14:paraId="3DDCE657" w14:textId="2808BE8D" w:rsidR="00254A3C" w:rsidRPr="00496488" w:rsidRDefault="00EA4138" w:rsidP="007502B4">
      <w:pPr>
        <w:pStyle w:val="ListParagraph"/>
        <w:numPr>
          <w:ilvl w:val="0"/>
          <w:numId w:val="14"/>
        </w:numPr>
        <w:rPr>
          <w:rFonts w:cs="Times New Roman (Body CS)"/>
          <w:bCs/>
        </w:rPr>
      </w:pPr>
      <w:r>
        <w:rPr>
          <w:rFonts w:cs="Times New Roman (Body CS)"/>
          <w:bCs/>
        </w:rPr>
        <w:t>It</w:t>
      </w:r>
      <w:r w:rsidR="00254A3C" w:rsidRPr="00EA4138">
        <w:rPr>
          <w:rFonts w:cs="Times New Roman (Body CS)"/>
          <w:bCs/>
        </w:rPr>
        <w:t xml:space="preserve"> would be easiest for one party to submit the report as a joint motion. </w:t>
      </w:r>
    </w:p>
    <w:p w14:paraId="0A87B5D8" w14:textId="3F1981C4" w:rsidR="00254A3C" w:rsidRPr="00EA4138" w:rsidRDefault="00496488" w:rsidP="007502B4">
      <w:pPr>
        <w:pStyle w:val="ListParagraph"/>
        <w:numPr>
          <w:ilvl w:val="0"/>
          <w:numId w:val="14"/>
        </w:numPr>
        <w:rPr>
          <w:rFonts w:cs="Times New Roman (Body CS)"/>
          <w:bCs/>
        </w:rPr>
      </w:pPr>
      <w:r>
        <w:rPr>
          <w:rFonts w:cs="Times New Roman (Body CS)"/>
          <w:bCs/>
        </w:rPr>
        <w:t>T</w:t>
      </w:r>
      <w:r w:rsidR="00254A3C" w:rsidRPr="00EA4138">
        <w:rPr>
          <w:rFonts w:cs="Times New Roman (Body CS)"/>
          <w:bCs/>
        </w:rPr>
        <w:t>he report could be filed later in March</w:t>
      </w:r>
      <w:r>
        <w:rPr>
          <w:rFonts w:cs="Times New Roman (Body CS)"/>
          <w:bCs/>
        </w:rPr>
        <w:t xml:space="preserve"> if need be</w:t>
      </w:r>
      <w:r w:rsidR="00254A3C" w:rsidRPr="00EA4138">
        <w:rPr>
          <w:rFonts w:cs="Times New Roman (Body CS)"/>
          <w:bCs/>
        </w:rPr>
        <w:t>.</w:t>
      </w:r>
    </w:p>
    <w:p w14:paraId="2127031E" w14:textId="77777777" w:rsidR="00B6168F" w:rsidRDefault="00B6168F" w:rsidP="00282A25">
      <w:pPr>
        <w:rPr>
          <w:b/>
          <w:bCs/>
          <w:smallCaps/>
          <w:sz w:val="26"/>
          <w:szCs w:val="26"/>
        </w:rPr>
      </w:pPr>
    </w:p>
    <w:p w14:paraId="16787C88" w14:textId="7BF8E96D" w:rsidR="00956FFF" w:rsidRPr="00DB2FCF" w:rsidRDefault="00DB2FCF" w:rsidP="00282A25">
      <w:pPr>
        <w:rPr>
          <w:rFonts w:cs="Times New Roman (Body CS)"/>
          <w:bCs/>
          <w:u w:val="single"/>
        </w:rPr>
      </w:pPr>
      <w:r w:rsidRPr="00DB2FCF">
        <w:rPr>
          <w:rFonts w:cs="Times New Roman (Body CS)"/>
          <w:bCs/>
          <w:u w:val="single"/>
        </w:rPr>
        <w:t>Next WG Meeting</w:t>
      </w:r>
      <w:r w:rsidR="00455EC0">
        <w:rPr>
          <w:rFonts w:cs="Times New Roman (Body CS)"/>
          <w:bCs/>
          <w:u w:val="single"/>
        </w:rPr>
        <w:br/>
      </w:r>
    </w:p>
    <w:p w14:paraId="57903AA2" w14:textId="462C2B51" w:rsidR="00E04A1C" w:rsidRDefault="00AF423F" w:rsidP="00282A25">
      <w:r w:rsidRPr="006B1F08">
        <w:t xml:space="preserve">The </w:t>
      </w:r>
      <w:r>
        <w:t>remaining</w:t>
      </w:r>
      <w:r w:rsidRPr="006B1F08">
        <w:t xml:space="preserve"> MT WG meeting will be held </w:t>
      </w:r>
      <w:r w:rsidR="00E04A1C">
        <w:t xml:space="preserve">from </w:t>
      </w:r>
      <w:r w:rsidRPr="006B1F08">
        <w:t xml:space="preserve"> </w:t>
      </w:r>
      <w:r w:rsidR="00E04A1C">
        <w:t xml:space="preserve">9 a.m. to 5 p.m. on </w:t>
      </w:r>
      <w:r w:rsidRPr="006B1F08">
        <w:t>February 27, 2019</w:t>
      </w:r>
      <w:r w:rsidR="00E04A1C">
        <w:t xml:space="preserve">, at the </w:t>
      </w:r>
      <w:r w:rsidR="00E04A1C" w:rsidRPr="00E04A1C">
        <w:t>P</w:t>
      </w:r>
      <w:r w:rsidR="00E04A1C">
        <w:t>acific Gas &amp; Electric</w:t>
      </w:r>
      <w:r w:rsidR="00E04A1C" w:rsidRPr="00E04A1C">
        <w:t xml:space="preserve"> Pacific Energy Center,</w:t>
      </w:r>
      <w:r w:rsidR="00E04A1C">
        <w:t xml:space="preserve"> in San Francisco, California. </w:t>
      </w:r>
    </w:p>
    <w:p w14:paraId="1A29D041" w14:textId="77777777" w:rsidR="00956FFF" w:rsidRDefault="00956FFF" w:rsidP="00282A25">
      <w:pPr>
        <w:rPr>
          <w:b/>
          <w:bCs/>
          <w:smallCaps/>
          <w:sz w:val="26"/>
          <w:szCs w:val="26"/>
        </w:rPr>
      </w:pPr>
    </w:p>
    <w:p w14:paraId="479F351C" w14:textId="4201EF7E" w:rsidR="00455EC0" w:rsidRPr="00A7660A" w:rsidRDefault="00455EC0" w:rsidP="00455EC0">
      <w:pPr>
        <w:rPr>
          <w:u w:val="single"/>
        </w:rPr>
      </w:pPr>
      <w:r w:rsidRPr="00A7660A">
        <w:rPr>
          <w:u w:val="single"/>
        </w:rPr>
        <w:t>To Do List and Assignments</w:t>
      </w:r>
    </w:p>
    <w:p w14:paraId="66A71216" w14:textId="77777777" w:rsidR="00282A25" w:rsidRDefault="00282A25" w:rsidP="00282A25"/>
    <w:p w14:paraId="326DCCFB" w14:textId="38DDB0CD" w:rsidR="00201FE6" w:rsidRDefault="00AC7BCF" w:rsidP="00AC7BCF">
      <w:r>
        <w:t>At the close of the meeting</w:t>
      </w:r>
      <w:r w:rsidR="00F34C1D">
        <w:t>,</w:t>
      </w:r>
      <w:r>
        <w:t xml:space="preserve"> </w:t>
      </w:r>
      <w:r w:rsidR="00201FE6">
        <w:t xml:space="preserve">J. Raab </w:t>
      </w:r>
      <w:r>
        <w:t>identified</w:t>
      </w:r>
      <w:r w:rsidR="00201FE6">
        <w:t xml:space="preserve"> areas that would benefi</w:t>
      </w:r>
      <w:r>
        <w:t xml:space="preserve">t from further </w:t>
      </w:r>
      <w:r w:rsidR="00496488">
        <w:t>s</w:t>
      </w:r>
      <w:r w:rsidR="00F34C1D">
        <w:t>ub</w:t>
      </w:r>
      <w:r w:rsidR="00407991">
        <w:t>-</w:t>
      </w:r>
      <w:r w:rsidR="00496488">
        <w:t>working g</w:t>
      </w:r>
      <w:r w:rsidR="00F34C1D">
        <w:t xml:space="preserve">roup </w:t>
      </w:r>
      <w:r>
        <w:t>discussion and work product development</w:t>
      </w:r>
      <w:r w:rsidR="00577838">
        <w:t xml:space="preserve">. MT </w:t>
      </w:r>
      <w:r w:rsidR="007B43AA">
        <w:t>WG</w:t>
      </w:r>
      <w:r w:rsidR="00577838">
        <w:t xml:space="preserve"> Members</w:t>
      </w:r>
      <w:r w:rsidR="00201FE6">
        <w:t xml:space="preserve"> </w:t>
      </w:r>
      <w:r w:rsidR="00577838">
        <w:t>volunte</w:t>
      </w:r>
      <w:r>
        <w:t>ered</w:t>
      </w:r>
      <w:r w:rsidR="00A3794A">
        <w:t xml:space="preserve"> or were assigned</w:t>
      </w:r>
      <w:r w:rsidR="00496488">
        <w:t xml:space="preserve"> (pending their approval—since several members needed to leave early)</w:t>
      </w:r>
      <w:r>
        <w:t xml:space="preserve"> </w:t>
      </w:r>
      <w:r w:rsidR="00A3794A">
        <w:t xml:space="preserve">to the </w:t>
      </w:r>
      <w:r w:rsidR="00496488">
        <w:t>s</w:t>
      </w:r>
      <w:r w:rsidR="00A3794A">
        <w:t>ub-</w:t>
      </w:r>
      <w:r w:rsidR="00496488">
        <w:t xml:space="preserve">working </w:t>
      </w:r>
      <w:r>
        <w:t>groups</w:t>
      </w:r>
      <w:r w:rsidR="003928B8">
        <w:t xml:space="preserve"> below. The </w:t>
      </w:r>
      <w:r w:rsidR="00496488">
        <w:t>s</w:t>
      </w:r>
      <w:r w:rsidR="003928B8">
        <w:t>ub-</w:t>
      </w:r>
      <w:r w:rsidR="00496488">
        <w:t xml:space="preserve">working </w:t>
      </w:r>
      <w:r w:rsidR="003928B8">
        <w:t xml:space="preserve">group lead is denoted in </w:t>
      </w:r>
      <w:r w:rsidR="003928B8" w:rsidRPr="003928B8">
        <w:rPr>
          <w:b/>
        </w:rPr>
        <w:t>bold</w:t>
      </w:r>
      <w:r w:rsidR="003928B8">
        <w:t xml:space="preserve"> text.</w:t>
      </w:r>
    </w:p>
    <w:p w14:paraId="0088AD97" w14:textId="16783055" w:rsidR="00D25590" w:rsidRDefault="00D25590" w:rsidP="00AC7BCF"/>
    <w:p w14:paraId="6A137CBD" w14:textId="7C2DDA11" w:rsidR="00D25590" w:rsidRDefault="00D25590" w:rsidP="00D25590">
      <w:r w:rsidRPr="006B1F08">
        <w:t>Work products are</w:t>
      </w:r>
      <w:r>
        <w:t xml:space="preserve"> due no later than February </w:t>
      </w:r>
      <w:r w:rsidR="00496488">
        <w:t>18</w:t>
      </w:r>
      <w:r>
        <w:t>, 2019.</w:t>
      </w:r>
      <w:r w:rsidR="00496488">
        <w:t xml:space="preserve">  Please keep </w:t>
      </w:r>
      <w:r w:rsidR="00206736">
        <w:t>J. Raab</w:t>
      </w:r>
      <w:r w:rsidR="00496488">
        <w:t xml:space="preserve"> and E.</w:t>
      </w:r>
      <w:r w:rsidR="005D133C">
        <w:t xml:space="preserve"> </w:t>
      </w:r>
      <w:r w:rsidR="00496488">
        <w:t>Zuckerman in the loop on earlier drafts.</w:t>
      </w:r>
    </w:p>
    <w:p w14:paraId="45C156B8" w14:textId="56FE34DE" w:rsidR="00406210" w:rsidRDefault="00406210" w:rsidP="00AC7BCF"/>
    <w:p w14:paraId="3444FC3D" w14:textId="3E788131" w:rsidR="00A3794A" w:rsidRDefault="00455EC0" w:rsidP="00935DF5">
      <w:pPr>
        <w:pStyle w:val="ListParagraph"/>
        <w:numPr>
          <w:ilvl w:val="0"/>
          <w:numId w:val="2"/>
        </w:numPr>
      </w:pPr>
      <w:r w:rsidRPr="007502B4">
        <w:rPr>
          <w:b/>
        </w:rPr>
        <w:t xml:space="preserve">MT </w:t>
      </w:r>
      <w:r w:rsidR="00A3794A" w:rsidRPr="007502B4">
        <w:rPr>
          <w:b/>
        </w:rPr>
        <w:t>Principles</w:t>
      </w:r>
      <w:r w:rsidRPr="007502B4">
        <w:rPr>
          <w:b/>
        </w:rPr>
        <w:t>, Characteristic, and Strategies</w:t>
      </w:r>
      <w:r>
        <w:t xml:space="preserve"> </w:t>
      </w:r>
      <w:r w:rsidR="00A3794A">
        <w:t xml:space="preserve">— </w:t>
      </w:r>
      <w:r w:rsidR="00206736">
        <w:t>S. Appel</w:t>
      </w:r>
      <w:r w:rsidR="00254A3C">
        <w:t xml:space="preserve">, </w:t>
      </w:r>
      <w:r w:rsidR="00A3794A" w:rsidRPr="003928B8">
        <w:rPr>
          <w:b/>
        </w:rPr>
        <w:t>M</w:t>
      </w:r>
      <w:r w:rsidR="00496488">
        <w:rPr>
          <w:b/>
        </w:rPr>
        <w:t>.</w:t>
      </w:r>
      <w:r w:rsidR="00094E34" w:rsidRPr="003928B8">
        <w:rPr>
          <w:b/>
        </w:rPr>
        <w:t xml:space="preserve"> Cost</w:t>
      </w:r>
      <w:r w:rsidR="003928B8" w:rsidRPr="003928B8">
        <w:rPr>
          <w:b/>
        </w:rPr>
        <w:t>a</w:t>
      </w:r>
      <w:r w:rsidR="00A3794A">
        <w:t>,  L</w:t>
      </w:r>
      <w:r w:rsidR="00094E34">
        <w:t>. Ettenson</w:t>
      </w:r>
      <w:r w:rsidR="000836E3">
        <w:t xml:space="preserve"> </w:t>
      </w:r>
    </w:p>
    <w:p w14:paraId="558D92B1" w14:textId="29FE751C" w:rsidR="00A3794A" w:rsidRDefault="00A3794A" w:rsidP="00935DF5">
      <w:pPr>
        <w:pStyle w:val="ListParagraph"/>
        <w:numPr>
          <w:ilvl w:val="1"/>
          <w:numId w:val="2"/>
        </w:numPr>
      </w:pPr>
      <w:r>
        <w:t xml:space="preserve">Revisit </w:t>
      </w:r>
      <w:r w:rsidR="000836E3">
        <w:t>Principles (c) through (e)</w:t>
      </w:r>
    </w:p>
    <w:p w14:paraId="334164AC" w14:textId="208DB9AA" w:rsidR="00A3794A" w:rsidRDefault="000836E3" w:rsidP="00935DF5">
      <w:pPr>
        <w:pStyle w:val="ListParagraph"/>
        <w:numPr>
          <w:ilvl w:val="1"/>
          <w:numId w:val="2"/>
        </w:numPr>
      </w:pPr>
      <w:r>
        <w:t xml:space="preserve">Develop </w:t>
      </w:r>
      <w:r w:rsidR="00264517">
        <w:t xml:space="preserve">two </w:t>
      </w:r>
      <w:r>
        <w:t>n</w:t>
      </w:r>
      <w:r w:rsidR="00A3794A">
        <w:t>ew principles on</w:t>
      </w:r>
      <w:r>
        <w:t>:</w:t>
      </w:r>
      <w:r w:rsidR="00A3794A">
        <w:t xml:space="preserve"> </w:t>
      </w:r>
      <w:r>
        <w:t xml:space="preserve">(1) </w:t>
      </w:r>
      <w:r w:rsidR="003928B8">
        <w:t>m</w:t>
      </w:r>
      <w:r w:rsidR="00A3794A">
        <w:t>etrics</w:t>
      </w:r>
      <w:r>
        <w:t xml:space="preserve">; and (2) </w:t>
      </w:r>
      <w:r w:rsidR="003928B8">
        <w:t>c</w:t>
      </w:r>
      <w:r w:rsidR="00A3794A">
        <w:t>onflict</w:t>
      </w:r>
      <w:r>
        <w:t>s</w:t>
      </w:r>
      <w:r w:rsidR="00A3794A">
        <w:t xml:space="preserve"> of </w:t>
      </w:r>
      <w:r w:rsidR="00264517">
        <w:t>i</w:t>
      </w:r>
      <w:r w:rsidR="00A3794A">
        <w:t>nterest</w:t>
      </w:r>
    </w:p>
    <w:p w14:paraId="6EBFE230" w14:textId="33A2D06A" w:rsidR="00A3794A" w:rsidRDefault="00A3794A" w:rsidP="00935DF5">
      <w:pPr>
        <w:pStyle w:val="ListParagraph"/>
        <w:numPr>
          <w:ilvl w:val="1"/>
          <w:numId w:val="2"/>
        </w:numPr>
      </w:pPr>
      <w:r>
        <w:t xml:space="preserve">Revisit </w:t>
      </w:r>
      <w:r w:rsidR="000836E3">
        <w:t xml:space="preserve">the </w:t>
      </w:r>
      <w:r>
        <w:t xml:space="preserve">lead in language on </w:t>
      </w:r>
      <w:r w:rsidR="00264517">
        <w:t>MT Principles</w:t>
      </w:r>
    </w:p>
    <w:p w14:paraId="5255451F" w14:textId="58765AFF" w:rsidR="00A3794A" w:rsidRDefault="00A3794A" w:rsidP="00935DF5">
      <w:pPr>
        <w:pStyle w:val="ListParagraph"/>
        <w:numPr>
          <w:ilvl w:val="1"/>
          <w:numId w:val="2"/>
        </w:numPr>
      </w:pPr>
      <w:r w:rsidRPr="003928B8">
        <w:t>Review/comment</w:t>
      </w:r>
      <w:r w:rsidR="00264517">
        <w:t xml:space="preserve"> </w:t>
      </w:r>
      <w:r w:rsidRPr="003928B8">
        <w:t xml:space="preserve">on </w:t>
      </w:r>
      <w:r w:rsidR="00264517">
        <w:t xml:space="preserve">MT </w:t>
      </w:r>
      <w:r w:rsidRPr="003928B8">
        <w:t xml:space="preserve">guidelines/strategies (including where to </w:t>
      </w:r>
      <w:r w:rsidR="003928B8" w:rsidRPr="003928B8">
        <w:t>cut them down and</w:t>
      </w:r>
      <w:r w:rsidRPr="003928B8">
        <w:t xml:space="preserve"> </w:t>
      </w:r>
      <w:r w:rsidR="003928B8" w:rsidRPr="003928B8">
        <w:t xml:space="preserve">better align them with the proposed MT </w:t>
      </w:r>
      <w:r w:rsidR="00545586">
        <w:t>P</w:t>
      </w:r>
      <w:r w:rsidRPr="003928B8">
        <w:t>rinciples)</w:t>
      </w:r>
      <w:r w:rsidR="003928B8">
        <w:t xml:space="preserve"> </w:t>
      </w:r>
      <w:r w:rsidRPr="003928B8">
        <w:t xml:space="preserve">— </w:t>
      </w:r>
      <w:r w:rsidRPr="001265E2">
        <w:rPr>
          <w:b/>
        </w:rPr>
        <w:t>All WG members</w:t>
      </w:r>
      <w:r w:rsidR="000836E3">
        <w:rPr>
          <w:highlight w:val="yellow"/>
        </w:rPr>
        <w:br/>
      </w:r>
    </w:p>
    <w:p w14:paraId="2C498F81" w14:textId="307F3F13" w:rsidR="00A3794A" w:rsidRDefault="00A3794A" w:rsidP="00935DF5">
      <w:pPr>
        <w:pStyle w:val="ListParagraph"/>
        <w:numPr>
          <w:ilvl w:val="0"/>
          <w:numId w:val="2"/>
        </w:numPr>
      </w:pPr>
      <w:r w:rsidRPr="007502B4">
        <w:rPr>
          <w:b/>
        </w:rPr>
        <w:t>Stage Gate Proposal</w:t>
      </w:r>
      <w:r>
        <w:t xml:space="preserve"> —</w:t>
      </w:r>
      <w:r w:rsidR="000836E3">
        <w:t>M. Costa</w:t>
      </w:r>
      <w:r>
        <w:t xml:space="preserve">, </w:t>
      </w:r>
      <w:r w:rsidR="00206736">
        <w:t>J. Harris</w:t>
      </w:r>
      <w:r w:rsidR="00254A3C">
        <w:t xml:space="preserve">, </w:t>
      </w:r>
      <w:r w:rsidR="00254A3C" w:rsidRPr="00D552FF">
        <w:rPr>
          <w:b/>
        </w:rPr>
        <w:t>K. Thompson</w:t>
      </w:r>
    </w:p>
    <w:p w14:paraId="1D130827" w14:textId="1A60CC3D" w:rsidR="00A3794A" w:rsidRPr="007502B4" w:rsidRDefault="00A3794A" w:rsidP="00935DF5">
      <w:pPr>
        <w:pStyle w:val="ListParagraph"/>
        <w:numPr>
          <w:ilvl w:val="1"/>
          <w:numId w:val="2"/>
        </w:numPr>
      </w:pPr>
      <w:r w:rsidRPr="007502B4">
        <w:t>Consider language distinguishing first time thru w/on-going process</w:t>
      </w:r>
    </w:p>
    <w:p w14:paraId="0E87EE8B" w14:textId="47E7F6A5" w:rsidR="00496488" w:rsidRPr="007502B4" w:rsidRDefault="00496488" w:rsidP="00935DF5">
      <w:pPr>
        <w:pStyle w:val="ListParagraph"/>
        <w:numPr>
          <w:ilvl w:val="1"/>
          <w:numId w:val="2"/>
        </w:numPr>
      </w:pPr>
      <w:r w:rsidRPr="007502B4">
        <w:lastRenderedPageBreak/>
        <w:t>Make other edits commensurate w/feedback in meeting summary and redlined compendium</w:t>
      </w:r>
    </w:p>
    <w:p w14:paraId="7E2C9429" w14:textId="48CE400C" w:rsidR="00A3794A" w:rsidRDefault="00A3794A" w:rsidP="00935DF5">
      <w:pPr>
        <w:pStyle w:val="ListParagraph"/>
        <w:numPr>
          <w:ilvl w:val="1"/>
          <w:numId w:val="2"/>
        </w:numPr>
      </w:pPr>
      <w:r w:rsidRPr="007502B4">
        <w:t>Align criteria for stage gates in this section (and sync w/principles)</w:t>
      </w:r>
      <w:r w:rsidR="000836E3">
        <w:br/>
      </w:r>
    </w:p>
    <w:p w14:paraId="0F3CDA7D" w14:textId="493BDCA3" w:rsidR="00A3794A" w:rsidRDefault="00A3794A" w:rsidP="00935DF5">
      <w:pPr>
        <w:pStyle w:val="ListParagraph"/>
        <w:numPr>
          <w:ilvl w:val="0"/>
          <w:numId w:val="2"/>
        </w:numPr>
      </w:pPr>
      <w:r w:rsidRPr="007502B4">
        <w:rPr>
          <w:b/>
        </w:rPr>
        <w:t>Roles &amp; Responsibilities</w:t>
      </w:r>
      <w:r>
        <w:t xml:space="preserve"> — </w:t>
      </w:r>
      <w:r w:rsidR="00206736" w:rsidRPr="001265E2">
        <w:t>J</w:t>
      </w:r>
      <w:r w:rsidR="00206736">
        <w:t xml:space="preserve">. </w:t>
      </w:r>
      <w:r w:rsidR="00206736" w:rsidRPr="001265E2">
        <w:t>Birkelund</w:t>
      </w:r>
      <w:r w:rsidR="00254A3C">
        <w:t>,</w:t>
      </w:r>
      <w:r>
        <w:t xml:space="preserve"> </w:t>
      </w:r>
      <w:r w:rsidR="00254A3C" w:rsidRPr="001265E2">
        <w:rPr>
          <w:b/>
        </w:rPr>
        <w:t>Merrian Borgeson</w:t>
      </w:r>
      <w:r w:rsidR="00496488">
        <w:t xml:space="preserve"> &amp;</w:t>
      </w:r>
      <w:r w:rsidR="00254A3C">
        <w:t xml:space="preserve"> </w:t>
      </w:r>
      <w:r w:rsidR="00254A3C" w:rsidRPr="001265E2">
        <w:rPr>
          <w:b/>
        </w:rPr>
        <w:t xml:space="preserve">L. Ettenson, </w:t>
      </w:r>
      <w:r w:rsidRPr="001265E2">
        <w:rPr>
          <w:b/>
        </w:rPr>
        <w:t>A</w:t>
      </w:r>
      <w:r w:rsidR="00314E35" w:rsidRPr="001265E2">
        <w:rPr>
          <w:b/>
        </w:rPr>
        <w:t>. Scheer</w:t>
      </w:r>
    </w:p>
    <w:p w14:paraId="2C96AEF9" w14:textId="22F4234B" w:rsidR="00A3794A" w:rsidRDefault="00A3794A" w:rsidP="00935DF5">
      <w:pPr>
        <w:pStyle w:val="ListParagraph"/>
        <w:numPr>
          <w:ilvl w:val="1"/>
          <w:numId w:val="2"/>
        </w:numPr>
      </w:pPr>
      <w:r>
        <w:t xml:space="preserve">Develop </w:t>
      </w:r>
      <w:r w:rsidR="00545586">
        <w:t xml:space="preserve">a </w:t>
      </w:r>
      <w:r>
        <w:t xml:space="preserve">new diagram/graphic on </w:t>
      </w:r>
      <w:r w:rsidR="00452BF4">
        <w:t xml:space="preserve">administrative </w:t>
      </w:r>
      <w:r>
        <w:t>structure</w:t>
      </w:r>
      <w:r w:rsidR="00452BF4">
        <w:t xml:space="preserve"> in</w:t>
      </w:r>
      <w:r w:rsidR="00554C01">
        <w:t>clu</w:t>
      </w:r>
      <w:r w:rsidR="00452BF4">
        <w:t>ding the relationships between the</w:t>
      </w:r>
      <w:r>
        <w:t xml:space="preserve"> </w:t>
      </w:r>
      <w:r w:rsidR="00452BF4">
        <w:t xml:space="preserve">MT </w:t>
      </w:r>
      <w:r>
        <w:t>Admin</w:t>
      </w:r>
      <w:r w:rsidR="00452BF4">
        <w:t>istrator,</w:t>
      </w:r>
      <w:r>
        <w:t xml:space="preserve"> </w:t>
      </w:r>
      <w:r w:rsidR="00452BF4">
        <w:t xml:space="preserve">MT </w:t>
      </w:r>
      <w:r>
        <w:t>Board</w:t>
      </w:r>
      <w:r w:rsidR="00452BF4">
        <w:t>, and</w:t>
      </w:r>
      <w:r>
        <w:t xml:space="preserve"> IRCs</w:t>
      </w:r>
    </w:p>
    <w:p w14:paraId="2BC35DD3" w14:textId="572CDD22" w:rsidR="00A3794A" w:rsidRDefault="00A3794A" w:rsidP="00935DF5">
      <w:pPr>
        <w:pStyle w:val="ListParagraph"/>
        <w:numPr>
          <w:ilvl w:val="1"/>
          <w:numId w:val="2"/>
        </w:numPr>
      </w:pPr>
      <w:r>
        <w:t>Develop joint language on everything (but possibly who administers</w:t>
      </w:r>
      <w:r w:rsidR="00452BF4">
        <w:t xml:space="preserve"> MT</w:t>
      </w:r>
      <w:r>
        <w:t xml:space="preserve"> and whether </w:t>
      </w:r>
      <w:r w:rsidR="00452BF4">
        <w:t xml:space="preserve">or not </w:t>
      </w:r>
      <w:r>
        <w:t>PRG</w:t>
      </w:r>
      <w:r w:rsidR="00452BF4">
        <w:t xml:space="preserve">s or </w:t>
      </w:r>
      <w:r>
        <w:t>IE</w:t>
      </w:r>
      <w:r w:rsidR="00452BF4">
        <w:t>s are</w:t>
      </w:r>
      <w:r>
        <w:t xml:space="preserve"> warranted and for what</w:t>
      </w:r>
      <w:r w:rsidR="00554C01">
        <w:t xml:space="preserve"> purpose</w:t>
      </w:r>
      <w:r>
        <w:t>)</w:t>
      </w:r>
    </w:p>
    <w:p w14:paraId="00F3398E" w14:textId="13CCBB65" w:rsidR="00A3794A" w:rsidRDefault="00A3794A" w:rsidP="00935DF5">
      <w:pPr>
        <w:pStyle w:val="ListParagraph"/>
        <w:numPr>
          <w:ilvl w:val="2"/>
          <w:numId w:val="2"/>
        </w:numPr>
      </w:pPr>
      <w:r>
        <w:t>Work thr</w:t>
      </w:r>
      <w:r w:rsidR="00264517">
        <w:t>ough the following</w:t>
      </w:r>
      <w:r>
        <w:t xml:space="preserve"> issues</w:t>
      </w:r>
      <w:r w:rsidR="00264517">
        <w:t>:</w:t>
      </w:r>
    </w:p>
    <w:p w14:paraId="0DF39E28" w14:textId="37D66D31" w:rsidR="00A3794A" w:rsidRDefault="00A3794A" w:rsidP="00935DF5">
      <w:pPr>
        <w:pStyle w:val="ListParagraph"/>
        <w:numPr>
          <w:ilvl w:val="3"/>
          <w:numId w:val="2"/>
        </w:numPr>
      </w:pPr>
      <w:r>
        <w:t>How the Board would give advice to</w:t>
      </w:r>
      <w:r w:rsidR="00264517">
        <w:t xml:space="preserve"> the MT</w:t>
      </w:r>
      <w:r>
        <w:t xml:space="preserve"> Administrator and </w:t>
      </w:r>
      <w:r w:rsidR="00264517">
        <w:t xml:space="preserve">the </w:t>
      </w:r>
      <w:r>
        <w:t>mechanism</w:t>
      </w:r>
      <w:r w:rsidR="00264517">
        <w:t xml:space="preserve"> by which it would give this advice</w:t>
      </w:r>
    </w:p>
    <w:p w14:paraId="6BCC3460" w14:textId="02F4E13A" w:rsidR="00264517" w:rsidRDefault="00264517" w:rsidP="00935DF5">
      <w:pPr>
        <w:pStyle w:val="ListParagraph"/>
        <w:numPr>
          <w:ilvl w:val="3"/>
          <w:numId w:val="2"/>
        </w:numPr>
      </w:pPr>
      <w:r>
        <w:t xml:space="preserve">Composition of MT Advisory Board; </w:t>
      </w:r>
      <w:r w:rsidR="00554C01">
        <w:t xml:space="preserve">including </w:t>
      </w:r>
      <w:r>
        <w:t xml:space="preserve">role of </w:t>
      </w:r>
      <w:r w:rsidR="00554C01">
        <w:t xml:space="preserve">a possible </w:t>
      </w:r>
      <w:r w:rsidR="00496488">
        <w:t>Existing PAs</w:t>
      </w:r>
    </w:p>
    <w:p w14:paraId="0D32AAB9" w14:textId="1C1E3D95" w:rsidR="00264517" w:rsidRDefault="00264517" w:rsidP="00935DF5">
      <w:pPr>
        <w:pStyle w:val="ListParagraph"/>
        <w:numPr>
          <w:ilvl w:val="3"/>
          <w:numId w:val="2"/>
        </w:numPr>
      </w:pPr>
      <w:r>
        <w:t>Tasks of the MT Administrator</w:t>
      </w:r>
    </w:p>
    <w:p w14:paraId="56072665" w14:textId="298A406D" w:rsidR="00A3794A" w:rsidRDefault="00A3794A" w:rsidP="00935DF5">
      <w:pPr>
        <w:pStyle w:val="ListParagraph"/>
        <w:numPr>
          <w:ilvl w:val="3"/>
          <w:numId w:val="2"/>
        </w:numPr>
      </w:pPr>
      <w:r>
        <w:t xml:space="preserve">Whether </w:t>
      </w:r>
      <w:r w:rsidR="00264517">
        <w:t xml:space="preserve">or not </w:t>
      </w:r>
      <w:r>
        <w:t>there is funding for IRC members</w:t>
      </w:r>
      <w:r w:rsidR="00554C01">
        <w:t>,</w:t>
      </w:r>
      <w:r>
        <w:t xml:space="preserve"> </w:t>
      </w:r>
      <w:r w:rsidR="00554C01">
        <w:t>a</w:t>
      </w:r>
      <w:r>
        <w:t>nd</w:t>
      </w:r>
      <w:r w:rsidR="00264517">
        <w:t>, if yes,</w:t>
      </w:r>
      <w:r>
        <w:t xml:space="preserve"> where </w:t>
      </w:r>
      <w:r w:rsidR="00264517">
        <w:t>that funding comes from</w:t>
      </w:r>
    </w:p>
    <w:p w14:paraId="48268790" w14:textId="65C75317" w:rsidR="00A3794A" w:rsidRDefault="00A3794A" w:rsidP="00935DF5">
      <w:pPr>
        <w:pStyle w:val="ListParagraph"/>
        <w:numPr>
          <w:ilvl w:val="3"/>
          <w:numId w:val="2"/>
        </w:numPr>
      </w:pPr>
      <w:r>
        <w:t>Role of IE</w:t>
      </w:r>
      <w:r w:rsidR="00554C01">
        <w:t>s</w:t>
      </w:r>
      <w:r>
        <w:t xml:space="preserve"> and PRG</w:t>
      </w:r>
      <w:r w:rsidR="00554C01">
        <w:t>s</w:t>
      </w:r>
      <w:r>
        <w:t>, if any</w:t>
      </w:r>
    </w:p>
    <w:p w14:paraId="63C81F5B" w14:textId="2ACB82B5" w:rsidR="00A3794A" w:rsidRDefault="00452BF4" w:rsidP="00935DF5">
      <w:pPr>
        <w:pStyle w:val="ListParagraph"/>
        <w:numPr>
          <w:ilvl w:val="1"/>
          <w:numId w:val="2"/>
        </w:numPr>
      </w:pPr>
      <w:r w:rsidRPr="007502B4">
        <w:rPr>
          <w:b/>
        </w:rPr>
        <w:t xml:space="preserve">MT </w:t>
      </w:r>
      <w:r w:rsidR="00A3794A" w:rsidRPr="007502B4">
        <w:rPr>
          <w:b/>
        </w:rPr>
        <w:t>Administrator Options</w:t>
      </w:r>
      <w:r w:rsidR="00A3794A">
        <w:t xml:space="preserve"> —</w:t>
      </w:r>
      <w:r w:rsidR="00A3794A" w:rsidRPr="001265E2">
        <w:rPr>
          <w:b/>
        </w:rPr>
        <w:t>H</w:t>
      </w:r>
      <w:r w:rsidR="001265E2" w:rsidRPr="001265E2">
        <w:rPr>
          <w:b/>
        </w:rPr>
        <w:t>. Goodson</w:t>
      </w:r>
      <w:r w:rsidR="00254A3C">
        <w:rPr>
          <w:b/>
        </w:rPr>
        <w:t xml:space="preserve">, </w:t>
      </w:r>
      <w:r w:rsidR="00254A3C" w:rsidRPr="001265E2">
        <w:rPr>
          <w:b/>
        </w:rPr>
        <w:t>A. Schee</w:t>
      </w:r>
      <w:r w:rsidR="00554C01">
        <w:rPr>
          <w:b/>
        </w:rPr>
        <w:t>r</w:t>
      </w:r>
    </w:p>
    <w:p w14:paraId="0F67CFF0" w14:textId="7DD75E61" w:rsidR="00A3794A" w:rsidRDefault="00A3794A" w:rsidP="00935DF5">
      <w:pPr>
        <w:pStyle w:val="ListParagraph"/>
        <w:numPr>
          <w:ilvl w:val="2"/>
          <w:numId w:val="2"/>
        </w:numPr>
      </w:pPr>
      <w:r>
        <w:t xml:space="preserve">Review and tighten up respective language for justification of </w:t>
      </w:r>
      <w:r w:rsidR="00452BF4">
        <w:t xml:space="preserve">the two proposed administration models </w:t>
      </w:r>
      <w:r>
        <w:t xml:space="preserve">A) Existing PAs; and B) </w:t>
      </w:r>
      <w:r w:rsidR="00452BF4">
        <w:t xml:space="preserve">Statewide </w:t>
      </w:r>
      <w:r>
        <w:t>Independent Administrator with #3 above (Roles &amp; Responsibilities) extracted</w:t>
      </w:r>
      <w:r w:rsidR="001265E2">
        <w:br/>
      </w:r>
    </w:p>
    <w:p w14:paraId="606D8B0F" w14:textId="55E88DBF" w:rsidR="00A3794A" w:rsidRDefault="00A3794A" w:rsidP="007502B4">
      <w:pPr>
        <w:pStyle w:val="ListParagraph"/>
        <w:numPr>
          <w:ilvl w:val="0"/>
          <w:numId w:val="2"/>
        </w:numPr>
      </w:pPr>
      <w:r w:rsidRPr="007502B4">
        <w:rPr>
          <w:b/>
        </w:rPr>
        <w:t xml:space="preserve">Relationship </w:t>
      </w:r>
      <w:r w:rsidR="00452BF4" w:rsidRPr="007502B4">
        <w:rPr>
          <w:b/>
        </w:rPr>
        <w:t xml:space="preserve">between </w:t>
      </w:r>
      <w:r w:rsidRPr="007502B4">
        <w:rPr>
          <w:b/>
        </w:rPr>
        <w:t xml:space="preserve">MT </w:t>
      </w:r>
      <w:r w:rsidR="00452BF4" w:rsidRPr="007502B4">
        <w:rPr>
          <w:b/>
        </w:rPr>
        <w:t>and</w:t>
      </w:r>
      <w:r w:rsidRPr="007502B4">
        <w:rPr>
          <w:b/>
        </w:rPr>
        <w:t xml:space="preserve"> RA Programs</w:t>
      </w:r>
      <w:r w:rsidR="00452BF4" w:rsidRPr="007502B4">
        <w:rPr>
          <w:b/>
        </w:rPr>
        <w:t>, C</w:t>
      </w:r>
      <w:r w:rsidRPr="007502B4">
        <w:rPr>
          <w:b/>
        </w:rPr>
        <w:t xml:space="preserve">odes </w:t>
      </w:r>
      <w:r w:rsidR="00452BF4" w:rsidRPr="007502B4">
        <w:rPr>
          <w:b/>
        </w:rPr>
        <w:t>and</w:t>
      </w:r>
      <w:r w:rsidRPr="007502B4">
        <w:rPr>
          <w:b/>
        </w:rPr>
        <w:t xml:space="preserve"> </w:t>
      </w:r>
      <w:r w:rsidR="00452BF4" w:rsidRPr="007502B4">
        <w:rPr>
          <w:b/>
        </w:rPr>
        <w:t>S</w:t>
      </w:r>
      <w:r w:rsidRPr="007502B4">
        <w:rPr>
          <w:b/>
        </w:rPr>
        <w:t>tandards</w:t>
      </w:r>
      <w:r w:rsidR="00452BF4" w:rsidRPr="007502B4">
        <w:rPr>
          <w:b/>
        </w:rPr>
        <w:t>, and Third-Party Solicitations</w:t>
      </w:r>
      <w:r>
        <w:t xml:space="preserve"> —</w:t>
      </w:r>
      <w:r w:rsidR="00254A3C">
        <w:t xml:space="preserve"> A. Besa,</w:t>
      </w:r>
      <w:r>
        <w:t xml:space="preserve"> </w:t>
      </w:r>
      <w:r w:rsidR="002C6568" w:rsidRPr="000C3E54">
        <w:rPr>
          <w:b/>
        </w:rPr>
        <w:t>M</w:t>
      </w:r>
      <w:r w:rsidR="002C6568">
        <w:rPr>
          <w:b/>
        </w:rPr>
        <w:t xml:space="preserve">. </w:t>
      </w:r>
      <w:r w:rsidR="000C3E54" w:rsidRPr="000C3E54">
        <w:rPr>
          <w:b/>
        </w:rPr>
        <w:t>Gardner</w:t>
      </w:r>
      <w:r w:rsidR="000C3E54">
        <w:t>,</w:t>
      </w:r>
      <w:r w:rsidR="00554C01">
        <w:t xml:space="preserve"> </w:t>
      </w:r>
      <w:r w:rsidR="002C6568" w:rsidRPr="00264517">
        <w:t>A</w:t>
      </w:r>
      <w:r w:rsidR="002C6568">
        <w:t xml:space="preserve">. </w:t>
      </w:r>
      <w:r w:rsidR="00254A3C" w:rsidRPr="00264517">
        <w:t>Haubenstock</w:t>
      </w:r>
      <w:r w:rsidR="00254A3C">
        <w:t xml:space="preserve">, </w:t>
      </w:r>
      <w:r w:rsidR="002C6568" w:rsidRPr="000C3E54">
        <w:t>T</w:t>
      </w:r>
      <w:r w:rsidR="002C6568">
        <w:t>.</w:t>
      </w:r>
      <w:r w:rsidR="002C6568" w:rsidRPr="000C3E54">
        <w:t xml:space="preserve"> </w:t>
      </w:r>
      <w:r w:rsidR="000C3E54" w:rsidRPr="000C3E54">
        <w:t>Kisch</w:t>
      </w:r>
      <w:r w:rsidR="000C3E54">
        <w:t xml:space="preserve"> </w:t>
      </w:r>
      <w:r w:rsidR="00D12DA9">
        <w:t>B. Menten</w:t>
      </w:r>
      <w:r>
        <w:t>,</w:t>
      </w:r>
      <w:r w:rsidR="00264517">
        <w:t xml:space="preserve"> and potentially </w:t>
      </w:r>
      <w:r w:rsidR="00206736">
        <w:t xml:space="preserve">S. </w:t>
      </w:r>
      <w:r w:rsidR="00206736" w:rsidRPr="00264517">
        <w:t>Cole</w:t>
      </w:r>
      <w:r w:rsidR="00264517">
        <w:t xml:space="preserve"> </w:t>
      </w:r>
    </w:p>
    <w:p w14:paraId="79F64EE6" w14:textId="77777777" w:rsidR="002C6568" w:rsidRDefault="00A3794A" w:rsidP="00935DF5">
      <w:pPr>
        <w:pStyle w:val="ListParagraph"/>
        <w:numPr>
          <w:ilvl w:val="1"/>
          <w:numId w:val="2"/>
        </w:numPr>
      </w:pPr>
      <w:r>
        <w:t>Road-test a few different scenarios of MT/RA potential interactions—</w:t>
      </w:r>
      <w:r w:rsidR="00452BF4">
        <w:t xml:space="preserve">with </w:t>
      </w:r>
      <w:r>
        <w:t xml:space="preserve">at least one </w:t>
      </w:r>
      <w:r w:rsidR="00452BF4">
        <w:t xml:space="preserve">scenario </w:t>
      </w:r>
      <w:r>
        <w:t>with and one</w:t>
      </w:r>
      <w:r w:rsidR="00452BF4">
        <w:t xml:space="preserve"> scenario</w:t>
      </w:r>
      <w:r>
        <w:t xml:space="preserve"> without much overlap</w:t>
      </w:r>
    </w:p>
    <w:p w14:paraId="657CB67B" w14:textId="6F86B340" w:rsidR="00A3794A" w:rsidRDefault="002C6568" w:rsidP="00935DF5">
      <w:pPr>
        <w:pStyle w:val="ListParagraph"/>
        <w:numPr>
          <w:ilvl w:val="1"/>
          <w:numId w:val="2"/>
        </w:numPr>
      </w:pPr>
      <w:r>
        <w:t>Develop a one-to-two-page write-up for the report with a set of recommendations/principles on these relationships</w:t>
      </w:r>
      <w:r w:rsidR="00264517">
        <w:br/>
      </w:r>
    </w:p>
    <w:p w14:paraId="7C718C6F" w14:textId="0A603632" w:rsidR="00A3794A" w:rsidRPr="00254A3C" w:rsidRDefault="00A3794A" w:rsidP="00935DF5">
      <w:pPr>
        <w:pStyle w:val="ListParagraph"/>
        <w:numPr>
          <w:ilvl w:val="0"/>
          <w:numId w:val="2"/>
        </w:numPr>
      </w:pPr>
      <w:r w:rsidRPr="007502B4">
        <w:rPr>
          <w:b/>
        </w:rPr>
        <w:t>Cost</w:t>
      </w:r>
      <w:r w:rsidR="002C6568">
        <w:rPr>
          <w:b/>
        </w:rPr>
        <w:t>-E</w:t>
      </w:r>
      <w:r w:rsidRPr="007502B4">
        <w:rPr>
          <w:b/>
        </w:rPr>
        <w:t>ffectiveness</w:t>
      </w:r>
      <w:r w:rsidR="00264517" w:rsidRPr="00254A3C">
        <w:t xml:space="preserve"> </w:t>
      </w:r>
      <w:r w:rsidRPr="00254A3C">
        <w:t xml:space="preserve"> </w:t>
      </w:r>
      <w:r w:rsidR="00D25590" w:rsidRPr="00254A3C">
        <w:t xml:space="preserve">— </w:t>
      </w:r>
      <w:r w:rsidR="00D25590" w:rsidRPr="00254A3C">
        <w:rPr>
          <w:b/>
        </w:rPr>
        <w:t>L. Ettenson, H. Goodson</w:t>
      </w:r>
    </w:p>
    <w:p w14:paraId="4356122B" w14:textId="280BC0E1" w:rsidR="001E4FCB" w:rsidRPr="00254A3C" w:rsidRDefault="00A3794A" w:rsidP="00935DF5">
      <w:pPr>
        <w:pStyle w:val="ListParagraph"/>
        <w:numPr>
          <w:ilvl w:val="1"/>
          <w:numId w:val="2"/>
        </w:numPr>
      </w:pPr>
      <w:r w:rsidRPr="00254A3C">
        <w:t xml:space="preserve">Update </w:t>
      </w:r>
      <w:r w:rsidR="00452BF4" w:rsidRPr="00254A3C">
        <w:t xml:space="preserve">the </w:t>
      </w:r>
      <w:r w:rsidRPr="00254A3C">
        <w:t>text</w:t>
      </w:r>
      <w:r w:rsidR="001E4FCB" w:rsidRPr="00254A3C">
        <w:t xml:space="preserve"> to reflect the WG’s </w:t>
      </w:r>
      <w:r w:rsidR="002C6568">
        <w:t>agreement on its three recommendations</w:t>
      </w:r>
    </w:p>
    <w:p w14:paraId="4DEDBBA8" w14:textId="42932C2E" w:rsidR="00A3794A" w:rsidRPr="00254A3C" w:rsidRDefault="002C6568" w:rsidP="00935DF5">
      <w:pPr>
        <w:pStyle w:val="ListParagraph"/>
        <w:numPr>
          <w:ilvl w:val="1"/>
          <w:numId w:val="2"/>
        </w:numPr>
      </w:pPr>
      <w:r>
        <w:rPr>
          <w:rFonts w:cs="Times New Roman (Body CS)"/>
          <w:bCs/>
        </w:rPr>
        <w:t>Draft language related to the threshold (and any of the other five potential topics) through</w:t>
      </w:r>
      <w:r w:rsidR="00254A3C" w:rsidRPr="00254A3C">
        <w:rPr>
          <w:rFonts w:cs="Times New Roman (Body CS)"/>
          <w:bCs/>
        </w:rPr>
        <w:t xml:space="preserve"> a policy lens and update text accordingly.</w:t>
      </w:r>
      <w:r w:rsidR="005778CA" w:rsidRPr="00254A3C">
        <w:br/>
      </w:r>
    </w:p>
    <w:p w14:paraId="654D89A5" w14:textId="1F3E13E6" w:rsidR="005778CA" w:rsidRPr="00254A3C" w:rsidRDefault="005778CA" w:rsidP="00935DF5">
      <w:pPr>
        <w:pStyle w:val="ListParagraph"/>
        <w:numPr>
          <w:ilvl w:val="0"/>
          <w:numId w:val="2"/>
        </w:numPr>
      </w:pPr>
      <w:r w:rsidRPr="007502B4">
        <w:rPr>
          <w:b/>
        </w:rPr>
        <w:t>Budget-related issues</w:t>
      </w:r>
      <w:r w:rsidRPr="00254A3C">
        <w:t xml:space="preserve"> — </w:t>
      </w:r>
      <w:r w:rsidR="00254A3C" w:rsidRPr="00254A3C">
        <w:rPr>
          <w:b/>
        </w:rPr>
        <w:t>Erin Brooks</w:t>
      </w:r>
      <w:r w:rsidR="00254A3C" w:rsidRPr="00254A3C">
        <w:t xml:space="preserve"> (SoCalGas)</w:t>
      </w:r>
      <w:r w:rsidRPr="00254A3C">
        <w:t xml:space="preserve"> </w:t>
      </w:r>
    </w:p>
    <w:p w14:paraId="224D82B2" w14:textId="5DC7465A" w:rsidR="001B7B32" w:rsidRPr="00254A3C" w:rsidRDefault="001E4FCB" w:rsidP="00935DF5">
      <w:pPr>
        <w:pStyle w:val="ListParagraph"/>
        <w:numPr>
          <w:ilvl w:val="1"/>
          <w:numId w:val="2"/>
        </w:numPr>
      </w:pPr>
      <w:r w:rsidRPr="00254A3C">
        <w:t xml:space="preserve">Develop </w:t>
      </w:r>
      <w:r w:rsidR="00254A3C" w:rsidRPr="00254A3C">
        <w:t>text on these issues for discussion at the next WG meeting.</w:t>
      </w:r>
      <w:r w:rsidRPr="00254A3C">
        <w:t xml:space="preserve"> </w:t>
      </w:r>
    </w:p>
    <w:p w14:paraId="4F2C8C8D" w14:textId="77777777" w:rsidR="00282A25" w:rsidRDefault="00282A25" w:rsidP="00282A25"/>
    <w:p w14:paraId="7B18EF1C" w14:textId="77777777" w:rsidR="003705F6" w:rsidRPr="00332716" w:rsidRDefault="00282A25" w:rsidP="003705F6">
      <w:pPr>
        <w:rPr>
          <w:b/>
          <w:bCs/>
          <w:smallCaps/>
          <w:sz w:val="26"/>
          <w:szCs w:val="26"/>
        </w:rPr>
      </w:pPr>
      <w:r w:rsidRPr="00332716">
        <w:rPr>
          <w:b/>
          <w:bCs/>
          <w:smallCaps/>
          <w:sz w:val="26"/>
          <w:szCs w:val="26"/>
        </w:rPr>
        <w:lastRenderedPageBreak/>
        <w:t xml:space="preserve">Next Steps: </w:t>
      </w:r>
    </w:p>
    <w:p w14:paraId="069A08F9" w14:textId="77777777" w:rsidR="00282A25" w:rsidRDefault="00282A25" w:rsidP="003705F6"/>
    <w:p w14:paraId="5E56FF6A" w14:textId="21C3BC8C" w:rsidR="00282A25" w:rsidRPr="003F684F" w:rsidRDefault="00282A25" w:rsidP="003705F6">
      <w:pPr>
        <w:rPr>
          <w:b/>
        </w:rPr>
      </w:pPr>
      <w:r w:rsidRPr="003F684F">
        <w:rPr>
          <w:b/>
        </w:rPr>
        <w:t>WG Members</w:t>
      </w:r>
      <w:r w:rsidR="00A158FB" w:rsidRPr="003F684F">
        <w:rPr>
          <w:b/>
        </w:rPr>
        <w:t>:</w:t>
      </w:r>
    </w:p>
    <w:p w14:paraId="0739A446" w14:textId="702EC489" w:rsidR="00AF423F" w:rsidRDefault="00AF423F" w:rsidP="00935DF5">
      <w:pPr>
        <w:pStyle w:val="ListParagraph"/>
        <w:numPr>
          <w:ilvl w:val="0"/>
          <w:numId w:val="1"/>
        </w:numPr>
      </w:pPr>
      <w:r>
        <w:t xml:space="preserve">Review meeting summary and comment by January </w:t>
      </w:r>
      <w:r w:rsidR="00496488">
        <w:t>24</w:t>
      </w:r>
      <w:r w:rsidR="007B43AA">
        <w:t>, 201</w:t>
      </w:r>
      <w:r w:rsidR="001B7B32">
        <w:t>9</w:t>
      </w:r>
      <w:r>
        <w:t xml:space="preserve"> (</w:t>
      </w:r>
      <w:r w:rsidR="007B43AA">
        <w:t xml:space="preserve">send </w:t>
      </w:r>
      <w:r>
        <w:t>red</w:t>
      </w:r>
      <w:r w:rsidR="00A158FB">
        <w:t xml:space="preserve"> </w:t>
      </w:r>
      <w:r>
        <w:t>line to J</w:t>
      </w:r>
      <w:r w:rsidR="007B43AA">
        <w:t>. Raab</w:t>
      </w:r>
      <w:r w:rsidR="00496488">
        <w:t xml:space="preserve"> and E.</w:t>
      </w:r>
      <w:r w:rsidR="005D133C">
        <w:t xml:space="preserve"> </w:t>
      </w:r>
      <w:r w:rsidR="00496488">
        <w:t>Zuckerman</w:t>
      </w:r>
      <w:r>
        <w:t>)</w:t>
      </w:r>
    </w:p>
    <w:p w14:paraId="4380744F" w14:textId="1AEBC003" w:rsidR="002E41D8" w:rsidRPr="006B1F08" w:rsidRDefault="002E41D8" w:rsidP="00935DF5">
      <w:pPr>
        <w:pStyle w:val="ListParagraph"/>
        <w:numPr>
          <w:ilvl w:val="0"/>
          <w:numId w:val="1"/>
        </w:numPr>
      </w:pPr>
      <w:r>
        <w:t>Complete homework assignments</w:t>
      </w:r>
      <w:r w:rsidR="00AF423F">
        <w:t xml:space="preserve"> (outlined </w:t>
      </w:r>
      <w:r w:rsidR="00496488">
        <w:t xml:space="preserve">in section </w:t>
      </w:r>
      <w:r w:rsidR="00AF423F">
        <w:t>above)</w:t>
      </w:r>
      <w:r>
        <w:t xml:space="preserve">, </w:t>
      </w:r>
      <w:r w:rsidR="007B43AA">
        <w:t xml:space="preserve">by </w:t>
      </w:r>
      <w:r w:rsidR="001B7B32">
        <w:t>February</w:t>
      </w:r>
      <w:r>
        <w:t xml:space="preserve"> </w:t>
      </w:r>
      <w:r w:rsidR="00496488">
        <w:t>19</w:t>
      </w:r>
      <w:r>
        <w:t>, 201</w:t>
      </w:r>
      <w:r w:rsidR="001B7B32">
        <w:t>9</w:t>
      </w:r>
      <w:r w:rsidR="007B43AA">
        <w:t>,</w:t>
      </w:r>
      <w:r>
        <w:t xml:space="preserve"> </w:t>
      </w:r>
      <w:r w:rsidR="00AF423F">
        <w:t xml:space="preserve">at </w:t>
      </w:r>
      <w:r w:rsidR="007B43AA">
        <w:t xml:space="preserve">the </w:t>
      </w:r>
      <w:r w:rsidR="00AF423F">
        <w:t xml:space="preserve">latest. </w:t>
      </w:r>
    </w:p>
    <w:p w14:paraId="34D8C1CC" w14:textId="317B61A8" w:rsidR="00393257" w:rsidRDefault="007B43AA" w:rsidP="00935DF5">
      <w:pPr>
        <w:pStyle w:val="ListParagraph"/>
        <w:numPr>
          <w:ilvl w:val="0"/>
          <w:numId w:val="1"/>
        </w:numPr>
      </w:pPr>
      <w:r>
        <w:t>R</w:t>
      </w:r>
      <w:r w:rsidR="00D42212">
        <w:t xml:space="preserve">eview the work products from working groups </w:t>
      </w:r>
      <w:r w:rsidR="00AF423F">
        <w:t xml:space="preserve">and facilitator </w:t>
      </w:r>
      <w:r w:rsidR="00D42212">
        <w:t xml:space="preserve">prior to the </w:t>
      </w:r>
      <w:r w:rsidR="001B7B32">
        <w:t>February</w:t>
      </w:r>
      <w:r w:rsidR="00D42212">
        <w:t xml:space="preserve"> </w:t>
      </w:r>
      <w:r w:rsidR="001B7B32">
        <w:t>27</w:t>
      </w:r>
      <w:r w:rsidR="00D42212">
        <w:t>, 2019</w:t>
      </w:r>
      <w:r>
        <w:t>,</w:t>
      </w:r>
      <w:r w:rsidR="00D42212">
        <w:t xml:space="preserve"> meeting.</w:t>
      </w:r>
    </w:p>
    <w:p w14:paraId="7A8F7C48" w14:textId="77777777" w:rsidR="00393257" w:rsidRDefault="00393257" w:rsidP="00393257"/>
    <w:p w14:paraId="00A8DC9D" w14:textId="77777777" w:rsidR="00393257" w:rsidRPr="003F684F" w:rsidRDefault="00282A25" w:rsidP="00393257">
      <w:pPr>
        <w:rPr>
          <w:b/>
        </w:rPr>
      </w:pPr>
      <w:r w:rsidRPr="003F684F">
        <w:rPr>
          <w:b/>
        </w:rPr>
        <w:t>Facilitation Team</w:t>
      </w:r>
      <w:r w:rsidR="00A158FB" w:rsidRPr="003F684F">
        <w:rPr>
          <w:b/>
        </w:rPr>
        <w:t>:</w:t>
      </w:r>
    </w:p>
    <w:p w14:paraId="0A406ABF" w14:textId="2001FCA6" w:rsidR="00282A25" w:rsidRDefault="003E7945" w:rsidP="00935DF5">
      <w:pPr>
        <w:pStyle w:val="ListParagraph"/>
        <w:numPr>
          <w:ilvl w:val="0"/>
          <w:numId w:val="1"/>
        </w:numPr>
      </w:pPr>
      <w:r w:rsidRPr="006B1F08">
        <w:t>Draft m</w:t>
      </w:r>
      <w:r w:rsidR="00282A25" w:rsidRPr="006B1F08">
        <w:t>eeting summary</w:t>
      </w:r>
      <w:r w:rsidRPr="006B1F08">
        <w:t xml:space="preserve"> (this document) for review by stakeholders and publication on the CAEECC meeting webpage </w:t>
      </w:r>
      <w:r w:rsidR="007B43AA">
        <w:t>five</w:t>
      </w:r>
      <w:r w:rsidRPr="006B1F08">
        <w:t xml:space="preserve"> business days </w:t>
      </w:r>
      <w:r w:rsidR="00496488">
        <w:t xml:space="preserve">or less </w:t>
      </w:r>
      <w:r w:rsidRPr="006B1F08">
        <w:t>a</w:t>
      </w:r>
      <w:r w:rsidR="006B1F08" w:rsidRPr="006B1F08">
        <w:t>fter the meeting</w:t>
      </w:r>
      <w:r w:rsidRPr="006B1F08">
        <w:t xml:space="preserve">. </w:t>
      </w:r>
    </w:p>
    <w:p w14:paraId="715D5B41" w14:textId="5B67900A" w:rsidR="00AF423F" w:rsidRPr="006B1F08" w:rsidRDefault="00AF423F" w:rsidP="00935DF5">
      <w:pPr>
        <w:pStyle w:val="ListParagraph"/>
        <w:numPr>
          <w:ilvl w:val="0"/>
          <w:numId w:val="1"/>
        </w:numPr>
      </w:pPr>
      <w:r w:rsidRPr="006B1F08">
        <w:t>D</w:t>
      </w:r>
      <w:r w:rsidR="007B43AA">
        <w:t>r</w:t>
      </w:r>
      <w:r w:rsidRPr="006B1F08">
        <w:t xml:space="preserve">aft agenda for </w:t>
      </w:r>
      <w:r w:rsidR="001B7B32">
        <w:t>February 27</w:t>
      </w:r>
      <w:r w:rsidR="007B43AA" w:rsidRPr="006B1F08">
        <w:t>, 201</w:t>
      </w:r>
      <w:r w:rsidR="007B43AA">
        <w:t xml:space="preserve">9, </w:t>
      </w:r>
      <w:r w:rsidRPr="006B1F08">
        <w:t xml:space="preserve">CAEECC </w:t>
      </w:r>
      <w:r w:rsidR="007B43AA">
        <w:t>MT WG meeting</w:t>
      </w:r>
      <w:r w:rsidRPr="006B1F08">
        <w:t xml:space="preserve"> </w:t>
      </w:r>
    </w:p>
    <w:p w14:paraId="406CFE1C" w14:textId="2FC994E4" w:rsidR="00140B6B" w:rsidRDefault="00843188" w:rsidP="00935DF5">
      <w:pPr>
        <w:pStyle w:val="ListParagraph"/>
        <w:numPr>
          <w:ilvl w:val="0"/>
          <w:numId w:val="1"/>
        </w:numPr>
      </w:pPr>
      <w:r>
        <w:t>Check in with sub-</w:t>
      </w:r>
      <w:r w:rsidR="00406210">
        <w:t>working group</w:t>
      </w:r>
      <w:r w:rsidR="00D2051A">
        <w:t>s</w:t>
      </w:r>
      <w:r w:rsidR="00406210">
        <w:t xml:space="preserve"> </w:t>
      </w:r>
      <w:r>
        <w:t xml:space="preserve">and facilitate </w:t>
      </w:r>
      <w:r w:rsidR="00406210">
        <w:t>phone calls as needed</w:t>
      </w:r>
    </w:p>
    <w:p w14:paraId="6361C2E5" w14:textId="48AFE4E4" w:rsidR="00496488" w:rsidRDefault="00496488" w:rsidP="00935DF5">
      <w:pPr>
        <w:pStyle w:val="ListParagraph"/>
        <w:numPr>
          <w:ilvl w:val="0"/>
          <w:numId w:val="1"/>
        </w:numPr>
      </w:pPr>
      <w:r>
        <w:t>Develop draft of WG report with work products of sub-working groups and an introduction drafted by facilitation team</w:t>
      </w:r>
    </w:p>
    <w:p w14:paraId="79D8EB9D" w14:textId="31F0B784" w:rsidR="00140B6B" w:rsidRDefault="00140B6B" w:rsidP="00140B6B">
      <w:r>
        <w:br w:type="page"/>
      </w:r>
    </w:p>
    <w:p w14:paraId="5826D745" w14:textId="4D369C6D" w:rsidR="0014468D" w:rsidRPr="00FE559E" w:rsidRDefault="0014468D" w:rsidP="0014468D">
      <w:pPr>
        <w:jc w:val="center"/>
        <w:rPr>
          <w:rFonts w:ascii="Cambria" w:hAnsi="Cambria"/>
          <w:b/>
        </w:rPr>
      </w:pPr>
      <w:r w:rsidRPr="00FE559E">
        <w:rPr>
          <w:rFonts w:ascii="Cambria" w:hAnsi="Cambria"/>
          <w:b/>
        </w:rPr>
        <w:lastRenderedPageBreak/>
        <w:t xml:space="preserve">Appendix </w:t>
      </w:r>
      <w:r>
        <w:rPr>
          <w:rFonts w:ascii="Cambria" w:hAnsi="Cambria"/>
          <w:b/>
        </w:rPr>
        <w:t>A</w:t>
      </w:r>
      <w:r w:rsidRPr="00FE559E">
        <w:rPr>
          <w:rFonts w:ascii="Cambria" w:hAnsi="Cambria"/>
          <w:b/>
        </w:rPr>
        <w:t>: Ground</w:t>
      </w:r>
      <w:r>
        <w:rPr>
          <w:rFonts w:ascii="Cambria" w:hAnsi="Cambria"/>
          <w:b/>
        </w:rPr>
        <w:t xml:space="preserve"> R</w:t>
      </w:r>
      <w:r w:rsidRPr="00FE559E">
        <w:rPr>
          <w:rFonts w:ascii="Cambria" w:hAnsi="Cambria"/>
          <w:b/>
        </w:rPr>
        <w:t>ules of the CAEECC MT WG</w:t>
      </w:r>
      <w:r w:rsidR="00F83DC3">
        <w:rPr>
          <w:rFonts w:ascii="Cambria" w:hAnsi="Cambria"/>
          <w:b/>
        </w:rPr>
        <w:t xml:space="preserve"> on Decision</w:t>
      </w:r>
      <w:r w:rsidR="005D133C">
        <w:rPr>
          <w:rFonts w:ascii="Cambria" w:hAnsi="Cambria"/>
          <w:b/>
        </w:rPr>
        <w:t>-</w:t>
      </w:r>
      <w:r w:rsidR="00F83DC3">
        <w:rPr>
          <w:rFonts w:ascii="Cambria" w:hAnsi="Cambria"/>
          <w:b/>
        </w:rPr>
        <w:t>making</w:t>
      </w:r>
    </w:p>
    <w:p w14:paraId="47FD47FA" w14:textId="77777777" w:rsidR="0014468D" w:rsidRPr="00FE559E" w:rsidRDefault="0014468D" w:rsidP="0014468D">
      <w:pPr>
        <w:spacing w:before="100" w:beforeAutospacing="1" w:after="100" w:afterAutospacing="1"/>
        <w:rPr>
          <w:rFonts w:ascii="Cambria" w:hAnsi="Cambria" w:cs="Times New Roman"/>
          <w:b/>
          <w:bCs/>
        </w:rPr>
      </w:pPr>
    </w:p>
    <w:p w14:paraId="71BA26DF" w14:textId="30037612" w:rsidR="0014468D" w:rsidRPr="007502B4" w:rsidRDefault="0014468D" w:rsidP="0014468D">
      <w:pPr>
        <w:spacing w:before="100" w:beforeAutospacing="1" w:after="100" w:afterAutospacing="1"/>
        <w:rPr>
          <w:rFonts w:ascii="Cambria" w:hAnsi="Cambria" w:cs="Times New Roman"/>
          <w:b/>
          <w:bCs/>
        </w:rPr>
      </w:pPr>
      <w:r w:rsidRPr="00FE559E">
        <w:rPr>
          <w:rFonts w:ascii="Cambria" w:hAnsi="Cambria" w:cs="Times New Roman"/>
          <w:b/>
          <w:bCs/>
        </w:rPr>
        <w:t xml:space="preserve">Substantive Issues (Discussing Issues, Developing Options, and Exploring Agreement) </w:t>
      </w:r>
    </w:p>
    <w:p w14:paraId="0D723A6B" w14:textId="77777777" w:rsidR="0014468D" w:rsidRPr="00FE559E" w:rsidRDefault="0014468D" w:rsidP="0014468D">
      <w:pPr>
        <w:pStyle w:val="ListParagraph"/>
        <w:numPr>
          <w:ilvl w:val="0"/>
          <w:numId w:val="10"/>
        </w:numPr>
        <w:spacing w:before="100" w:beforeAutospacing="1" w:after="100" w:afterAutospacing="1"/>
        <w:rPr>
          <w:rFonts w:ascii="Cambria" w:hAnsi="Cambria" w:cs="Times New Roman"/>
        </w:rPr>
      </w:pPr>
      <w:r w:rsidRPr="00FE559E">
        <w:rPr>
          <w:rFonts w:ascii="Cambria" w:hAnsi="Cambria" w:cs="Times New Roman"/>
        </w:rPr>
        <w:t xml:space="preserve">The goal of the process is to fully explore substantive issues before the CAEECC, define options, elicit constructive feedback, clarify and narrow points of divergence, seek consensus where feasible, and document points of convergence and any remaining divergence. </w:t>
      </w:r>
    </w:p>
    <w:p w14:paraId="7237C2A8" w14:textId="77777777" w:rsidR="0014468D" w:rsidRPr="00FE559E" w:rsidRDefault="0014468D" w:rsidP="0014468D">
      <w:pPr>
        <w:numPr>
          <w:ilvl w:val="0"/>
          <w:numId w:val="10"/>
        </w:numPr>
        <w:spacing w:before="100" w:beforeAutospacing="1" w:after="100" w:afterAutospacing="1"/>
        <w:rPr>
          <w:rFonts w:ascii="Cambria" w:hAnsi="Cambria" w:cs="Times New Roman"/>
        </w:rPr>
      </w:pPr>
      <w:r w:rsidRPr="00FE559E">
        <w:rPr>
          <w:rFonts w:ascii="Cambria" w:hAnsi="Cambria" w:cs="Times New Roman"/>
        </w:rPr>
        <w:t xml:space="preserve">During the substantive discussions, if a Member cannot agree with a substantive option under consideration that member should explain why and propose a specific alternative that he or she can support. </w:t>
      </w:r>
    </w:p>
    <w:p w14:paraId="6033922D" w14:textId="77777777" w:rsidR="0014468D" w:rsidRPr="00FE559E" w:rsidRDefault="0014468D" w:rsidP="0014468D">
      <w:pPr>
        <w:numPr>
          <w:ilvl w:val="0"/>
          <w:numId w:val="10"/>
        </w:numPr>
        <w:spacing w:before="100" w:beforeAutospacing="1" w:after="100" w:afterAutospacing="1"/>
        <w:rPr>
          <w:rFonts w:ascii="Cambria" w:hAnsi="Cambria" w:cs="Times New Roman"/>
        </w:rPr>
      </w:pPr>
      <w:r w:rsidRPr="00FE559E">
        <w:rPr>
          <w:rFonts w:ascii="Cambria" w:hAnsi="Cambria" w:cs="Times New Roman"/>
        </w:rPr>
        <w:t>Documentation of consensus and multiple options on any particular issue in the Working Group’s Final Report would include a clear description of each option and supporting rationale, and include the Members supporting each option.  The Working Group Members will review and approve the wording in the Final Report, and those supporting each option on a non-consensus issue will be responsible for drafting the final description and rationale for the option.</w:t>
      </w:r>
    </w:p>
    <w:p w14:paraId="357BBEF6" w14:textId="77777777" w:rsidR="0014468D" w:rsidRPr="00FE559E" w:rsidRDefault="0014468D" w:rsidP="0014468D">
      <w:pPr>
        <w:numPr>
          <w:ilvl w:val="0"/>
          <w:numId w:val="10"/>
        </w:numPr>
        <w:spacing w:before="100" w:beforeAutospacing="1" w:after="100" w:afterAutospacing="1"/>
        <w:rPr>
          <w:rFonts w:ascii="Cambria" w:hAnsi="Cambria" w:cs="Times New Roman"/>
        </w:rPr>
      </w:pPr>
      <w:r w:rsidRPr="00FE559E">
        <w:rPr>
          <w:rFonts w:ascii="Cambria" w:hAnsi="Cambria" w:cs="Times New Roman"/>
        </w:rPr>
        <w:t xml:space="preserve">The Working Group in consultation with the CPUC will determine the most appropriate way to file the Final Report at the CPUC. </w:t>
      </w:r>
    </w:p>
    <w:p w14:paraId="04E4447F" w14:textId="77777777" w:rsidR="00F83DC3" w:rsidRDefault="00F83DC3" w:rsidP="006A432A">
      <w:pPr>
        <w:jc w:val="center"/>
        <w:rPr>
          <w:rFonts w:ascii="Cambria" w:hAnsi="Cambria"/>
          <w:b/>
        </w:rPr>
      </w:pPr>
      <w:r>
        <w:rPr>
          <w:rFonts w:ascii="Cambria" w:hAnsi="Cambria"/>
          <w:b/>
        </w:rPr>
        <w:br w:type="page"/>
      </w:r>
    </w:p>
    <w:p w14:paraId="1CFD1253" w14:textId="252D886C" w:rsidR="00140B6B" w:rsidRPr="006A432A" w:rsidRDefault="00140B6B" w:rsidP="006A432A">
      <w:pPr>
        <w:jc w:val="center"/>
        <w:rPr>
          <w:rFonts w:ascii="Cambria" w:eastAsia="Times New Roman" w:hAnsi="Cambria" w:cs="Times New Roman"/>
          <w:b/>
          <w:color w:val="000000"/>
          <w:shd w:val="clear" w:color="auto" w:fill="FFFFFF"/>
        </w:rPr>
      </w:pPr>
      <w:r w:rsidRPr="006A432A">
        <w:rPr>
          <w:rFonts w:ascii="Cambria" w:eastAsia="Times New Roman" w:hAnsi="Cambria" w:cs="Times New Roman"/>
          <w:b/>
          <w:color w:val="000000"/>
          <w:shd w:val="clear" w:color="auto" w:fill="FFFFFF"/>
        </w:rPr>
        <w:lastRenderedPageBreak/>
        <w:t xml:space="preserve">Appendix B: CAEECC-Hosted </w:t>
      </w:r>
      <w:r w:rsidR="006A432A" w:rsidRPr="00FE559E">
        <w:rPr>
          <w:rFonts w:ascii="Cambria" w:hAnsi="Cambria"/>
          <w:b/>
        </w:rPr>
        <w:t>MT WG</w:t>
      </w:r>
      <w:r w:rsidR="006A432A" w:rsidRPr="006A432A">
        <w:rPr>
          <w:rFonts w:ascii="Cambria" w:eastAsia="Times New Roman" w:hAnsi="Cambria" w:cs="Times New Roman"/>
          <w:b/>
          <w:color w:val="000000"/>
          <w:shd w:val="clear" w:color="auto" w:fill="FFFFFF"/>
        </w:rPr>
        <w:t xml:space="preserve"> </w:t>
      </w:r>
      <w:r w:rsidRPr="006A432A">
        <w:rPr>
          <w:rFonts w:ascii="Cambria" w:eastAsia="Times New Roman" w:hAnsi="Cambria" w:cs="Times New Roman"/>
          <w:b/>
          <w:color w:val="000000"/>
          <w:shd w:val="clear" w:color="auto" w:fill="FFFFFF"/>
        </w:rPr>
        <w:t>Composition</w:t>
      </w:r>
      <w:r w:rsidR="001A0896">
        <w:rPr>
          <w:rFonts w:ascii="Cambria" w:eastAsia="Times New Roman" w:hAnsi="Cambria" w:cs="Times New Roman"/>
          <w:b/>
          <w:color w:val="000000"/>
          <w:shd w:val="clear" w:color="auto" w:fill="FFFFFF"/>
        </w:rPr>
        <w:br/>
      </w:r>
    </w:p>
    <w:p w14:paraId="6B33D0E6" w14:textId="027A54E1" w:rsidR="00140B6B" w:rsidRPr="00D64C93" w:rsidRDefault="001A0896" w:rsidP="001A0896">
      <w:pPr>
        <w:jc w:val="center"/>
        <w:rPr>
          <w:rFonts w:ascii="Cambria" w:eastAsia="Times New Roman" w:hAnsi="Cambria" w:cs="Times New Roman"/>
          <w:i/>
          <w:color w:val="000000"/>
          <w:shd w:val="clear" w:color="auto" w:fill="FFFFFF"/>
        </w:rPr>
      </w:pPr>
      <w:r w:rsidRPr="00D64C93">
        <w:rPr>
          <w:rFonts w:ascii="Cambria" w:eastAsia="Times New Roman" w:hAnsi="Cambria" w:cs="Times New Roman"/>
          <w:i/>
          <w:color w:val="000000"/>
          <w:shd w:val="clear" w:color="auto" w:fill="FFFFFF"/>
        </w:rPr>
        <w:t>Note: an “A” designation is lead and “B” is alternate</w:t>
      </w:r>
      <w:r w:rsidRPr="00D64C93">
        <w:rPr>
          <w:rFonts w:ascii="Cambria" w:eastAsia="Times New Roman" w:hAnsi="Cambria" w:cs="Times New Roman"/>
          <w:i/>
          <w:color w:val="000000"/>
          <w:shd w:val="clear" w:color="auto" w:fill="FFFFFF"/>
        </w:rPr>
        <w:br/>
      </w:r>
    </w:p>
    <w:tbl>
      <w:tblPr>
        <w:tblW w:w="10578" w:type="dxa"/>
        <w:jc w:val="center"/>
        <w:tblLook w:val="04A0" w:firstRow="1" w:lastRow="0" w:firstColumn="1" w:lastColumn="0" w:noHBand="0" w:noVBand="1"/>
      </w:tblPr>
      <w:tblGrid>
        <w:gridCol w:w="625"/>
        <w:gridCol w:w="3837"/>
        <w:gridCol w:w="1103"/>
        <w:gridCol w:w="1450"/>
        <w:gridCol w:w="3563"/>
      </w:tblGrid>
      <w:tr w:rsidR="007410F9" w:rsidRPr="00D96122" w14:paraId="389A43F5" w14:textId="77777777" w:rsidTr="007410F9">
        <w:trPr>
          <w:trHeight w:val="340"/>
          <w:jc w:val="center"/>
        </w:trPr>
        <w:tc>
          <w:tcPr>
            <w:tcW w:w="4462"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16C005" w14:textId="77777777" w:rsidR="00D96122" w:rsidRPr="00D96122" w:rsidRDefault="00D96122" w:rsidP="007410F9">
            <w:pPr>
              <w:rPr>
                <w:rFonts w:ascii="Cambria" w:eastAsia="Times New Roman" w:hAnsi="Cambria" w:cs="Arial"/>
                <w:b/>
                <w:bCs/>
                <w:color w:val="FFFFFF"/>
                <w:sz w:val="22"/>
                <w:szCs w:val="22"/>
              </w:rPr>
            </w:pPr>
            <w:r w:rsidRPr="00D96122">
              <w:rPr>
                <w:rFonts w:ascii="Cambria" w:eastAsia="Times New Roman" w:hAnsi="Cambria" w:cs="Arial"/>
                <w:b/>
                <w:bCs/>
                <w:color w:val="FFFFFF"/>
                <w:sz w:val="22"/>
                <w:szCs w:val="22"/>
              </w:rPr>
              <w:t>Members</w:t>
            </w:r>
          </w:p>
        </w:tc>
        <w:tc>
          <w:tcPr>
            <w:tcW w:w="110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0D150D0" w14:textId="77777777" w:rsidR="00D96122" w:rsidRPr="00D96122" w:rsidRDefault="00D96122" w:rsidP="007410F9">
            <w:pPr>
              <w:rPr>
                <w:rFonts w:ascii="Cambria" w:eastAsia="Times New Roman" w:hAnsi="Cambria" w:cs="Arial"/>
                <w:color w:val="FFFFFF"/>
                <w:sz w:val="22"/>
                <w:szCs w:val="22"/>
              </w:rPr>
            </w:pPr>
            <w:r w:rsidRPr="00D96122">
              <w:rPr>
                <w:rFonts w:ascii="Cambria" w:eastAsia="Times New Roman" w:hAnsi="Cambria" w:cs="Arial"/>
                <w:color w:val="FFFFFF"/>
                <w:sz w:val="22"/>
                <w:szCs w:val="22"/>
              </w:rPr>
              <w:t> </w:t>
            </w:r>
          </w:p>
        </w:tc>
        <w:tc>
          <w:tcPr>
            <w:tcW w:w="145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91622F8" w14:textId="77777777" w:rsidR="00D96122" w:rsidRPr="00D96122" w:rsidRDefault="00D96122" w:rsidP="007410F9">
            <w:pPr>
              <w:rPr>
                <w:rFonts w:ascii="Cambria" w:eastAsia="Times New Roman" w:hAnsi="Cambria" w:cs="Arial"/>
                <w:color w:val="FFFFFF"/>
                <w:sz w:val="22"/>
                <w:szCs w:val="22"/>
              </w:rPr>
            </w:pPr>
            <w:r w:rsidRPr="00D96122">
              <w:rPr>
                <w:rFonts w:ascii="Cambria" w:eastAsia="Times New Roman" w:hAnsi="Cambria" w:cs="Arial"/>
                <w:color w:val="FFFFFF"/>
                <w:sz w:val="22"/>
                <w:szCs w:val="22"/>
              </w:rPr>
              <w:t> </w:t>
            </w:r>
          </w:p>
        </w:tc>
        <w:tc>
          <w:tcPr>
            <w:tcW w:w="356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482AAF" w14:textId="77777777" w:rsidR="00D96122" w:rsidRPr="00D96122" w:rsidRDefault="00D96122" w:rsidP="007410F9">
            <w:pPr>
              <w:rPr>
                <w:rFonts w:ascii="Cambria" w:eastAsia="Times New Roman" w:hAnsi="Cambria" w:cs="Arial"/>
                <w:color w:val="FFFFFF"/>
                <w:sz w:val="22"/>
                <w:szCs w:val="22"/>
              </w:rPr>
            </w:pPr>
            <w:r w:rsidRPr="00D96122">
              <w:rPr>
                <w:rFonts w:ascii="Cambria" w:eastAsia="Times New Roman" w:hAnsi="Cambria" w:cs="Arial"/>
                <w:color w:val="FFFFFF"/>
                <w:sz w:val="22"/>
                <w:szCs w:val="22"/>
              </w:rPr>
              <w:t> </w:t>
            </w:r>
          </w:p>
        </w:tc>
      </w:tr>
      <w:tr w:rsidR="001A0896" w:rsidRPr="001A0896" w14:paraId="6A7A9B9B"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2DD351" w14:textId="3F3D8F36" w:rsidR="00D96122" w:rsidRPr="00D96122" w:rsidRDefault="00D96122" w:rsidP="007410F9">
            <w:pPr>
              <w:rPr>
                <w:rFonts w:ascii="Cambria" w:eastAsia="Times New Roman" w:hAnsi="Cambria" w:cs="Arial"/>
                <w:b/>
                <w:bCs/>
                <w:color w:val="000000"/>
                <w:sz w:val="22"/>
                <w:szCs w:val="22"/>
              </w:rPr>
            </w:pPr>
          </w:p>
        </w:tc>
        <w:tc>
          <w:tcPr>
            <w:tcW w:w="38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07E94" w14:textId="77777777"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Organization</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D4B76D" w14:textId="5582297C"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First</w:t>
            </w:r>
          </w:p>
        </w:tc>
        <w:tc>
          <w:tcPr>
            <w:tcW w:w="14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8DAB43" w14:textId="7E0782B8"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Last</w:t>
            </w:r>
          </w:p>
        </w:tc>
        <w:tc>
          <w:tcPr>
            <w:tcW w:w="35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EFFAF0" w14:textId="012EBF0A"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Email</w:t>
            </w:r>
          </w:p>
        </w:tc>
      </w:tr>
      <w:tr w:rsidR="001A0896" w:rsidRPr="00D96122" w14:paraId="6A77F50B"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820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8C53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CEDMC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1DED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Arthur</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AE9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Haubenstock</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FA87" w14:textId="77777777" w:rsidR="00D96122" w:rsidRPr="00D96122" w:rsidRDefault="00D278C3" w:rsidP="007410F9">
            <w:pPr>
              <w:rPr>
                <w:rFonts w:ascii="Cambria" w:eastAsia="Times New Roman" w:hAnsi="Cambria" w:cs="Arial"/>
                <w:color w:val="0563C1"/>
                <w:sz w:val="22"/>
                <w:szCs w:val="22"/>
                <w:u w:val="single"/>
              </w:rPr>
            </w:pPr>
            <w:hyperlink r:id="rId8" w:history="1">
              <w:r w:rsidR="00D96122" w:rsidRPr="001A0896">
                <w:rPr>
                  <w:rFonts w:ascii="Cambria" w:eastAsia="Times New Roman" w:hAnsi="Cambria" w:cs="Arial"/>
                  <w:color w:val="0563C1"/>
                  <w:sz w:val="22"/>
                  <w:szCs w:val="22"/>
                  <w:u w:val="single"/>
                </w:rPr>
                <w:t>ah@cedmc.org</w:t>
              </w:r>
            </w:hyperlink>
          </w:p>
        </w:tc>
      </w:tr>
      <w:tr w:rsidR="001A0896" w:rsidRPr="00D96122" w14:paraId="66DC1182"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0855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2</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DBA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CEE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845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Bernie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BBF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Kotlier</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118D" w14:textId="77777777" w:rsidR="00D96122" w:rsidRPr="00D96122" w:rsidRDefault="00D278C3" w:rsidP="007410F9">
            <w:pPr>
              <w:rPr>
                <w:rFonts w:ascii="Cambria" w:eastAsia="Times New Roman" w:hAnsi="Cambria" w:cs="Arial"/>
                <w:color w:val="0563C1"/>
                <w:sz w:val="22"/>
                <w:szCs w:val="22"/>
                <w:u w:val="single"/>
              </w:rPr>
            </w:pPr>
            <w:hyperlink r:id="rId9" w:history="1">
              <w:r w:rsidR="00D96122" w:rsidRPr="001A0896">
                <w:rPr>
                  <w:rFonts w:ascii="Cambria" w:eastAsia="Times New Roman" w:hAnsi="Cambria" w:cs="Arial"/>
                  <w:color w:val="0563C1"/>
                  <w:sz w:val="22"/>
                  <w:szCs w:val="22"/>
                  <w:u w:val="single"/>
                </w:rPr>
                <w:t>lmccenergy@gmail.com</w:t>
              </w:r>
            </w:hyperlink>
          </w:p>
        </w:tc>
      </w:tr>
      <w:tr w:rsidR="001A0896" w:rsidRPr="00D96122" w14:paraId="70CA0364"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8866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3</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9505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Bluegreen Alliance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36E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Sam</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239B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Appel</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C20FA" w14:textId="77777777" w:rsidR="00D96122" w:rsidRPr="00D96122" w:rsidRDefault="00D278C3" w:rsidP="007410F9">
            <w:pPr>
              <w:rPr>
                <w:rFonts w:ascii="Cambria" w:eastAsia="Times New Roman" w:hAnsi="Cambria" w:cs="Arial"/>
                <w:color w:val="0563C1"/>
                <w:sz w:val="22"/>
                <w:szCs w:val="22"/>
                <w:u w:val="single"/>
              </w:rPr>
            </w:pPr>
            <w:hyperlink r:id="rId10" w:history="1">
              <w:r w:rsidR="00D96122" w:rsidRPr="001A0896">
                <w:rPr>
                  <w:rFonts w:ascii="Cambria" w:eastAsia="Times New Roman" w:hAnsi="Cambria" w:cs="Arial"/>
                  <w:color w:val="0563C1"/>
                  <w:sz w:val="22"/>
                  <w:szCs w:val="22"/>
                  <w:u w:val="single"/>
                </w:rPr>
                <w:t>sappel@bluegreenalliance.org</w:t>
              </w:r>
            </w:hyperlink>
          </w:p>
        </w:tc>
      </w:tr>
      <w:tr w:rsidR="001A0896" w:rsidRPr="00D96122" w14:paraId="782C99A3"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F4D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4A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C8F2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Center for Sustainable Energy</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D935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Rebecca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AD40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Menten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5BA5" w14:textId="77777777" w:rsidR="00D96122" w:rsidRPr="00D96122" w:rsidRDefault="00D278C3" w:rsidP="007410F9">
            <w:pPr>
              <w:rPr>
                <w:rFonts w:ascii="Cambria" w:eastAsia="Times New Roman" w:hAnsi="Cambria" w:cs="Arial"/>
                <w:color w:val="0563C1"/>
                <w:sz w:val="22"/>
                <w:szCs w:val="22"/>
                <w:u w:val="single"/>
              </w:rPr>
            </w:pPr>
            <w:hyperlink r:id="rId11" w:history="1">
              <w:r w:rsidR="00D96122" w:rsidRPr="001A0896">
                <w:rPr>
                  <w:rFonts w:ascii="Cambria" w:eastAsia="Times New Roman" w:hAnsi="Cambria" w:cs="Arial"/>
                  <w:color w:val="0563C1"/>
                  <w:sz w:val="22"/>
                  <w:szCs w:val="22"/>
                  <w:u w:val="single"/>
                </w:rPr>
                <w:t>beckie.menten@energycenter.org</w:t>
              </w:r>
            </w:hyperlink>
          </w:p>
        </w:tc>
      </w:tr>
      <w:tr w:rsidR="001A0896" w:rsidRPr="00D96122" w14:paraId="5302AEB7"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EF41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4B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78D3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Center for Sustainable Energy</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70C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xml:space="preserve">Stephen </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091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Gunther</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6551" w14:textId="41D011E8" w:rsidR="00D96122" w:rsidRPr="00D96122" w:rsidRDefault="00D278C3" w:rsidP="007410F9">
            <w:pPr>
              <w:rPr>
                <w:rFonts w:ascii="Cambria" w:eastAsia="Times New Roman" w:hAnsi="Cambria" w:cs="Arial"/>
                <w:color w:val="0563C1"/>
                <w:sz w:val="22"/>
                <w:szCs w:val="22"/>
                <w:u w:val="single"/>
              </w:rPr>
            </w:pPr>
            <w:hyperlink r:id="rId12" w:history="1">
              <w:r w:rsidR="00501708" w:rsidRPr="008D7D2F">
                <w:rPr>
                  <w:rStyle w:val="Hyperlink"/>
                  <w:rFonts w:ascii="Cambria" w:eastAsia="Times New Roman" w:hAnsi="Cambria" w:cs="Arial"/>
                  <w:sz w:val="22"/>
                  <w:szCs w:val="22"/>
                </w:rPr>
                <w:t>stephen.gunther@energycenter.org</w:t>
              </w:r>
            </w:hyperlink>
          </w:p>
        </w:tc>
      </w:tr>
      <w:tr w:rsidR="001A0896" w:rsidRPr="00D96122" w14:paraId="6D0D818A"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5779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5</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0F9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ClearResult</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5A42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Chad</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FC9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Ihrig</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8B37" w14:textId="204945E4" w:rsidR="00D96122" w:rsidRPr="00D96122" w:rsidRDefault="00D278C3" w:rsidP="007410F9">
            <w:pPr>
              <w:rPr>
                <w:rFonts w:ascii="Cambria" w:eastAsia="Times New Roman" w:hAnsi="Cambria" w:cs="Arial"/>
                <w:color w:val="0563C1"/>
                <w:sz w:val="22"/>
                <w:szCs w:val="22"/>
                <w:u w:val="single"/>
              </w:rPr>
            </w:pPr>
            <w:hyperlink r:id="rId13" w:history="1">
              <w:r w:rsidR="00501708" w:rsidRPr="008D7D2F">
                <w:rPr>
                  <w:rStyle w:val="Hyperlink"/>
                  <w:rFonts w:ascii="Cambria" w:eastAsia="Times New Roman" w:hAnsi="Cambria" w:cs="Arial"/>
                  <w:sz w:val="22"/>
                  <w:szCs w:val="22"/>
                </w:rPr>
                <w:t>chad.ihrig@clearesult.com</w:t>
              </w:r>
            </w:hyperlink>
          </w:p>
        </w:tc>
      </w:tr>
      <w:tr w:rsidR="001A0896" w:rsidRPr="00D96122" w14:paraId="1207E5A1"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F6CB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6</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988F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CodeCycle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803D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Dan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D52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Suyeyasu</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3465" w14:textId="77777777" w:rsidR="00D96122" w:rsidRPr="00D96122" w:rsidRDefault="00D278C3" w:rsidP="007410F9">
            <w:pPr>
              <w:rPr>
                <w:rFonts w:ascii="Cambria" w:eastAsia="Times New Roman" w:hAnsi="Cambria" w:cs="Arial"/>
                <w:color w:val="0563C1"/>
                <w:sz w:val="22"/>
                <w:szCs w:val="22"/>
                <w:u w:val="single"/>
              </w:rPr>
            </w:pPr>
            <w:hyperlink r:id="rId14" w:history="1">
              <w:r w:rsidR="00D96122" w:rsidRPr="001A0896">
                <w:rPr>
                  <w:rFonts w:ascii="Cambria" w:eastAsia="Times New Roman" w:hAnsi="Cambria" w:cs="Arial"/>
                  <w:color w:val="0563C1"/>
                  <w:sz w:val="22"/>
                  <w:szCs w:val="22"/>
                  <w:u w:val="single"/>
                </w:rPr>
                <w:t>dan.suyeyasu@codecycle.com</w:t>
              </w:r>
            </w:hyperlink>
          </w:p>
        </w:tc>
      </w:tr>
      <w:tr w:rsidR="001A0896" w:rsidRPr="00D96122" w14:paraId="0D318009"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10A4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7A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4603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Energy Solutions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C2C0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Brian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28AD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Barnacle</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4788D" w14:textId="2E746908" w:rsidR="00D96122" w:rsidRPr="00D96122" w:rsidRDefault="00D278C3" w:rsidP="007410F9">
            <w:pPr>
              <w:rPr>
                <w:rFonts w:ascii="Cambria" w:eastAsia="Times New Roman" w:hAnsi="Cambria" w:cs="Arial"/>
                <w:color w:val="0563C1"/>
                <w:sz w:val="22"/>
                <w:szCs w:val="22"/>
                <w:u w:val="single"/>
              </w:rPr>
            </w:pPr>
            <w:hyperlink r:id="rId15" w:history="1">
              <w:r w:rsidR="00501708" w:rsidRPr="008D7D2F">
                <w:rPr>
                  <w:rStyle w:val="Hyperlink"/>
                  <w:rFonts w:ascii="Cambria" w:eastAsia="Times New Roman" w:hAnsi="Cambria" w:cs="Arial"/>
                  <w:sz w:val="22"/>
                  <w:szCs w:val="22"/>
                </w:rPr>
                <w:t>BBarnacle@energy-solution.com</w:t>
              </w:r>
            </w:hyperlink>
          </w:p>
        </w:tc>
      </w:tr>
      <w:tr w:rsidR="001A0896" w:rsidRPr="00D96122" w14:paraId="45E0BD93"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97F5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7B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6C43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Energy Solutions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2076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Teddy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31F0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Kisch</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7895" w14:textId="77777777" w:rsidR="00D96122" w:rsidRPr="00D96122" w:rsidRDefault="00D278C3" w:rsidP="007410F9">
            <w:pPr>
              <w:rPr>
                <w:rFonts w:ascii="Cambria" w:eastAsia="Times New Roman" w:hAnsi="Cambria" w:cs="Arial"/>
                <w:color w:val="0563C1"/>
                <w:sz w:val="22"/>
                <w:szCs w:val="22"/>
                <w:u w:val="single"/>
              </w:rPr>
            </w:pPr>
            <w:hyperlink r:id="rId16" w:history="1">
              <w:r w:rsidR="00D96122" w:rsidRPr="001A0896">
                <w:rPr>
                  <w:rFonts w:ascii="Cambria" w:eastAsia="Times New Roman" w:hAnsi="Cambria" w:cs="Arial"/>
                  <w:color w:val="0563C1"/>
                  <w:sz w:val="22"/>
                  <w:szCs w:val="22"/>
                  <w:u w:val="single"/>
                </w:rPr>
                <w:t xml:space="preserve">tkisch@energy-solution.com </w:t>
              </w:r>
            </w:hyperlink>
          </w:p>
        </w:tc>
      </w:tr>
      <w:tr w:rsidR="001A0896" w:rsidRPr="00D96122" w14:paraId="4063CC2A"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59B4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8A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1C0D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NRDC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FC2B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Lara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7CD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Ettenson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81613" w14:textId="77777777" w:rsidR="00D96122" w:rsidRPr="00D96122" w:rsidRDefault="00D278C3" w:rsidP="007410F9">
            <w:pPr>
              <w:rPr>
                <w:rFonts w:ascii="Cambria" w:eastAsia="Times New Roman" w:hAnsi="Cambria" w:cs="Arial"/>
                <w:color w:val="0563C1"/>
                <w:sz w:val="22"/>
                <w:szCs w:val="22"/>
                <w:u w:val="single"/>
              </w:rPr>
            </w:pPr>
            <w:hyperlink r:id="rId17" w:history="1">
              <w:r w:rsidR="00D96122" w:rsidRPr="001A0896">
                <w:rPr>
                  <w:rFonts w:ascii="Cambria" w:eastAsia="Times New Roman" w:hAnsi="Cambria" w:cs="Arial"/>
                  <w:color w:val="0563C1"/>
                  <w:sz w:val="22"/>
                  <w:szCs w:val="22"/>
                  <w:u w:val="single"/>
                </w:rPr>
                <w:t>lettenson@nrdc.org</w:t>
              </w:r>
            </w:hyperlink>
          </w:p>
        </w:tc>
      </w:tr>
      <w:tr w:rsidR="001A0896" w:rsidRPr="00D96122" w14:paraId="6FF0A63C"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4B7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8B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DBE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NRDC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336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Merrian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451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Borgeson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A9C08" w14:textId="75E3EAF1" w:rsidR="00D96122" w:rsidRPr="00D96122" w:rsidRDefault="00D278C3" w:rsidP="007410F9">
            <w:pPr>
              <w:rPr>
                <w:rFonts w:ascii="Cambria" w:eastAsia="Times New Roman" w:hAnsi="Cambria" w:cs="Arial"/>
                <w:color w:val="0563C1"/>
                <w:sz w:val="22"/>
                <w:szCs w:val="22"/>
                <w:u w:val="single"/>
              </w:rPr>
            </w:pPr>
            <w:hyperlink r:id="rId18" w:history="1">
              <w:r w:rsidR="00501708" w:rsidRPr="008D7D2F">
                <w:rPr>
                  <w:rStyle w:val="Hyperlink"/>
                  <w:rFonts w:ascii="Cambria" w:eastAsia="Times New Roman" w:hAnsi="Cambria" w:cs="Arial"/>
                  <w:sz w:val="22"/>
                  <w:szCs w:val="22"/>
                </w:rPr>
                <w:t>mborgeson@nrdc.org</w:t>
              </w:r>
            </w:hyperlink>
          </w:p>
        </w:tc>
      </w:tr>
      <w:tr w:rsidR="001A0896" w:rsidRPr="00D96122" w14:paraId="28930452"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490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9A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B72E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Public Advocates Office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8D3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Dan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794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Buch</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6E07" w14:textId="77777777" w:rsidR="00D96122" w:rsidRPr="00D96122" w:rsidRDefault="00D278C3" w:rsidP="007410F9">
            <w:pPr>
              <w:rPr>
                <w:rFonts w:ascii="Cambria" w:eastAsia="Times New Roman" w:hAnsi="Cambria" w:cs="Arial"/>
                <w:color w:val="0563C1"/>
                <w:sz w:val="22"/>
                <w:szCs w:val="22"/>
                <w:u w:val="single"/>
              </w:rPr>
            </w:pPr>
            <w:hyperlink r:id="rId19" w:history="1">
              <w:r w:rsidR="00D96122" w:rsidRPr="001A0896">
                <w:rPr>
                  <w:rFonts w:ascii="Cambria" w:eastAsia="Times New Roman" w:hAnsi="Cambria" w:cs="Arial"/>
                  <w:color w:val="0563C1"/>
                  <w:sz w:val="22"/>
                  <w:szCs w:val="22"/>
                  <w:u w:val="single"/>
                </w:rPr>
                <w:t>daniel.buch@cpuc.ca.gov</w:t>
              </w:r>
            </w:hyperlink>
          </w:p>
        </w:tc>
      </w:tr>
      <w:tr w:rsidR="001A0896" w:rsidRPr="00D96122" w14:paraId="4E584024"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9885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9B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0678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Public Advocates Office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1159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Sasha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106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Cole</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40DE" w14:textId="77777777" w:rsidR="00D96122" w:rsidRPr="00D96122" w:rsidRDefault="00D278C3" w:rsidP="007410F9">
            <w:pPr>
              <w:rPr>
                <w:rFonts w:ascii="Cambria" w:eastAsia="Times New Roman" w:hAnsi="Cambria" w:cs="Arial"/>
                <w:color w:val="0563C1"/>
                <w:sz w:val="22"/>
                <w:szCs w:val="22"/>
                <w:u w:val="single"/>
              </w:rPr>
            </w:pPr>
            <w:hyperlink r:id="rId20" w:history="1">
              <w:r w:rsidR="00D96122" w:rsidRPr="001A0896">
                <w:rPr>
                  <w:rFonts w:ascii="Cambria" w:eastAsia="Times New Roman" w:hAnsi="Cambria" w:cs="Arial"/>
                  <w:color w:val="0563C1"/>
                  <w:sz w:val="22"/>
                  <w:szCs w:val="22"/>
                  <w:u w:val="single"/>
                </w:rPr>
                <w:t>alexander.cole@cpuc.ca.gov</w:t>
              </w:r>
            </w:hyperlink>
          </w:p>
        </w:tc>
      </w:tr>
      <w:tr w:rsidR="001A0896" w:rsidRPr="00D96122" w14:paraId="1A5C93B7"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1877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10</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6804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PG&amp;E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D9E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Adam</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054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Scheer</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D61C5" w14:textId="77777777" w:rsidR="00D96122" w:rsidRPr="00D96122" w:rsidRDefault="00D278C3" w:rsidP="007410F9">
            <w:pPr>
              <w:rPr>
                <w:rFonts w:ascii="Cambria" w:eastAsia="Times New Roman" w:hAnsi="Cambria" w:cs="Arial"/>
                <w:color w:val="0563C1"/>
                <w:sz w:val="22"/>
                <w:szCs w:val="22"/>
                <w:u w:val="single"/>
              </w:rPr>
            </w:pPr>
            <w:hyperlink r:id="rId21" w:history="1">
              <w:r w:rsidR="00D96122" w:rsidRPr="001A0896">
                <w:rPr>
                  <w:rFonts w:ascii="Cambria" w:eastAsia="Times New Roman" w:hAnsi="Cambria" w:cs="Arial"/>
                  <w:color w:val="0563C1"/>
                  <w:sz w:val="22"/>
                  <w:szCs w:val="22"/>
                  <w:u w:val="single"/>
                </w:rPr>
                <w:t>a8s8@pge.com</w:t>
              </w:r>
            </w:hyperlink>
          </w:p>
        </w:tc>
      </w:tr>
      <w:tr w:rsidR="001A0896" w:rsidRPr="00D96122" w14:paraId="5DE00CB0"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A27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11</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273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Resource Innovations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322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Margie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20A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Gardner</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53A08" w14:textId="7427D866" w:rsidR="00D96122" w:rsidRPr="00D96122" w:rsidRDefault="00D278C3" w:rsidP="007410F9">
            <w:pPr>
              <w:rPr>
                <w:rFonts w:ascii="Cambria" w:eastAsia="Times New Roman" w:hAnsi="Cambria" w:cs="Arial"/>
                <w:color w:val="0563C1"/>
                <w:sz w:val="22"/>
                <w:szCs w:val="22"/>
                <w:u w:val="single"/>
              </w:rPr>
            </w:pPr>
            <w:hyperlink r:id="rId22" w:history="1">
              <w:r w:rsidR="00501708" w:rsidRPr="008D7D2F">
                <w:rPr>
                  <w:rStyle w:val="Hyperlink"/>
                  <w:rFonts w:ascii="Cambria" w:eastAsia="Times New Roman" w:hAnsi="Cambria" w:cs="Arial"/>
                  <w:sz w:val="22"/>
                  <w:szCs w:val="22"/>
                </w:rPr>
                <w:t>yesmgardner@gmail.com</w:t>
              </w:r>
            </w:hyperlink>
          </w:p>
        </w:tc>
      </w:tr>
      <w:tr w:rsidR="001A0896" w:rsidRPr="00D96122" w14:paraId="3E69136A"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3963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12A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7043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8C7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Derek</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181B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Okada</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B387" w14:textId="77777777" w:rsidR="00D96122" w:rsidRPr="00D96122" w:rsidRDefault="00D278C3" w:rsidP="007410F9">
            <w:pPr>
              <w:rPr>
                <w:rFonts w:ascii="Cambria" w:eastAsia="Times New Roman" w:hAnsi="Cambria" w:cs="Arial"/>
                <w:color w:val="0563C1"/>
                <w:sz w:val="22"/>
                <w:szCs w:val="22"/>
                <w:u w:val="single"/>
              </w:rPr>
            </w:pPr>
            <w:hyperlink r:id="rId23" w:history="1">
              <w:r w:rsidR="00D96122" w:rsidRPr="001A0896">
                <w:rPr>
                  <w:rFonts w:ascii="Cambria" w:eastAsia="Times New Roman" w:hAnsi="Cambria" w:cs="Arial"/>
                  <w:color w:val="0563C1"/>
                  <w:sz w:val="22"/>
                  <w:szCs w:val="22"/>
                  <w:u w:val="single"/>
                </w:rPr>
                <w:t>derek.okada@sce.com</w:t>
              </w:r>
            </w:hyperlink>
          </w:p>
        </w:tc>
      </w:tr>
      <w:tr w:rsidR="001A0896" w:rsidRPr="00D96122" w14:paraId="5945F9C0"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AAD6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12B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A8DA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F01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Jesse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CEF9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Feinberg</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14AD" w14:textId="77777777" w:rsidR="00D96122" w:rsidRPr="00D96122" w:rsidRDefault="00D278C3" w:rsidP="007410F9">
            <w:pPr>
              <w:rPr>
                <w:rFonts w:ascii="Cambria" w:eastAsia="Times New Roman" w:hAnsi="Cambria" w:cs="Arial"/>
                <w:color w:val="0563C1"/>
                <w:sz w:val="22"/>
                <w:szCs w:val="22"/>
                <w:u w:val="single"/>
              </w:rPr>
            </w:pPr>
            <w:hyperlink r:id="rId24" w:history="1">
              <w:r w:rsidR="00D96122" w:rsidRPr="001A0896">
                <w:rPr>
                  <w:rFonts w:ascii="Cambria" w:eastAsia="Times New Roman" w:hAnsi="Cambria" w:cs="Arial"/>
                  <w:color w:val="0563C1"/>
                  <w:sz w:val="22"/>
                  <w:szCs w:val="22"/>
                  <w:u w:val="single"/>
                </w:rPr>
                <w:t>jesse.feinberg@sce.com</w:t>
              </w:r>
            </w:hyperlink>
          </w:p>
        </w:tc>
      </w:tr>
      <w:tr w:rsidR="001A0896" w:rsidRPr="00D96122" w14:paraId="74C98078"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30D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12C</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65C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SCE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6234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Kevin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496D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Thompson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7320" w14:textId="77777777" w:rsidR="00D96122" w:rsidRPr="00D96122" w:rsidRDefault="00D278C3" w:rsidP="007410F9">
            <w:pPr>
              <w:rPr>
                <w:rFonts w:ascii="Cambria" w:eastAsia="Times New Roman" w:hAnsi="Cambria" w:cs="Arial"/>
                <w:color w:val="0563C1"/>
                <w:sz w:val="22"/>
                <w:szCs w:val="22"/>
                <w:u w:val="single"/>
              </w:rPr>
            </w:pPr>
            <w:hyperlink r:id="rId25" w:history="1">
              <w:r w:rsidR="00D96122" w:rsidRPr="001A0896">
                <w:rPr>
                  <w:rFonts w:ascii="Cambria" w:eastAsia="Times New Roman" w:hAnsi="Cambria" w:cs="Arial"/>
                  <w:color w:val="0563C1"/>
                  <w:sz w:val="22"/>
                  <w:szCs w:val="22"/>
                  <w:u w:val="single"/>
                </w:rPr>
                <w:t>kevin.m.thompson@sce.com</w:t>
              </w:r>
            </w:hyperlink>
          </w:p>
        </w:tc>
      </w:tr>
      <w:tr w:rsidR="001A0896" w:rsidRPr="00D96122" w14:paraId="542BC7D9"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605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12D</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023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SCE (Consultant)</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8D80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Carol</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A62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Yin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53AC" w14:textId="77777777" w:rsidR="00D96122" w:rsidRPr="00D96122" w:rsidRDefault="00D278C3" w:rsidP="007410F9">
            <w:pPr>
              <w:rPr>
                <w:rFonts w:ascii="Cambria" w:eastAsia="Times New Roman" w:hAnsi="Cambria" w:cs="Arial"/>
                <w:color w:val="0563C1"/>
                <w:sz w:val="22"/>
                <w:szCs w:val="22"/>
                <w:u w:val="single"/>
              </w:rPr>
            </w:pPr>
            <w:hyperlink r:id="rId26" w:history="1">
              <w:r w:rsidR="00D96122" w:rsidRPr="001A0896">
                <w:rPr>
                  <w:rFonts w:ascii="Cambria" w:eastAsia="Times New Roman" w:hAnsi="Cambria" w:cs="Arial"/>
                  <w:color w:val="0563C1"/>
                  <w:sz w:val="22"/>
                  <w:szCs w:val="22"/>
                  <w:u w:val="single"/>
                </w:rPr>
                <w:t xml:space="preserve">cyin@yinsight.net </w:t>
              </w:r>
            </w:hyperlink>
          </w:p>
        </w:tc>
      </w:tr>
      <w:tr w:rsidR="001A0896" w:rsidRPr="00D96122" w14:paraId="05C2F041"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EABE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13A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6394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SDG&amp;E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29A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Raghav</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520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Murali</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A4556" w14:textId="77777777" w:rsidR="00D96122" w:rsidRPr="00D96122" w:rsidRDefault="00D278C3" w:rsidP="007410F9">
            <w:pPr>
              <w:rPr>
                <w:rFonts w:ascii="Cambria" w:eastAsia="Times New Roman" w:hAnsi="Cambria" w:cs="Arial"/>
                <w:color w:val="0563C1"/>
                <w:sz w:val="22"/>
                <w:szCs w:val="22"/>
                <w:u w:val="single"/>
              </w:rPr>
            </w:pPr>
            <w:hyperlink r:id="rId27" w:history="1">
              <w:r w:rsidR="00D96122" w:rsidRPr="001A0896">
                <w:rPr>
                  <w:rFonts w:ascii="Cambria" w:eastAsia="Times New Roman" w:hAnsi="Cambria" w:cs="Arial"/>
                  <w:color w:val="0563C1"/>
                  <w:sz w:val="22"/>
                  <w:szCs w:val="22"/>
                  <w:u w:val="single"/>
                </w:rPr>
                <w:t>rmurali@semprautilities.com</w:t>
              </w:r>
            </w:hyperlink>
          </w:p>
        </w:tc>
      </w:tr>
      <w:tr w:rsidR="001A0896" w:rsidRPr="00D96122" w14:paraId="558FC1A2"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926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13B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85A6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SDG&amp;E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FF05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Jesse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4F14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Emge</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2F27" w14:textId="77777777" w:rsidR="00D96122" w:rsidRPr="00D96122" w:rsidRDefault="00D278C3" w:rsidP="007410F9">
            <w:pPr>
              <w:rPr>
                <w:rFonts w:ascii="Cambria" w:eastAsia="Times New Roman" w:hAnsi="Cambria" w:cs="Arial"/>
                <w:color w:val="0563C1"/>
                <w:sz w:val="22"/>
                <w:szCs w:val="22"/>
                <w:u w:val="single"/>
              </w:rPr>
            </w:pPr>
            <w:hyperlink r:id="rId28" w:history="1">
              <w:r w:rsidR="00D96122" w:rsidRPr="001A0896">
                <w:rPr>
                  <w:rFonts w:ascii="Cambria" w:eastAsia="Times New Roman" w:hAnsi="Cambria" w:cs="Arial"/>
                  <w:color w:val="0563C1"/>
                  <w:sz w:val="22"/>
                  <w:szCs w:val="22"/>
                  <w:u w:val="single"/>
                </w:rPr>
                <w:t>jemge@semprautilities.com</w:t>
              </w:r>
            </w:hyperlink>
          </w:p>
        </w:tc>
      </w:tr>
      <w:tr w:rsidR="001A0896" w:rsidRPr="00D96122" w14:paraId="26531E91"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553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13C</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6185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SDG&amp;E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18B8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Athena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217B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Besa</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50D11" w14:textId="77777777" w:rsidR="00D96122" w:rsidRPr="00D96122" w:rsidRDefault="00D278C3" w:rsidP="007410F9">
            <w:pPr>
              <w:rPr>
                <w:rFonts w:ascii="Cambria" w:eastAsia="Times New Roman" w:hAnsi="Cambria" w:cs="Arial"/>
                <w:color w:val="0563C1"/>
                <w:sz w:val="22"/>
                <w:szCs w:val="22"/>
                <w:u w:val="single"/>
              </w:rPr>
            </w:pPr>
            <w:hyperlink r:id="rId29" w:history="1">
              <w:r w:rsidR="00D96122" w:rsidRPr="001A0896">
                <w:rPr>
                  <w:rFonts w:ascii="Cambria" w:eastAsia="Times New Roman" w:hAnsi="Cambria" w:cs="Arial"/>
                  <w:color w:val="0563C1"/>
                  <w:sz w:val="22"/>
                  <w:szCs w:val="22"/>
                  <w:u w:val="single"/>
                </w:rPr>
                <w:t xml:space="preserve">abesa@semprautilities.com </w:t>
              </w:r>
            </w:hyperlink>
          </w:p>
        </w:tc>
      </w:tr>
      <w:tr w:rsidR="001A0896" w:rsidRPr="00D96122" w14:paraId="3A48A2A4" w14:textId="77777777" w:rsidTr="007410F9">
        <w:trPr>
          <w:trHeight w:val="36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86EE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14</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35FA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Sheet Metal Workers Local 104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A157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Dave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30E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Dias</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CA03" w14:textId="77777777" w:rsidR="00D96122" w:rsidRPr="00D96122" w:rsidRDefault="00D278C3" w:rsidP="007410F9">
            <w:pPr>
              <w:rPr>
                <w:rFonts w:ascii="Cambria" w:eastAsia="Times New Roman" w:hAnsi="Cambria" w:cs="Arial"/>
                <w:color w:val="0563C1"/>
                <w:sz w:val="22"/>
                <w:szCs w:val="22"/>
                <w:u w:val="single"/>
              </w:rPr>
            </w:pPr>
            <w:hyperlink r:id="rId30" w:history="1">
              <w:r w:rsidR="00D96122" w:rsidRPr="001A0896">
                <w:rPr>
                  <w:rFonts w:ascii="Cambria" w:eastAsia="Times New Roman" w:hAnsi="Cambria" w:cs="Arial"/>
                  <w:color w:val="0563C1"/>
                  <w:sz w:val="22"/>
                  <w:szCs w:val="22"/>
                  <w:u w:val="single"/>
                </w:rPr>
                <w:t>daved@smw104.org</w:t>
              </w:r>
            </w:hyperlink>
          </w:p>
        </w:tc>
      </w:tr>
      <w:tr w:rsidR="001A0896" w:rsidRPr="00D96122" w14:paraId="1B6B4408" w14:textId="77777777" w:rsidTr="007410F9">
        <w:trPr>
          <w:trHeight w:val="377"/>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475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15</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1C5A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Small Business Utility Advocates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34F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Ivan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E87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Jimenez</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DD2C3" w14:textId="77777777" w:rsidR="00D96122" w:rsidRPr="00D96122" w:rsidRDefault="00D278C3" w:rsidP="007410F9">
            <w:pPr>
              <w:rPr>
                <w:rFonts w:ascii="Cambria" w:eastAsia="Times New Roman" w:hAnsi="Cambria" w:cs="Arial"/>
                <w:color w:val="0563C1"/>
                <w:sz w:val="22"/>
                <w:szCs w:val="22"/>
                <w:u w:val="single"/>
              </w:rPr>
            </w:pPr>
            <w:hyperlink r:id="rId31" w:history="1">
              <w:r w:rsidR="00D96122" w:rsidRPr="001A0896">
                <w:rPr>
                  <w:rFonts w:ascii="Cambria" w:eastAsia="Times New Roman" w:hAnsi="Cambria" w:cs="Arial"/>
                  <w:color w:val="0563C1"/>
                  <w:sz w:val="22"/>
                  <w:szCs w:val="22"/>
                  <w:u w:val="single"/>
                </w:rPr>
                <w:t>ivan@utilityadvocates.org</w:t>
              </w:r>
            </w:hyperlink>
          </w:p>
        </w:tc>
      </w:tr>
      <w:tr w:rsidR="007410F9" w:rsidRPr="00D96122" w14:paraId="239DEC77"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D9B6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16A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0B17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SoCalGas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4E84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Erin</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326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Brooks</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6DBE" w14:textId="77777777" w:rsidR="00D96122" w:rsidRPr="00D96122" w:rsidRDefault="00D278C3" w:rsidP="007410F9">
            <w:pPr>
              <w:rPr>
                <w:rFonts w:ascii="Cambria" w:eastAsia="Times New Roman" w:hAnsi="Cambria" w:cs="Arial"/>
                <w:color w:val="0563C1"/>
                <w:sz w:val="22"/>
                <w:szCs w:val="22"/>
                <w:u w:val="single"/>
              </w:rPr>
            </w:pPr>
            <w:hyperlink r:id="rId32" w:history="1">
              <w:r w:rsidR="00D96122" w:rsidRPr="001A0896">
                <w:rPr>
                  <w:rFonts w:ascii="Cambria" w:eastAsia="Times New Roman" w:hAnsi="Cambria" w:cs="Arial"/>
                  <w:color w:val="0563C1"/>
                  <w:sz w:val="22"/>
                  <w:szCs w:val="22"/>
                  <w:u w:val="single"/>
                </w:rPr>
                <w:t>epbrooks@semprautilities.com</w:t>
              </w:r>
            </w:hyperlink>
          </w:p>
        </w:tc>
      </w:tr>
      <w:tr w:rsidR="007410F9" w:rsidRPr="00D96122" w14:paraId="77A5F243" w14:textId="77777777" w:rsidTr="007410F9">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54DE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16B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B358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SoCalGas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1009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Elizabeth</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163F3" w14:textId="306AC60A"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xml:space="preserve">Gomez </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41DBE" w14:textId="77777777" w:rsidR="00D96122" w:rsidRPr="00D96122" w:rsidRDefault="00D278C3" w:rsidP="007410F9">
            <w:pPr>
              <w:rPr>
                <w:rFonts w:ascii="Cambria" w:eastAsia="Times New Roman" w:hAnsi="Cambria" w:cs="Arial"/>
                <w:color w:val="0563C1"/>
                <w:sz w:val="22"/>
                <w:szCs w:val="22"/>
                <w:u w:val="single"/>
              </w:rPr>
            </w:pPr>
            <w:hyperlink r:id="rId33" w:history="1">
              <w:r w:rsidR="00D96122" w:rsidRPr="001A0896">
                <w:rPr>
                  <w:rFonts w:ascii="Cambria" w:eastAsia="Times New Roman" w:hAnsi="Cambria" w:cs="Arial"/>
                  <w:color w:val="0563C1"/>
                  <w:sz w:val="22"/>
                  <w:szCs w:val="22"/>
                  <w:u w:val="single"/>
                </w:rPr>
                <w:t xml:space="preserve">ebgomez@semprautilities.com </w:t>
              </w:r>
            </w:hyperlink>
          </w:p>
        </w:tc>
      </w:tr>
      <w:tr w:rsidR="007410F9" w:rsidRPr="00D96122" w14:paraId="4C23DC31"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BF87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17A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C38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SoCalRen</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8F3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Lujuana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D4EB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Medina</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2F092" w14:textId="77777777" w:rsidR="00D96122" w:rsidRPr="00D96122" w:rsidRDefault="00D278C3" w:rsidP="007410F9">
            <w:pPr>
              <w:rPr>
                <w:rFonts w:ascii="Cambria" w:eastAsia="Times New Roman" w:hAnsi="Cambria" w:cs="Arial"/>
                <w:color w:val="0563C1"/>
                <w:sz w:val="22"/>
                <w:szCs w:val="22"/>
                <w:u w:val="single"/>
              </w:rPr>
            </w:pPr>
            <w:hyperlink r:id="rId34" w:history="1">
              <w:r w:rsidR="00D96122" w:rsidRPr="001A0896">
                <w:rPr>
                  <w:rFonts w:ascii="Cambria" w:eastAsia="Times New Roman" w:hAnsi="Cambria" w:cs="Arial"/>
                  <w:color w:val="0563C1"/>
                  <w:sz w:val="22"/>
                  <w:szCs w:val="22"/>
                  <w:u w:val="single"/>
                </w:rPr>
                <w:t>LMedina@isd.lacounty.gov</w:t>
              </w:r>
            </w:hyperlink>
          </w:p>
        </w:tc>
      </w:tr>
      <w:tr w:rsidR="007410F9" w:rsidRPr="00D96122" w14:paraId="613089D0"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324C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17B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601F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SoCalRen</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324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Matt</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2B31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Skolnik</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69B9" w14:textId="10F11EB2" w:rsidR="00D96122" w:rsidRPr="00D96122" w:rsidRDefault="00D278C3" w:rsidP="007410F9">
            <w:pPr>
              <w:rPr>
                <w:rFonts w:ascii="Cambria" w:eastAsia="Times New Roman" w:hAnsi="Cambria" w:cs="Arial"/>
                <w:color w:val="0563C1"/>
                <w:sz w:val="22"/>
                <w:szCs w:val="22"/>
                <w:u w:val="single"/>
              </w:rPr>
            </w:pPr>
            <w:hyperlink r:id="rId35" w:history="1">
              <w:r w:rsidR="00501708" w:rsidRPr="008D7D2F">
                <w:rPr>
                  <w:rStyle w:val="Hyperlink"/>
                  <w:rFonts w:ascii="Cambria" w:eastAsia="Times New Roman" w:hAnsi="Cambria" w:cs="Arial"/>
                  <w:sz w:val="22"/>
                  <w:szCs w:val="22"/>
                </w:rPr>
                <w:t>MSkolnik@isd.lacounty.gov</w:t>
              </w:r>
            </w:hyperlink>
          </w:p>
        </w:tc>
      </w:tr>
      <w:tr w:rsidR="007410F9" w:rsidRPr="00D96122" w14:paraId="4857A21E"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E5D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18</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4B3C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The Energy Coalition</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E6B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Marc</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51D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Costa</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E6D7" w14:textId="77777777" w:rsidR="00D96122" w:rsidRPr="00D96122" w:rsidRDefault="00D278C3" w:rsidP="007410F9">
            <w:pPr>
              <w:rPr>
                <w:rFonts w:ascii="Cambria" w:eastAsia="Times New Roman" w:hAnsi="Cambria" w:cs="Arial"/>
                <w:color w:val="0563C1"/>
                <w:sz w:val="22"/>
                <w:szCs w:val="22"/>
                <w:u w:val="single"/>
              </w:rPr>
            </w:pPr>
            <w:hyperlink r:id="rId36" w:history="1">
              <w:r w:rsidR="00D96122" w:rsidRPr="001A0896">
                <w:rPr>
                  <w:rFonts w:ascii="Cambria" w:eastAsia="Times New Roman" w:hAnsi="Cambria" w:cs="Arial"/>
                  <w:color w:val="0563C1"/>
                  <w:sz w:val="22"/>
                  <w:szCs w:val="22"/>
                  <w:u w:val="single"/>
                </w:rPr>
                <w:t>mcosta@energycoalition.org</w:t>
              </w:r>
            </w:hyperlink>
          </w:p>
        </w:tc>
      </w:tr>
      <w:tr w:rsidR="007410F9" w:rsidRPr="00D96122" w14:paraId="506A0B5B"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334D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19</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ECAB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TURN</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3813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xml:space="preserve">Hayley </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0A6F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Goodson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5455" w14:textId="77777777" w:rsidR="00D96122" w:rsidRPr="00D96122" w:rsidRDefault="00D278C3" w:rsidP="007410F9">
            <w:pPr>
              <w:rPr>
                <w:rFonts w:ascii="Cambria" w:eastAsia="Times New Roman" w:hAnsi="Cambria" w:cs="Arial"/>
                <w:color w:val="0563C1"/>
                <w:sz w:val="22"/>
                <w:szCs w:val="22"/>
                <w:u w:val="single"/>
              </w:rPr>
            </w:pPr>
            <w:hyperlink r:id="rId37" w:history="1">
              <w:r w:rsidR="00D96122" w:rsidRPr="001A0896">
                <w:rPr>
                  <w:rFonts w:ascii="Cambria" w:eastAsia="Times New Roman" w:hAnsi="Cambria" w:cs="Arial"/>
                  <w:color w:val="0563C1"/>
                  <w:sz w:val="22"/>
                  <w:szCs w:val="22"/>
                  <w:u w:val="single"/>
                </w:rPr>
                <w:t xml:space="preserve">hayley@turn.org </w:t>
              </w:r>
            </w:hyperlink>
          </w:p>
        </w:tc>
      </w:tr>
      <w:tr w:rsidR="007410F9" w:rsidRPr="00D96122" w14:paraId="2DDF448D"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29108"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20A</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293C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WHPA Inc.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B47A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Elsia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7B04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Galawish</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23D88" w14:textId="77777777" w:rsidR="00D96122" w:rsidRPr="00D96122" w:rsidRDefault="00D278C3" w:rsidP="007410F9">
            <w:pPr>
              <w:rPr>
                <w:rFonts w:ascii="Cambria" w:eastAsia="Times New Roman" w:hAnsi="Cambria" w:cs="Arial"/>
                <w:color w:val="0563C1"/>
                <w:sz w:val="22"/>
                <w:szCs w:val="22"/>
                <w:u w:val="single"/>
              </w:rPr>
            </w:pPr>
            <w:hyperlink r:id="rId38" w:history="1">
              <w:r w:rsidR="00D96122" w:rsidRPr="001A0896">
                <w:rPr>
                  <w:rFonts w:ascii="Cambria" w:eastAsia="Times New Roman" w:hAnsi="Cambria" w:cs="Arial"/>
                  <w:color w:val="0563C1"/>
                  <w:sz w:val="22"/>
                  <w:szCs w:val="22"/>
                  <w:u w:val="single"/>
                </w:rPr>
                <w:t xml:space="preserve">galawish@whpa-inc.org </w:t>
              </w:r>
            </w:hyperlink>
          </w:p>
        </w:tc>
      </w:tr>
      <w:tr w:rsidR="007410F9" w:rsidRPr="00D96122" w14:paraId="11888111"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5AD4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lastRenderedPageBreak/>
              <w:t>20B</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4CD9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WHPA Inc.</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E30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Barbara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A20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Hernesman</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79E7" w14:textId="77777777" w:rsidR="00D96122" w:rsidRPr="00D96122" w:rsidRDefault="00D278C3" w:rsidP="007410F9">
            <w:pPr>
              <w:rPr>
                <w:rFonts w:ascii="Cambria" w:eastAsia="Times New Roman" w:hAnsi="Cambria" w:cs="Arial"/>
                <w:color w:val="0563C1"/>
                <w:sz w:val="22"/>
                <w:szCs w:val="22"/>
                <w:u w:val="single"/>
              </w:rPr>
            </w:pPr>
            <w:hyperlink r:id="rId39" w:history="1">
              <w:r w:rsidR="00D96122" w:rsidRPr="001A0896">
                <w:rPr>
                  <w:rFonts w:ascii="Cambria" w:eastAsia="Times New Roman" w:hAnsi="Cambria" w:cs="Arial"/>
                  <w:color w:val="0563C1"/>
                  <w:sz w:val="22"/>
                  <w:szCs w:val="22"/>
                  <w:u w:val="single"/>
                </w:rPr>
                <w:t xml:space="preserve">hernesman@whpa-inc.org </w:t>
              </w:r>
            </w:hyperlink>
          </w:p>
        </w:tc>
      </w:tr>
      <w:tr w:rsidR="007410F9" w:rsidRPr="00D96122" w14:paraId="0C8DFAD1" w14:textId="77777777" w:rsidTr="000B6050">
        <w:trPr>
          <w:trHeight w:val="320"/>
          <w:jc w:val="center"/>
        </w:trPr>
        <w:tc>
          <w:tcPr>
            <w:tcW w:w="625" w:type="dxa"/>
            <w:tcBorders>
              <w:top w:val="single" w:sz="4" w:space="0" w:color="auto"/>
              <w:left w:val="nil"/>
              <w:bottom w:val="single" w:sz="4" w:space="0" w:color="auto"/>
              <w:right w:val="nil"/>
            </w:tcBorders>
            <w:shd w:val="clear" w:color="auto" w:fill="auto"/>
            <w:noWrap/>
            <w:vAlign w:val="center"/>
            <w:hideMark/>
          </w:tcPr>
          <w:p w14:paraId="3CCC1D1A" w14:textId="77777777" w:rsidR="00D96122" w:rsidRPr="00D96122" w:rsidRDefault="00D96122" w:rsidP="007410F9">
            <w:pPr>
              <w:rPr>
                <w:rFonts w:ascii="Cambria" w:eastAsia="Times New Roman" w:hAnsi="Cambria" w:cs="Arial"/>
                <w:color w:val="0563C1"/>
                <w:sz w:val="22"/>
                <w:szCs w:val="22"/>
                <w:u w:val="single"/>
              </w:rPr>
            </w:pPr>
          </w:p>
        </w:tc>
        <w:tc>
          <w:tcPr>
            <w:tcW w:w="3837" w:type="dxa"/>
            <w:tcBorders>
              <w:top w:val="single" w:sz="4" w:space="0" w:color="auto"/>
              <w:left w:val="nil"/>
              <w:bottom w:val="single" w:sz="4" w:space="0" w:color="auto"/>
              <w:right w:val="nil"/>
            </w:tcBorders>
            <w:shd w:val="clear" w:color="auto" w:fill="auto"/>
            <w:noWrap/>
            <w:vAlign w:val="center"/>
            <w:hideMark/>
          </w:tcPr>
          <w:p w14:paraId="7D85438F" w14:textId="77777777" w:rsidR="00D96122" w:rsidRPr="00D96122" w:rsidRDefault="00D96122" w:rsidP="007410F9">
            <w:pPr>
              <w:rPr>
                <w:rFonts w:ascii="Cambria" w:eastAsia="Times New Roman" w:hAnsi="Cambria" w:cs="Times New Roman"/>
                <w:sz w:val="22"/>
                <w:szCs w:val="22"/>
              </w:rPr>
            </w:pPr>
          </w:p>
        </w:tc>
        <w:tc>
          <w:tcPr>
            <w:tcW w:w="1103" w:type="dxa"/>
            <w:tcBorders>
              <w:top w:val="single" w:sz="4" w:space="0" w:color="auto"/>
              <w:left w:val="nil"/>
              <w:bottom w:val="single" w:sz="4" w:space="0" w:color="auto"/>
              <w:right w:val="nil"/>
            </w:tcBorders>
            <w:shd w:val="clear" w:color="auto" w:fill="auto"/>
            <w:noWrap/>
            <w:vAlign w:val="center"/>
            <w:hideMark/>
          </w:tcPr>
          <w:p w14:paraId="7C7DD256" w14:textId="77777777" w:rsidR="00D96122" w:rsidRPr="00D96122" w:rsidRDefault="00D96122" w:rsidP="007410F9">
            <w:pPr>
              <w:rPr>
                <w:rFonts w:ascii="Cambria" w:eastAsia="Times New Roman" w:hAnsi="Cambria" w:cs="Times New Roman"/>
                <w:sz w:val="22"/>
                <w:szCs w:val="22"/>
              </w:rPr>
            </w:pPr>
          </w:p>
        </w:tc>
        <w:tc>
          <w:tcPr>
            <w:tcW w:w="1450" w:type="dxa"/>
            <w:tcBorders>
              <w:top w:val="single" w:sz="4" w:space="0" w:color="auto"/>
              <w:left w:val="nil"/>
              <w:bottom w:val="single" w:sz="4" w:space="0" w:color="auto"/>
              <w:right w:val="nil"/>
            </w:tcBorders>
            <w:shd w:val="clear" w:color="auto" w:fill="auto"/>
            <w:noWrap/>
            <w:vAlign w:val="center"/>
            <w:hideMark/>
          </w:tcPr>
          <w:p w14:paraId="01FB2428" w14:textId="77777777" w:rsidR="00D96122" w:rsidRPr="00D96122" w:rsidRDefault="00D96122" w:rsidP="007410F9">
            <w:pPr>
              <w:rPr>
                <w:rFonts w:ascii="Cambria" w:eastAsia="Times New Roman" w:hAnsi="Cambria" w:cs="Times New Roman"/>
                <w:sz w:val="22"/>
                <w:szCs w:val="22"/>
              </w:rPr>
            </w:pPr>
          </w:p>
        </w:tc>
        <w:tc>
          <w:tcPr>
            <w:tcW w:w="3563" w:type="dxa"/>
            <w:tcBorders>
              <w:top w:val="single" w:sz="4" w:space="0" w:color="auto"/>
              <w:left w:val="nil"/>
              <w:bottom w:val="single" w:sz="4" w:space="0" w:color="auto"/>
              <w:right w:val="nil"/>
            </w:tcBorders>
            <w:shd w:val="clear" w:color="auto" w:fill="auto"/>
            <w:noWrap/>
            <w:vAlign w:val="center"/>
            <w:hideMark/>
          </w:tcPr>
          <w:p w14:paraId="1AA6D033" w14:textId="77777777" w:rsidR="00D96122" w:rsidRPr="00D96122" w:rsidRDefault="00D96122" w:rsidP="007410F9">
            <w:pPr>
              <w:rPr>
                <w:rFonts w:ascii="Cambria" w:eastAsia="Times New Roman" w:hAnsi="Cambria" w:cs="Times New Roman"/>
                <w:sz w:val="22"/>
                <w:szCs w:val="22"/>
              </w:rPr>
            </w:pPr>
          </w:p>
        </w:tc>
      </w:tr>
      <w:tr w:rsidR="007410F9" w:rsidRPr="00D96122" w14:paraId="13F059BB" w14:textId="77777777" w:rsidTr="000B6050">
        <w:trPr>
          <w:trHeight w:val="340"/>
          <w:jc w:val="center"/>
        </w:trPr>
        <w:tc>
          <w:tcPr>
            <w:tcW w:w="4462"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DBD694" w14:textId="77777777" w:rsidR="00D96122" w:rsidRPr="00D96122" w:rsidRDefault="00D96122" w:rsidP="007410F9">
            <w:pPr>
              <w:rPr>
                <w:rFonts w:ascii="Cambria" w:eastAsia="Times New Roman" w:hAnsi="Cambria" w:cs="Arial"/>
                <w:b/>
                <w:bCs/>
                <w:color w:val="FFFFFF"/>
                <w:sz w:val="22"/>
                <w:szCs w:val="22"/>
              </w:rPr>
            </w:pPr>
            <w:r w:rsidRPr="00D96122">
              <w:rPr>
                <w:rFonts w:ascii="Cambria" w:eastAsia="Times New Roman" w:hAnsi="Cambria" w:cs="Arial"/>
                <w:b/>
                <w:bCs/>
                <w:color w:val="FFFFFF"/>
                <w:sz w:val="22"/>
                <w:szCs w:val="22"/>
              </w:rPr>
              <w:t>Resources/Observers</w:t>
            </w:r>
          </w:p>
        </w:tc>
        <w:tc>
          <w:tcPr>
            <w:tcW w:w="110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5C3BD8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c>
          <w:tcPr>
            <w:tcW w:w="145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4A2AF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c>
          <w:tcPr>
            <w:tcW w:w="356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55E766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r>
      <w:tr w:rsidR="001A0896" w:rsidRPr="001A0896" w14:paraId="40389604" w14:textId="77777777" w:rsidTr="007410F9">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AF2365" w14:textId="0B3C49A6" w:rsidR="00D96122" w:rsidRPr="00D96122" w:rsidRDefault="00D96122" w:rsidP="007410F9">
            <w:pPr>
              <w:rPr>
                <w:rFonts w:ascii="Cambria" w:eastAsia="Times New Roman" w:hAnsi="Cambria" w:cs="Arial"/>
                <w:b/>
                <w:bCs/>
                <w:color w:val="000000"/>
                <w:sz w:val="22"/>
                <w:szCs w:val="22"/>
              </w:rPr>
            </w:pPr>
          </w:p>
        </w:tc>
        <w:tc>
          <w:tcPr>
            <w:tcW w:w="38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ED7F9C" w14:textId="77777777"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Organization:</w:t>
            </w:r>
          </w:p>
        </w:tc>
        <w:tc>
          <w:tcPr>
            <w:tcW w:w="11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4533B4" w14:textId="22E21AE1"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 xml:space="preserve">First </w:t>
            </w:r>
          </w:p>
        </w:tc>
        <w:tc>
          <w:tcPr>
            <w:tcW w:w="14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DD446D" w14:textId="5124BD2F"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Last</w:t>
            </w:r>
          </w:p>
        </w:tc>
        <w:tc>
          <w:tcPr>
            <w:tcW w:w="3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96E0BE" w14:textId="3DFF178B"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Email</w:t>
            </w:r>
          </w:p>
        </w:tc>
      </w:tr>
      <w:tr w:rsidR="007410F9" w:rsidRPr="00D96122" w14:paraId="714C145C"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EBB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3E57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NW Energy Efficiency Alliance</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7C3D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Jeff</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5B0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Harris</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F389F" w14:textId="77777777" w:rsidR="00D96122" w:rsidRPr="00D96122" w:rsidRDefault="00D278C3" w:rsidP="007410F9">
            <w:pPr>
              <w:rPr>
                <w:rFonts w:ascii="Cambria" w:eastAsia="Times New Roman" w:hAnsi="Cambria" w:cs="Arial"/>
                <w:color w:val="0563C1"/>
                <w:sz w:val="22"/>
                <w:szCs w:val="22"/>
                <w:u w:val="single"/>
              </w:rPr>
            </w:pPr>
            <w:hyperlink r:id="rId40" w:history="1">
              <w:r w:rsidR="00D96122" w:rsidRPr="001A0896">
                <w:rPr>
                  <w:rFonts w:ascii="Cambria" w:eastAsia="Times New Roman" w:hAnsi="Cambria" w:cs="Arial"/>
                  <w:color w:val="0563C1"/>
                  <w:sz w:val="22"/>
                  <w:szCs w:val="22"/>
                  <w:u w:val="single"/>
                </w:rPr>
                <w:t>jharris@neea.org</w:t>
              </w:r>
            </w:hyperlink>
          </w:p>
        </w:tc>
      </w:tr>
      <w:tr w:rsidR="007410F9" w:rsidRPr="00D96122" w14:paraId="3BF43DDD"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FD2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D215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NW Energy Efficiency Alliance</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43F6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Dulane</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1FD2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Moran</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C917" w14:textId="77777777" w:rsidR="00D96122" w:rsidRPr="00D96122" w:rsidRDefault="00D278C3" w:rsidP="007410F9">
            <w:pPr>
              <w:rPr>
                <w:rFonts w:ascii="Cambria" w:eastAsia="Times New Roman" w:hAnsi="Cambria" w:cs="Calibri"/>
                <w:color w:val="0563C1"/>
                <w:sz w:val="22"/>
                <w:szCs w:val="22"/>
                <w:u w:val="single"/>
              </w:rPr>
            </w:pPr>
            <w:hyperlink r:id="rId41" w:history="1">
              <w:r w:rsidR="00D96122" w:rsidRPr="001A0896">
                <w:rPr>
                  <w:rFonts w:ascii="Cambria" w:eastAsia="Times New Roman" w:hAnsi="Cambria" w:cs="Calibri"/>
                  <w:color w:val="0563C1"/>
                  <w:sz w:val="22"/>
                  <w:szCs w:val="22"/>
                  <w:u w:val="single"/>
                </w:rPr>
                <w:t xml:space="preserve">DMoran@neea.org </w:t>
              </w:r>
            </w:hyperlink>
          </w:p>
        </w:tc>
      </w:tr>
      <w:tr w:rsidR="007410F9" w:rsidRPr="00D96122" w14:paraId="04B7EE48"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61E3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17F5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CPUC</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F0D4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Christina</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CA95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Torok</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6A6F" w14:textId="77777777" w:rsidR="00D96122" w:rsidRPr="00D96122" w:rsidRDefault="00D278C3" w:rsidP="007410F9">
            <w:pPr>
              <w:rPr>
                <w:rFonts w:ascii="Cambria" w:eastAsia="Times New Roman" w:hAnsi="Cambria" w:cs="Arial"/>
                <w:color w:val="0563C1"/>
                <w:sz w:val="22"/>
                <w:szCs w:val="22"/>
                <w:u w:val="single"/>
              </w:rPr>
            </w:pPr>
            <w:hyperlink r:id="rId42" w:history="1">
              <w:r w:rsidR="00D96122" w:rsidRPr="001A0896">
                <w:rPr>
                  <w:rFonts w:ascii="Cambria" w:eastAsia="Times New Roman" w:hAnsi="Cambria" w:cs="Arial"/>
                  <w:color w:val="0563C1"/>
                  <w:sz w:val="22"/>
                  <w:szCs w:val="22"/>
                  <w:u w:val="single"/>
                </w:rPr>
                <w:t>christina.torok@cpuc.ca.gov</w:t>
              </w:r>
            </w:hyperlink>
          </w:p>
        </w:tc>
      </w:tr>
      <w:tr w:rsidR="007410F9" w:rsidRPr="00D96122" w14:paraId="3A6251E6"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CFE5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6D0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CPUC</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1976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Hal</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B5AC3"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Kane</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C8B9" w14:textId="77777777" w:rsidR="00D96122" w:rsidRPr="00D96122" w:rsidRDefault="00D278C3" w:rsidP="007410F9">
            <w:pPr>
              <w:rPr>
                <w:rFonts w:ascii="Cambria" w:eastAsia="Times New Roman" w:hAnsi="Cambria" w:cs="Arial"/>
                <w:color w:val="0563C1"/>
                <w:sz w:val="22"/>
                <w:szCs w:val="22"/>
                <w:u w:val="single"/>
              </w:rPr>
            </w:pPr>
            <w:hyperlink r:id="rId43" w:history="1">
              <w:r w:rsidR="00D96122" w:rsidRPr="001A0896">
                <w:rPr>
                  <w:rFonts w:ascii="Cambria" w:eastAsia="Times New Roman" w:hAnsi="Cambria" w:cs="Arial"/>
                  <w:color w:val="0563C1"/>
                  <w:sz w:val="22"/>
                  <w:szCs w:val="22"/>
                  <w:u w:val="single"/>
                </w:rPr>
                <w:t>Hal.Kane@cpuc.ca.gov</w:t>
              </w:r>
            </w:hyperlink>
          </w:p>
        </w:tc>
      </w:tr>
      <w:tr w:rsidR="007410F9" w:rsidRPr="00D96122" w14:paraId="10597B88"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CC59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4EDF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California Energy Commission</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50A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Brian</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EF0A"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Samuelson</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2593" w14:textId="77777777" w:rsidR="00D96122" w:rsidRPr="00D96122" w:rsidRDefault="00D278C3" w:rsidP="007410F9">
            <w:pPr>
              <w:rPr>
                <w:rFonts w:ascii="Cambria" w:eastAsia="Times New Roman" w:hAnsi="Cambria" w:cs="Arial"/>
                <w:color w:val="0563C1"/>
                <w:sz w:val="22"/>
                <w:szCs w:val="22"/>
                <w:u w:val="single"/>
              </w:rPr>
            </w:pPr>
            <w:hyperlink r:id="rId44" w:history="1">
              <w:r w:rsidR="00D96122" w:rsidRPr="001A0896">
                <w:rPr>
                  <w:rFonts w:ascii="Cambria" w:eastAsia="Times New Roman" w:hAnsi="Cambria" w:cs="Arial"/>
                  <w:color w:val="0563C1"/>
                  <w:sz w:val="22"/>
                  <w:szCs w:val="22"/>
                  <w:u w:val="single"/>
                </w:rPr>
                <w:t>brian.samuelson@energy.ca.gov</w:t>
              </w:r>
            </w:hyperlink>
          </w:p>
        </w:tc>
      </w:tr>
      <w:tr w:rsidR="007410F9" w:rsidRPr="00D96122" w14:paraId="740A8B4B" w14:textId="77777777" w:rsidTr="007410F9">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BF16"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8F0E"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California Energy Commission</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3BA5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Nicholas</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F9209"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Janusch</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5098" w14:textId="77777777" w:rsidR="00D96122" w:rsidRPr="00D96122" w:rsidRDefault="00D278C3" w:rsidP="007410F9">
            <w:pPr>
              <w:rPr>
                <w:rFonts w:ascii="Cambria" w:eastAsia="Times New Roman" w:hAnsi="Cambria" w:cs="Arial"/>
                <w:color w:val="0563C1"/>
                <w:sz w:val="22"/>
                <w:szCs w:val="22"/>
                <w:u w:val="single"/>
              </w:rPr>
            </w:pPr>
            <w:hyperlink r:id="rId45" w:history="1">
              <w:r w:rsidR="00D96122" w:rsidRPr="001A0896">
                <w:rPr>
                  <w:rFonts w:ascii="Cambria" w:eastAsia="Times New Roman" w:hAnsi="Cambria" w:cs="Arial"/>
                  <w:color w:val="0563C1"/>
                  <w:sz w:val="22"/>
                  <w:szCs w:val="22"/>
                  <w:u w:val="single"/>
                </w:rPr>
                <w:t>nicholas.janusch@energy.ca.gov</w:t>
              </w:r>
            </w:hyperlink>
          </w:p>
        </w:tc>
      </w:tr>
      <w:tr w:rsidR="007410F9" w:rsidRPr="00D96122" w14:paraId="5DECE39A" w14:textId="77777777" w:rsidTr="000B6050">
        <w:trPr>
          <w:trHeight w:val="320"/>
          <w:jc w:val="center"/>
        </w:trPr>
        <w:tc>
          <w:tcPr>
            <w:tcW w:w="625" w:type="dxa"/>
            <w:tcBorders>
              <w:top w:val="single" w:sz="4" w:space="0" w:color="auto"/>
              <w:left w:val="nil"/>
              <w:bottom w:val="single" w:sz="4" w:space="0" w:color="auto"/>
              <w:right w:val="nil"/>
            </w:tcBorders>
            <w:shd w:val="clear" w:color="auto" w:fill="auto"/>
            <w:noWrap/>
            <w:vAlign w:val="center"/>
            <w:hideMark/>
          </w:tcPr>
          <w:p w14:paraId="538E9F4D" w14:textId="77777777" w:rsidR="00D96122" w:rsidRPr="00D96122" w:rsidRDefault="00D96122" w:rsidP="007410F9">
            <w:pPr>
              <w:rPr>
                <w:rFonts w:ascii="Cambria" w:eastAsia="Times New Roman" w:hAnsi="Cambria" w:cs="Arial"/>
                <w:color w:val="0563C1"/>
                <w:sz w:val="22"/>
                <w:szCs w:val="22"/>
                <w:u w:val="single"/>
              </w:rPr>
            </w:pPr>
          </w:p>
        </w:tc>
        <w:tc>
          <w:tcPr>
            <w:tcW w:w="3837" w:type="dxa"/>
            <w:tcBorders>
              <w:top w:val="single" w:sz="4" w:space="0" w:color="auto"/>
              <w:left w:val="nil"/>
              <w:bottom w:val="single" w:sz="4" w:space="0" w:color="auto"/>
              <w:right w:val="nil"/>
            </w:tcBorders>
            <w:shd w:val="clear" w:color="auto" w:fill="auto"/>
            <w:noWrap/>
            <w:vAlign w:val="center"/>
            <w:hideMark/>
          </w:tcPr>
          <w:p w14:paraId="21822BE9" w14:textId="77777777" w:rsidR="00D96122" w:rsidRPr="00D96122" w:rsidRDefault="00D96122" w:rsidP="007410F9">
            <w:pPr>
              <w:rPr>
                <w:rFonts w:ascii="Cambria" w:eastAsia="Times New Roman" w:hAnsi="Cambria" w:cs="Times New Roman"/>
                <w:sz w:val="22"/>
                <w:szCs w:val="22"/>
              </w:rPr>
            </w:pPr>
          </w:p>
        </w:tc>
        <w:tc>
          <w:tcPr>
            <w:tcW w:w="1103" w:type="dxa"/>
            <w:tcBorders>
              <w:top w:val="single" w:sz="4" w:space="0" w:color="auto"/>
              <w:left w:val="nil"/>
              <w:bottom w:val="single" w:sz="4" w:space="0" w:color="auto"/>
              <w:right w:val="nil"/>
            </w:tcBorders>
            <w:shd w:val="clear" w:color="auto" w:fill="auto"/>
            <w:noWrap/>
            <w:vAlign w:val="center"/>
            <w:hideMark/>
          </w:tcPr>
          <w:p w14:paraId="19DB4271" w14:textId="77777777" w:rsidR="00D96122" w:rsidRPr="00D96122" w:rsidRDefault="00D96122" w:rsidP="007410F9">
            <w:pPr>
              <w:rPr>
                <w:rFonts w:ascii="Cambria" w:eastAsia="Times New Roman" w:hAnsi="Cambria" w:cs="Times New Roman"/>
                <w:sz w:val="22"/>
                <w:szCs w:val="22"/>
              </w:rPr>
            </w:pPr>
          </w:p>
        </w:tc>
        <w:tc>
          <w:tcPr>
            <w:tcW w:w="1450" w:type="dxa"/>
            <w:tcBorders>
              <w:top w:val="single" w:sz="4" w:space="0" w:color="auto"/>
              <w:left w:val="nil"/>
              <w:bottom w:val="single" w:sz="4" w:space="0" w:color="auto"/>
              <w:right w:val="nil"/>
            </w:tcBorders>
            <w:shd w:val="clear" w:color="auto" w:fill="auto"/>
            <w:noWrap/>
            <w:vAlign w:val="center"/>
            <w:hideMark/>
          </w:tcPr>
          <w:p w14:paraId="0B90B6C1" w14:textId="77777777" w:rsidR="00D96122" w:rsidRPr="00D96122" w:rsidRDefault="00D96122" w:rsidP="007410F9">
            <w:pPr>
              <w:rPr>
                <w:rFonts w:ascii="Cambria" w:eastAsia="Times New Roman" w:hAnsi="Cambria" w:cs="Times New Roman"/>
                <w:sz w:val="22"/>
                <w:szCs w:val="22"/>
              </w:rPr>
            </w:pPr>
          </w:p>
        </w:tc>
        <w:tc>
          <w:tcPr>
            <w:tcW w:w="3563" w:type="dxa"/>
            <w:tcBorders>
              <w:top w:val="single" w:sz="4" w:space="0" w:color="auto"/>
              <w:left w:val="nil"/>
              <w:bottom w:val="single" w:sz="4" w:space="0" w:color="auto"/>
              <w:right w:val="nil"/>
            </w:tcBorders>
            <w:shd w:val="clear" w:color="auto" w:fill="auto"/>
            <w:noWrap/>
            <w:vAlign w:val="center"/>
            <w:hideMark/>
          </w:tcPr>
          <w:p w14:paraId="49BFCB73" w14:textId="77777777" w:rsidR="00D96122" w:rsidRPr="00D96122" w:rsidRDefault="00D96122" w:rsidP="007410F9">
            <w:pPr>
              <w:rPr>
                <w:rFonts w:ascii="Cambria" w:eastAsia="Times New Roman" w:hAnsi="Cambria" w:cs="Times New Roman"/>
                <w:sz w:val="22"/>
                <w:szCs w:val="22"/>
              </w:rPr>
            </w:pPr>
          </w:p>
        </w:tc>
      </w:tr>
      <w:tr w:rsidR="007410F9" w:rsidRPr="00D96122" w14:paraId="6F0918A3" w14:textId="77777777" w:rsidTr="000B6050">
        <w:trPr>
          <w:trHeight w:val="340"/>
          <w:jc w:val="center"/>
        </w:trPr>
        <w:tc>
          <w:tcPr>
            <w:tcW w:w="4462"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E46934" w14:textId="77777777" w:rsidR="00D96122" w:rsidRPr="00D96122" w:rsidRDefault="00D96122" w:rsidP="007410F9">
            <w:pPr>
              <w:rPr>
                <w:rFonts w:ascii="Cambria" w:eastAsia="Times New Roman" w:hAnsi="Cambria" w:cs="Arial"/>
                <w:b/>
                <w:bCs/>
                <w:color w:val="FFFFFF"/>
                <w:sz w:val="22"/>
                <w:szCs w:val="22"/>
              </w:rPr>
            </w:pPr>
            <w:r w:rsidRPr="00D96122">
              <w:rPr>
                <w:rFonts w:ascii="Cambria" w:eastAsia="Times New Roman" w:hAnsi="Cambria" w:cs="Arial"/>
                <w:b/>
                <w:bCs/>
                <w:color w:val="FFFFFF"/>
                <w:sz w:val="22"/>
                <w:szCs w:val="22"/>
              </w:rPr>
              <w:t>Facilitation Team</w:t>
            </w:r>
          </w:p>
        </w:tc>
        <w:tc>
          <w:tcPr>
            <w:tcW w:w="110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A4DD1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c>
          <w:tcPr>
            <w:tcW w:w="145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BC17B3D"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c>
          <w:tcPr>
            <w:tcW w:w="356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8A1B77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w:t>
            </w:r>
          </w:p>
        </w:tc>
      </w:tr>
      <w:tr w:rsidR="001A0896" w:rsidRPr="001A0896" w14:paraId="7A44CA11" w14:textId="77777777" w:rsidTr="000B6050">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032A83" w14:textId="1CBE9833" w:rsidR="00D96122" w:rsidRPr="00D96122" w:rsidRDefault="00D96122" w:rsidP="007410F9">
            <w:pPr>
              <w:rPr>
                <w:rFonts w:ascii="Cambria" w:eastAsia="Times New Roman" w:hAnsi="Cambria" w:cs="Arial"/>
                <w:b/>
                <w:bCs/>
                <w:color w:val="000000"/>
                <w:sz w:val="22"/>
                <w:szCs w:val="22"/>
              </w:rPr>
            </w:pPr>
          </w:p>
        </w:tc>
        <w:tc>
          <w:tcPr>
            <w:tcW w:w="38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82C2D3" w14:textId="77777777"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Organization:</w:t>
            </w:r>
          </w:p>
        </w:tc>
        <w:tc>
          <w:tcPr>
            <w:tcW w:w="11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78ED52" w14:textId="56E1ADC0" w:rsidR="00D96122" w:rsidRPr="00D96122" w:rsidRDefault="00D96122" w:rsidP="007410F9">
            <w:pPr>
              <w:rPr>
                <w:rFonts w:ascii="Cambria" w:eastAsia="Times New Roman" w:hAnsi="Cambria" w:cs="Arial"/>
                <w:b/>
                <w:bCs/>
                <w:color w:val="000000"/>
                <w:sz w:val="22"/>
                <w:szCs w:val="22"/>
              </w:rPr>
            </w:pPr>
            <w:r w:rsidRPr="00D96122">
              <w:rPr>
                <w:rFonts w:ascii="Cambria" w:eastAsia="Times New Roman" w:hAnsi="Cambria" w:cs="Arial"/>
                <w:b/>
                <w:bCs/>
                <w:color w:val="000000"/>
                <w:sz w:val="22"/>
                <w:szCs w:val="22"/>
              </w:rPr>
              <w:t xml:space="preserve">First </w:t>
            </w:r>
          </w:p>
        </w:tc>
        <w:tc>
          <w:tcPr>
            <w:tcW w:w="14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35465E" w14:textId="3D110174" w:rsidR="00D96122" w:rsidRPr="00D96122" w:rsidRDefault="000B6050" w:rsidP="007410F9">
            <w:pPr>
              <w:rPr>
                <w:rFonts w:ascii="Cambria" w:eastAsia="Times New Roman" w:hAnsi="Cambria" w:cs="Arial"/>
                <w:b/>
                <w:bCs/>
                <w:color w:val="000000"/>
                <w:sz w:val="22"/>
                <w:szCs w:val="22"/>
              </w:rPr>
            </w:pPr>
            <w:r>
              <w:rPr>
                <w:rFonts w:ascii="Cambria" w:eastAsia="Times New Roman" w:hAnsi="Cambria" w:cs="Arial"/>
                <w:b/>
                <w:bCs/>
                <w:color w:val="000000"/>
                <w:sz w:val="22"/>
                <w:szCs w:val="22"/>
              </w:rPr>
              <w:t>Last</w:t>
            </w:r>
          </w:p>
        </w:tc>
        <w:tc>
          <w:tcPr>
            <w:tcW w:w="3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D96D59" w14:textId="04408159" w:rsidR="00D96122" w:rsidRPr="00D96122" w:rsidRDefault="000B6050" w:rsidP="007410F9">
            <w:pPr>
              <w:rPr>
                <w:rFonts w:ascii="Cambria" w:eastAsia="Times New Roman" w:hAnsi="Cambria" w:cs="Arial"/>
                <w:b/>
                <w:bCs/>
                <w:color w:val="000000"/>
                <w:sz w:val="22"/>
                <w:szCs w:val="22"/>
              </w:rPr>
            </w:pPr>
            <w:r>
              <w:rPr>
                <w:rFonts w:ascii="Cambria" w:eastAsia="Times New Roman" w:hAnsi="Cambria" w:cs="Arial"/>
                <w:b/>
                <w:bCs/>
                <w:color w:val="000000"/>
                <w:sz w:val="22"/>
                <w:szCs w:val="22"/>
              </w:rPr>
              <w:t>Email</w:t>
            </w:r>
          </w:p>
        </w:tc>
      </w:tr>
      <w:tr w:rsidR="007410F9" w:rsidRPr="00D96122" w14:paraId="6617FE01" w14:textId="77777777" w:rsidTr="000B6050">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ED1B"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CF34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Raab Associates</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0BA1"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Jonathan</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42BD5"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Raab</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24618" w14:textId="77777777" w:rsidR="00D96122" w:rsidRPr="00D96122" w:rsidRDefault="00D278C3" w:rsidP="007410F9">
            <w:pPr>
              <w:rPr>
                <w:rFonts w:ascii="Cambria" w:eastAsia="Times New Roman" w:hAnsi="Cambria" w:cs="Arial"/>
                <w:color w:val="0563C1"/>
                <w:sz w:val="22"/>
                <w:szCs w:val="22"/>
                <w:u w:val="single"/>
              </w:rPr>
            </w:pPr>
            <w:hyperlink r:id="rId46" w:history="1">
              <w:r w:rsidR="00D96122" w:rsidRPr="001A0896">
                <w:rPr>
                  <w:rFonts w:ascii="Cambria" w:eastAsia="Times New Roman" w:hAnsi="Cambria" w:cs="Arial"/>
                  <w:color w:val="0563C1"/>
                  <w:sz w:val="22"/>
                  <w:szCs w:val="22"/>
                  <w:u w:val="single"/>
                </w:rPr>
                <w:t>raab@raabassociates.org</w:t>
              </w:r>
            </w:hyperlink>
          </w:p>
        </w:tc>
      </w:tr>
      <w:tr w:rsidR="007410F9" w:rsidRPr="00D96122" w14:paraId="1BC222EA" w14:textId="77777777" w:rsidTr="000B6050">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4CCC"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6FF2F"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CONCUR</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87614"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 xml:space="preserve">Meredith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6CC77"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Cowart</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E939E" w14:textId="77777777" w:rsidR="00D96122" w:rsidRPr="00D96122" w:rsidRDefault="00D278C3" w:rsidP="007410F9">
            <w:pPr>
              <w:rPr>
                <w:rFonts w:ascii="Cambria" w:eastAsia="Times New Roman" w:hAnsi="Cambria" w:cs="Arial"/>
                <w:color w:val="0563C1"/>
                <w:sz w:val="22"/>
                <w:szCs w:val="22"/>
                <w:u w:val="single"/>
              </w:rPr>
            </w:pPr>
            <w:hyperlink r:id="rId47" w:history="1">
              <w:r w:rsidR="00D96122" w:rsidRPr="001A0896">
                <w:rPr>
                  <w:rFonts w:ascii="Cambria" w:eastAsia="Times New Roman" w:hAnsi="Cambria" w:cs="Arial"/>
                  <w:color w:val="0563C1"/>
                  <w:sz w:val="22"/>
                  <w:szCs w:val="22"/>
                  <w:u w:val="single"/>
                </w:rPr>
                <w:t>meredith@concurinc.net</w:t>
              </w:r>
            </w:hyperlink>
          </w:p>
        </w:tc>
      </w:tr>
      <w:tr w:rsidR="007410F9" w:rsidRPr="00D96122" w14:paraId="223F0B09" w14:textId="77777777" w:rsidTr="000B6050">
        <w:trPr>
          <w:trHeight w:val="32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3112"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n/a</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2CA6" w14:textId="39AEEE1D"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Ind</w:t>
            </w:r>
            <w:r w:rsidR="000B6050">
              <w:rPr>
                <w:rFonts w:ascii="Cambria" w:eastAsia="Times New Roman" w:hAnsi="Cambria" w:cs="Arial"/>
                <w:color w:val="000000"/>
                <w:sz w:val="22"/>
                <w:szCs w:val="22"/>
              </w:rPr>
              <w:t>e</w:t>
            </w:r>
            <w:r w:rsidRPr="00D96122">
              <w:rPr>
                <w:rFonts w:ascii="Cambria" w:eastAsia="Times New Roman" w:hAnsi="Cambria" w:cs="Arial"/>
                <w:color w:val="000000"/>
                <w:sz w:val="22"/>
                <w:szCs w:val="22"/>
              </w:rPr>
              <w:t>pendent</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A9D2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Ellen</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7D50" w14:textId="77777777" w:rsidR="00D96122" w:rsidRPr="00D96122" w:rsidRDefault="00D96122" w:rsidP="007410F9">
            <w:pPr>
              <w:rPr>
                <w:rFonts w:ascii="Cambria" w:eastAsia="Times New Roman" w:hAnsi="Cambria" w:cs="Arial"/>
                <w:color w:val="000000"/>
                <w:sz w:val="22"/>
                <w:szCs w:val="22"/>
              </w:rPr>
            </w:pPr>
            <w:r w:rsidRPr="00D96122">
              <w:rPr>
                <w:rFonts w:ascii="Cambria" w:eastAsia="Times New Roman" w:hAnsi="Cambria" w:cs="Arial"/>
                <w:color w:val="000000"/>
                <w:sz w:val="22"/>
                <w:szCs w:val="22"/>
              </w:rPr>
              <w:t>Zuckerman</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631BD" w14:textId="77777777" w:rsidR="00D96122" w:rsidRPr="00D96122" w:rsidRDefault="00D278C3" w:rsidP="007410F9">
            <w:pPr>
              <w:rPr>
                <w:rFonts w:ascii="Cambria" w:eastAsia="Times New Roman" w:hAnsi="Cambria" w:cs="Arial"/>
                <w:color w:val="0563C1"/>
                <w:sz w:val="22"/>
                <w:szCs w:val="22"/>
                <w:u w:val="single"/>
              </w:rPr>
            </w:pPr>
            <w:hyperlink r:id="rId48" w:history="1">
              <w:r w:rsidR="00D96122" w:rsidRPr="001A0896">
                <w:rPr>
                  <w:rFonts w:ascii="Cambria" w:eastAsia="Times New Roman" w:hAnsi="Cambria" w:cs="Arial"/>
                  <w:color w:val="0563C1"/>
                  <w:sz w:val="22"/>
                  <w:szCs w:val="22"/>
                  <w:u w:val="single"/>
                </w:rPr>
                <w:t>ezuckerman@gmail.com</w:t>
              </w:r>
            </w:hyperlink>
          </w:p>
        </w:tc>
      </w:tr>
    </w:tbl>
    <w:p w14:paraId="5FB21EC8" w14:textId="77777777" w:rsidR="00D96122" w:rsidRDefault="00D96122">
      <w:pPr>
        <w:rPr>
          <w:rFonts w:ascii="Cambria" w:eastAsia="Times New Roman" w:hAnsi="Cambria" w:cs="Times New Roman"/>
          <w:color w:val="000000"/>
          <w:shd w:val="clear" w:color="auto" w:fill="FFFFFF"/>
        </w:rPr>
      </w:pPr>
    </w:p>
    <w:p w14:paraId="1311AFF3" w14:textId="77777777" w:rsidR="00D96122" w:rsidRDefault="00D96122">
      <w:pPr>
        <w:rPr>
          <w:rFonts w:ascii="Cambria" w:eastAsia="Times New Roman" w:hAnsi="Cambria" w:cs="Times New Roman"/>
          <w:color w:val="000000"/>
          <w:shd w:val="clear" w:color="auto" w:fill="FFFFFF"/>
        </w:rPr>
      </w:pPr>
    </w:p>
    <w:p w14:paraId="1DD8D7A9" w14:textId="77777777" w:rsidR="007410F9" w:rsidRDefault="007410F9">
      <w:r>
        <w:br w:type="page"/>
      </w:r>
    </w:p>
    <w:p w14:paraId="054B42FB" w14:textId="77777777" w:rsidR="00960A12" w:rsidRPr="00FE559E" w:rsidRDefault="00960A12" w:rsidP="00960A12">
      <w:pPr>
        <w:jc w:val="center"/>
        <w:rPr>
          <w:rFonts w:ascii="Cambria" w:hAnsi="Cambria"/>
          <w:b/>
        </w:rPr>
      </w:pPr>
      <w:r>
        <w:rPr>
          <w:rFonts w:ascii="Cambria" w:hAnsi="Cambria"/>
          <w:b/>
        </w:rPr>
        <w:lastRenderedPageBreak/>
        <w:t>Appendix C</w:t>
      </w:r>
      <w:r w:rsidRPr="00FE559E">
        <w:rPr>
          <w:rFonts w:ascii="Cambria" w:hAnsi="Cambria"/>
          <w:b/>
        </w:rPr>
        <w:t>: Participation</w:t>
      </w:r>
    </w:p>
    <w:p w14:paraId="33554E8F" w14:textId="77777777" w:rsidR="00960A12" w:rsidRPr="00FE559E" w:rsidRDefault="00960A12" w:rsidP="00960A12">
      <w:pPr>
        <w:jc w:val="center"/>
        <w:rPr>
          <w:rFonts w:ascii="Cambria" w:hAnsi="Cambria"/>
          <w:b/>
        </w:rPr>
      </w:pPr>
    </w:p>
    <w:p w14:paraId="6AB38057" w14:textId="6EB885F5" w:rsidR="00960A12" w:rsidRPr="007B43AA" w:rsidRDefault="00960A12" w:rsidP="00960A12">
      <w:pPr>
        <w:rPr>
          <w:rFonts w:ascii="Cambria" w:hAnsi="Cambria"/>
          <w:b/>
          <w:u w:val="single"/>
        </w:rPr>
      </w:pPr>
      <w:r>
        <w:rPr>
          <w:rFonts w:ascii="Cambria" w:hAnsi="Cambria"/>
          <w:b/>
          <w:u w:val="single"/>
        </w:rPr>
        <w:t>January 14</w:t>
      </w:r>
      <w:r w:rsidRPr="007B43AA">
        <w:rPr>
          <w:rFonts w:ascii="Cambria" w:hAnsi="Cambria"/>
          <w:b/>
          <w:u w:val="single"/>
        </w:rPr>
        <w:t>, 201</w:t>
      </w:r>
      <w:r>
        <w:rPr>
          <w:rFonts w:ascii="Cambria" w:hAnsi="Cambria"/>
          <w:b/>
          <w:u w:val="single"/>
        </w:rPr>
        <w:t>9</w:t>
      </w:r>
      <w:r w:rsidRPr="007B43AA">
        <w:rPr>
          <w:rFonts w:ascii="Cambria" w:hAnsi="Cambria"/>
          <w:b/>
          <w:u w:val="single"/>
        </w:rPr>
        <w:t xml:space="preserve">: </w:t>
      </w:r>
    </w:p>
    <w:p w14:paraId="034F72E2" w14:textId="77777777" w:rsidR="00960A12" w:rsidRPr="007E01EE" w:rsidRDefault="00960A12" w:rsidP="00960A12">
      <w:pPr>
        <w:rPr>
          <w:rFonts w:ascii="Cambria" w:hAnsi="Cambria"/>
        </w:rPr>
      </w:pPr>
    </w:p>
    <w:tbl>
      <w:tblPr>
        <w:tblW w:w="8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232"/>
        <w:gridCol w:w="2070"/>
        <w:gridCol w:w="1376"/>
        <w:gridCol w:w="964"/>
      </w:tblGrid>
      <w:tr w:rsidR="00960A12" w:rsidRPr="00960A12" w14:paraId="5C53BBF0" w14:textId="77777777" w:rsidTr="00F22EA7">
        <w:trPr>
          <w:trHeight w:val="300"/>
        </w:trPr>
        <w:tc>
          <w:tcPr>
            <w:tcW w:w="3168" w:type="dxa"/>
            <w:shd w:val="clear" w:color="auto" w:fill="auto"/>
            <w:noWrap/>
            <w:vAlign w:val="bottom"/>
            <w:hideMark/>
          </w:tcPr>
          <w:p w14:paraId="61C4CB38" w14:textId="77777777" w:rsidR="00960A12" w:rsidRPr="00F22EA7" w:rsidRDefault="00960A12" w:rsidP="00F22EA7">
            <w:pPr>
              <w:spacing w:line="276" w:lineRule="auto"/>
              <w:rPr>
                <w:rFonts w:eastAsia="Times New Roman" w:cs="Calibri"/>
                <w:b/>
                <w:bCs/>
                <w:color w:val="000000"/>
                <w:sz w:val="22"/>
                <w:szCs w:val="22"/>
                <w:u w:val="single"/>
              </w:rPr>
            </w:pPr>
            <w:r w:rsidRPr="00F22EA7">
              <w:rPr>
                <w:rFonts w:eastAsia="Times New Roman" w:cs="Calibri"/>
                <w:b/>
                <w:bCs/>
                <w:color w:val="000000"/>
                <w:sz w:val="22"/>
                <w:szCs w:val="22"/>
                <w:u w:val="single"/>
              </w:rPr>
              <w:t>Organization:</w:t>
            </w:r>
          </w:p>
        </w:tc>
        <w:tc>
          <w:tcPr>
            <w:tcW w:w="1232" w:type="dxa"/>
            <w:shd w:val="clear" w:color="auto" w:fill="auto"/>
            <w:noWrap/>
            <w:vAlign w:val="bottom"/>
            <w:hideMark/>
          </w:tcPr>
          <w:p w14:paraId="55B51C6D" w14:textId="30DADD58"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 xml:space="preserve">First </w:t>
            </w:r>
          </w:p>
        </w:tc>
        <w:tc>
          <w:tcPr>
            <w:tcW w:w="2070" w:type="dxa"/>
            <w:shd w:val="clear" w:color="auto" w:fill="auto"/>
            <w:noWrap/>
            <w:vAlign w:val="bottom"/>
            <w:hideMark/>
          </w:tcPr>
          <w:p w14:paraId="20106FD2" w14:textId="23179678"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 xml:space="preserve">Last  </w:t>
            </w:r>
          </w:p>
        </w:tc>
        <w:tc>
          <w:tcPr>
            <w:tcW w:w="1376" w:type="dxa"/>
            <w:shd w:val="clear" w:color="auto" w:fill="auto"/>
            <w:noWrap/>
            <w:vAlign w:val="bottom"/>
            <w:hideMark/>
          </w:tcPr>
          <w:p w14:paraId="319E862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In-Person</w:t>
            </w:r>
          </w:p>
        </w:tc>
        <w:tc>
          <w:tcPr>
            <w:tcW w:w="964" w:type="dxa"/>
            <w:shd w:val="clear" w:color="auto" w:fill="auto"/>
            <w:noWrap/>
            <w:vAlign w:val="bottom"/>
            <w:hideMark/>
          </w:tcPr>
          <w:p w14:paraId="298E8A13"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Phone</w:t>
            </w:r>
          </w:p>
        </w:tc>
      </w:tr>
      <w:tr w:rsidR="00960A12" w:rsidRPr="00960A12" w14:paraId="0B358D52" w14:textId="77777777" w:rsidTr="00F22EA7">
        <w:trPr>
          <w:trHeight w:val="300"/>
        </w:trPr>
        <w:tc>
          <w:tcPr>
            <w:tcW w:w="3168" w:type="dxa"/>
            <w:shd w:val="clear" w:color="auto" w:fill="auto"/>
            <w:noWrap/>
            <w:vAlign w:val="bottom"/>
            <w:hideMark/>
          </w:tcPr>
          <w:p w14:paraId="126DF23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Bluegreen Alliance</w:t>
            </w:r>
          </w:p>
        </w:tc>
        <w:tc>
          <w:tcPr>
            <w:tcW w:w="1232" w:type="dxa"/>
            <w:shd w:val="clear" w:color="auto" w:fill="auto"/>
            <w:noWrap/>
            <w:vAlign w:val="bottom"/>
            <w:hideMark/>
          </w:tcPr>
          <w:p w14:paraId="1EF32033"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Sam</w:t>
            </w:r>
          </w:p>
        </w:tc>
        <w:tc>
          <w:tcPr>
            <w:tcW w:w="2070" w:type="dxa"/>
            <w:shd w:val="clear" w:color="auto" w:fill="auto"/>
            <w:noWrap/>
            <w:vAlign w:val="bottom"/>
            <w:hideMark/>
          </w:tcPr>
          <w:p w14:paraId="7026F8AD"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Appel</w:t>
            </w:r>
          </w:p>
        </w:tc>
        <w:tc>
          <w:tcPr>
            <w:tcW w:w="1376" w:type="dxa"/>
            <w:shd w:val="clear" w:color="auto" w:fill="auto"/>
            <w:noWrap/>
            <w:vAlign w:val="bottom"/>
            <w:hideMark/>
          </w:tcPr>
          <w:p w14:paraId="221EEEE0"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17BEBBC1"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4ACAFD19" w14:textId="77777777" w:rsidTr="00F22EA7">
        <w:trPr>
          <w:trHeight w:val="300"/>
        </w:trPr>
        <w:tc>
          <w:tcPr>
            <w:tcW w:w="3168" w:type="dxa"/>
            <w:shd w:val="clear" w:color="auto" w:fill="auto"/>
            <w:noWrap/>
            <w:vAlign w:val="bottom"/>
            <w:hideMark/>
          </w:tcPr>
          <w:p w14:paraId="3022F44B"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CEDMC</w:t>
            </w:r>
          </w:p>
        </w:tc>
        <w:tc>
          <w:tcPr>
            <w:tcW w:w="1232" w:type="dxa"/>
            <w:shd w:val="clear" w:color="auto" w:fill="auto"/>
            <w:noWrap/>
            <w:vAlign w:val="bottom"/>
            <w:hideMark/>
          </w:tcPr>
          <w:p w14:paraId="4802A91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Arthur</w:t>
            </w:r>
          </w:p>
        </w:tc>
        <w:tc>
          <w:tcPr>
            <w:tcW w:w="2070" w:type="dxa"/>
            <w:shd w:val="clear" w:color="auto" w:fill="auto"/>
            <w:noWrap/>
            <w:vAlign w:val="bottom"/>
            <w:hideMark/>
          </w:tcPr>
          <w:p w14:paraId="291E2BB4"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Haubenstock</w:t>
            </w:r>
            <w:proofErr w:type="spellEnd"/>
          </w:p>
        </w:tc>
        <w:tc>
          <w:tcPr>
            <w:tcW w:w="1376" w:type="dxa"/>
            <w:shd w:val="clear" w:color="auto" w:fill="auto"/>
            <w:noWrap/>
            <w:vAlign w:val="bottom"/>
            <w:hideMark/>
          </w:tcPr>
          <w:p w14:paraId="057F696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03FAE25F"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39A4E363" w14:textId="77777777" w:rsidTr="00F22EA7">
        <w:trPr>
          <w:trHeight w:val="300"/>
        </w:trPr>
        <w:tc>
          <w:tcPr>
            <w:tcW w:w="3168" w:type="dxa"/>
            <w:shd w:val="clear" w:color="auto" w:fill="auto"/>
            <w:noWrap/>
            <w:vAlign w:val="bottom"/>
            <w:hideMark/>
          </w:tcPr>
          <w:p w14:paraId="43130853"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CEDMC</w:t>
            </w:r>
          </w:p>
        </w:tc>
        <w:tc>
          <w:tcPr>
            <w:tcW w:w="1232" w:type="dxa"/>
            <w:shd w:val="clear" w:color="auto" w:fill="auto"/>
            <w:noWrap/>
            <w:vAlign w:val="bottom"/>
            <w:hideMark/>
          </w:tcPr>
          <w:p w14:paraId="4C3332A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Nate</w:t>
            </w:r>
          </w:p>
        </w:tc>
        <w:tc>
          <w:tcPr>
            <w:tcW w:w="2070" w:type="dxa"/>
            <w:shd w:val="clear" w:color="auto" w:fill="auto"/>
            <w:noWrap/>
            <w:vAlign w:val="bottom"/>
            <w:hideMark/>
          </w:tcPr>
          <w:p w14:paraId="632B8DC8"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Kinsey</w:t>
            </w:r>
          </w:p>
        </w:tc>
        <w:tc>
          <w:tcPr>
            <w:tcW w:w="1376" w:type="dxa"/>
            <w:shd w:val="clear" w:color="auto" w:fill="auto"/>
            <w:noWrap/>
            <w:vAlign w:val="bottom"/>
            <w:hideMark/>
          </w:tcPr>
          <w:p w14:paraId="18EB0C5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0C447764"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56DD22EA" w14:textId="77777777" w:rsidTr="00F22EA7">
        <w:trPr>
          <w:trHeight w:val="300"/>
        </w:trPr>
        <w:tc>
          <w:tcPr>
            <w:tcW w:w="3168" w:type="dxa"/>
            <w:shd w:val="clear" w:color="auto" w:fill="auto"/>
            <w:noWrap/>
            <w:vAlign w:val="bottom"/>
            <w:hideMark/>
          </w:tcPr>
          <w:p w14:paraId="6A220B70"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CEE</w:t>
            </w:r>
          </w:p>
        </w:tc>
        <w:tc>
          <w:tcPr>
            <w:tcW w:w="1232" w:type="dxa"/>
            <w:shd w:val="clear" w:color="auto" w:fill="auto"/>
            <w:noWrap/>
            <w:vAlign w:val="bottom"/>
            <w:hideMark/>
          </w:tcPr>
          <w:p w14:paraId="371DBD8D"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Bernie</w:t>
            </w:r>
          </w:p>
        </w:tc>
        <w:tc>
          <w:tcPr>
            <w:tcW w:w="2070" w:type="dxa"/>
            <w:shd w:val="clear" w:color="auto" w:fill="auto"/>
            <w:noWrap/>
            <w:vAlign w:val="bottom"/>
            <w:hideMark/>
          </w:tcPr>
          <w:p w14:paraId="0AFD995A"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Kotlier</w:t>
            </w:r>
            <w:proofErr w:type="spellEnd"/>
          </w:p>
        </w:tc>
        <w:tc>
          <w:tcPr>
            <w:tcW w:w="1376" w:type="dxa"/>
            <w:shd w:val="clear" w:color="auto" w:fill="auto"/>
            <w:noWrap/>
            <w:vAlign w:val="bottom"/>
            <w:hideMark/>
          </w:tcPr>
          <w:p w14:paraId="3DF0BDFA"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7B50712"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1F253518" w14:textId="77777777" w:rsidTr="00F22EA7">
        <w:trPr>
          <w:trHeight w:val="300"/>
        </w:trPr>
        <w:tc>
          <w:tcPr>
            <w:tcW w:w="3168" w:type="dxa"/>
            <w:shd w:val="clear" w:color="auto" w:fill="auto"/>
            <w:noWrap/>
            <w:vAlign w:val="bottom"/>
            <w:hideMark/>
          </w:tcPr>
          <w:p w14:paraId="7069383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CSE</w:t>
            </w:r>
          </w:p>
        </w:tc>
        <w:tc>
          <w:tcPr>
            <w:tcW w:w="1232" w:type="dxa"/>
            <w:shd w:val="clear" w:color="auto" w:fill="auto"/>
            <w:noWrap/>
            <w:vAlign w:val="bottom"/>
            <w:hideMark/>
          </w:tcPr>
          <w:p w14:paraId="0F9DB7CD"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Rebecca</w:t>
            </w:r>
          </w:p>
        </w:tc>
        <w:tc>
          <w:tcPr>
            <w:tcW w:w="2070" w:type="dxa"/>
            <w:shd w:val="clear" w:color="auto" w:fill="auto"/>
            <w:noWrap/>
            <w:vAlign w:val="bottom"/>
            <w:hideMark/>
          </w:tcPr>
          <w:p w14:paraId="30A0DAA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Menten</w:t>
            </w:r>
          </w:p>
        </w:tc>
        <w:tc>
          <w:tcPr>
            <w:tcW w:w="1376" w:type="dxa"/>
            <w:shd w:val="clear" w:color="auto" w:fill="auto"/>
            <w:noWrap/>
            <w:vAlign w:val="bottom"/>
            <w:hideMark/>
          </w:tcPr>
          <w:p w14:paraId="25F15F29"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37DC729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2C0C2B05" w14:textId="77777777" w:rsidTr="00F22EA7">
        <w:trPr>
          <w:trHeight w:val="300"/>
        </w:trPr>
        <w:tc>
          <w:tcPr>
            <w:tcW w:w="3168" w:type="dxa"/>
            <w:shd w:val="clear" w:color="auto" w:fill="auto"/>
            <w:noWrap/>
            <w:vAlign w:val="bottom"/>
            <w:hideMark/>
          </w:tcPr>
          <w:p w14:paraId="56935B50"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CSE</w:t>
            </w:r>
          </w:p>
        </w:tc>
        <w:tc>
          <w:tcPr>
            <w:tcW w:w="1232" w:type="dxa"/>
            <w:shd w:val="clear" w:color="auto" w:fill="auto"/>
            <w:noWrap/>
            <w:vAlign w:val="bottom"/>
            <w:hideMark/>
          </w:tcPr>
          <w:p w14:paraId="6E22ECC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xml:space="preserve">Stephen </w:t>
            </w:r>
          </w:p>
        </w:tc>
        <w:tc>
          <w:tcPr>
            <w:tcW w:w="2070" w:type="dxa"/>
            <w:shd w:val="clear" w:color="auto" w:fill="auto"/>
            <w:noWrap/>
            <w:vAlign w:val="bottom"/>
            <w:hideMark/>
          </w:tcPr>
          <w:p w14:paraId="4CE314B1"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Gunther</w:t>
            </w:r>
          </w:p>
        </w:tc>
        <w:tc>
          <w:tcPr>
            <w:tcW w:w="1376" w:type="dxa"/>
            <w:shd w:val="clear" w:color="auto" w:fill="auto"/>
            <w:noWrap/>
            <w:vAlign w:val="bottom"/>
            <w:hideMark/>
          </w:tcPr>
          <w:p w14:paraId="3E9DA856"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414FC38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5F2D94E0" w14:textId="77777777" w:rsidTr="00F22EA7">
        <w:trPr>
          <w:trHeight w:val="300"/>
        </w:trPr>
        <w:tc>
          <w:tcPr>
            <w:tcW w:w="3168" w:type="dxa"/>
            <w:shd w:val="clear" w:color="auto" w:fill="auto"/>
            <w:noWrap/>
            <w:vAlign w:val="bottom"/>
            <w:hideMark/>
          </w:tcPr>
          <w:p w14:paraId="15C0E8C1" w14:textId="77777777" w:rsidR="00960A12" w:rsidRPr="00F22EA7" w:rsidRDefault="00960A12" w:rsidP="00F22EA7">
            <w:pPr>
              <w:spacing w:line="276" w:lineRule="auto"/>
              <w:rPr>
                <w:rFonts w:eastAsia="Times New Roman" w:cs="Calibri"/>
                <w:b/>
                <w:bCs/>
                <w:color w:val="000000"/>
                <w:sz w:val="22"/>
                <w:szCs w:val="22"/>
              </w:rPr>
            </w:pPr>
            <w:proofErr w:type="spellStart"/>
            <w:r w:rsidRPr="00F22EA7">
              <w:rPr>
                <w:rFonts w:eastAsia="Times New Roman" w:cs="Calibri"/>
                <w:b/>
                <w:bCs/>
                <w:color w:val="000000"/>
                <w:sz w:val="22"/>
                <w:szCs w:val="22"/>
              </w:rPr>
              <w:t>ClearResult</w:t>
            </w:r>
            <w:proofErr w:type="spellEnd"/>
          </w:p>
        </w:tc>
        <w:tc>
          <w:tcPr>
            <w:tcW w:w="1232" w:type="dxa"/>
            <w:shd w:val="clear" w:color="auto" w:fill="auto"/>
            <w:noWrap/>
            <w:vAlign w:val="bottom"/>
            <w:hideMark/>
          </w:tcPr>
          <w:p w14:paraId="24ADFD18"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Chad</w:t>
            </w:r>
          </w:p>
        </w:tc>
        <w:tc>
          <w:tcPr>
            <w:tcW w:w="2070" w:type="dxa"/>
            <w:shd w:val="clear" w:color="auto" w:fill="auto"/>
            <w:noWrap/>
            <w:vAlign w:val="bottom"/>
            <w:hideMark/>
          </w:tcPr>
          <w:p w14:paraId="41D35869"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Ihrig</w:t>
            </w:r>
            <w:proofErr w:type="spellEnd"/>
          </w:p>
        </w:tc>
        <w:tc>
          <w:tcPr>
            <w:tcW w:w="1376" w:type="dxa"/>
            <w:shd w:val="clear" w:color="auto" w:fill="auto"/>
            <w:noWrap/>
            <w:vAlign w:val="bottom"/>
            <w:hideMark/>
          </w:tcPr>
          <w:p w14:paraId="63F3940D"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1283A3B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23B7FB3C" w14:textId="77777777" w:rsidTr="00F22EA7">
        <w:trPr>
          <w:trHeight w:val="300"/>
        </w:trPr>
        <w:tc>
          <w:tcPr>
            <w:tcW w:w="3168" w:type="dxa"/>
            <w:shd w:val="clear" w:color="auto" w:fill="auto"/>
            <w:noWrap/>
            <w:vAlign w:val="bottom"/>
            <w:hideMark/>
          </w:tcPr>
          <w:p w14:paraId="2EAFC25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CodeCycle</w:t>
            </w:r>
          </w:p>
        </w:tc>
        <w:tc>
          <w:tcPr>
            <w:tcW w:w="1232" w:type="dxa"/>
            <w:shd w:val="clear" w:color="auto" w:fill="auto"/>
            <w:noWrap/>
            <w:vAlign w:val="bottom"/>
            <w:hideMark/>
          </w:tcPr>
          <w:p w14:paraId="27BEA2B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Dan</w:t>
            </w:r>
          </w:p>
        </w:tc>
        <w:tc>
          <w:tcPr>
            <w:tcW w:w="2070" w:type="dxa"/>
            <w:shd w:val="clear" w:color="auto" w:fill="auto"/>
            <w:noWrap/>
            <w:vAlign w:val="bottom"/>
            <w:hideMark/>
          </w:tcPr>
          <w:p w14:paraId="5775725D"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Suyeyasu</w:t>
            </w:r>
            <w:proofErr w:type="spellEnd"/>
          </w:p>
        </w:tc>
        <w:tc>
          <w:tcPr>
            <w:tcW w:w="1376" w:type="dxa"/>
            <w:shd w:val="clear" w:color="auto" w:fill="auto"/>
            <w:noWrap/>
            <w:vAlign w:val="bottom"/>
            <w:hideMark/>
          </w:tcPr>
          <w:p w14:paraId="4FB14DD9"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60046588"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52F38216" w14:textId="77777777" w:rsidTr="00F22EA7">
        <w:trPr>
          <w:trHeight w:val="300"/>
        </w:trPr>
        <w:tc>
          <w:tcPr>
            <w:tcW w:w="3168" w:type="dxa"/>
            <w:shd w:val="clear" w:color="auto" w:fill="auto"/>
            <w:noWrap/>
            <w:vAlign w:val="bottom"/>
            <w:hideMark/>
          </w:tcPr>
          <w:p w14:paraId="4FAB4778"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Energy Solutions</w:t>
            </w:r>
          </w:p>
        </w:tc>
        <w:tc>
          <w:tcPr>
            <w:tcW w:w="1232" w:type="dxa"/>
            <w:shd w:val="clear" w:color="auto" w:fill="auto"/>
            <w:noWrap/>
            <w:vAlign w:val="bottom"/>
            <w:hideMark/>
          </w:tcPr>
          <w:p w14:paraId="78E1B961"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Brian</w:t>
            </w:r>
          </w:p>
        </w:tc>
        <w:tc>
          <w:tcPr>
            <w:tcW w:w="2070" w:type="dxa"/>
            <w:shd w:val="clear" w:color="auto" w:fill="auto"/>
            <w:noWrap/>
            <w:vAlign w:val="bottom"/>
            <w:hideMark/>
          </w:tcPr>
          <w:p w14:paraId="0691C8EF"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Barnacle</w:t>
            </w:r>
          </w:p>
        </w:tc>
        <w:tc>
          <w:tcPr>
            <w:tcW w:w="1376" w:type="dxa"/>
            <w:shd w:val="clear" w:color="auto" w:fill="auto"/>
            <w:noWrap/>
            <w:vAlign w:val="bottom"/>
            <w:hideMark/>
          </w:tcPr>
          <w:p w14:paraId="21D634B2"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31B0492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54382385" w14:textId="77777777" w:rsidTr="00F22EA7">
        <w:trPr>
          <w:trHeight w:val="300"/>
        </w:trPr>
        <w:tc>
          <w:tcPr>
            <w:tcW w:w="3168" w:type="dxa"/>
            <w:shd w:val="clear" w:color="auto" w:fill="auto"/>
            <w:noWrap/>
            <w:vAlign w:val="bottom"/>
            <w:hideMark/>
          </w:tcPr>
          <w:p w14:paraId="3A7FADE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Energy Solutions</w:t>
            </w:r>
          </w:p>
        </w:tc>
        <w:tc>
          <w:tcPr>
            <w:tcW w:w="1232" w:type="dxa"/>
            <w:shd w:val="clear" w:color="auto" w:fill="auto"/>
            <w:noWrap/>
            <w:vAlign w:val="bottom"/>
            <w:hideMark/>
          </w:tcPr>
          <w:p w14:paraId="4F3EC9D0"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Teddy</w:t>
            </w:r>
          </w:p>
        </w:tc>
        <w:tc>
          <w:tcPr>
            <w:tcW w:w="2070" w:type="dxa"/>
            <w:shd w:val="clear" w:color="auto" w:fill="auto"/>
            <w:noWrap/>
            <w:vAlign w:val="bottom"/>
            <w:hideMark/>
          </w:tcPr>
          <w:p w14:paraId="36D0FD11"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Kisch</w:t>
            </w:r>
            <w:proofErr w:type="spellEnd"/>
          </w:p>
        </w:tc>
        <w:tc>
          <w:tcPr>
            <w:tcW w:w="1376" w:type="dxa"/>
            <w:shd w:val="clear" w:color="auto" w:fill="auto"/>
            <w:noWrap/>
            <w:vAlign w:val="bottom"/>
            <w:hideMark/>
          </w:tcPr>
          <w:p w14:paraId="0A893A1D"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D87223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10256D80" w14:textId="77777777" w:rsidTr="00F22EA7">
        <w:trPr>
          <w:trHeight w:val="300"/>
        </w:trPr>
        <w:tc>
          <w:tcPr>
            <w:tcW w:w="3168" w:type="dxa"/>
            <w:shd w:val="clear" w:color="auto" w:fill="auto"/>
            <w:noWrap/>
            <w:vAlign w:val="bottom"/>
            <w:hideMark/>
          </w:tcPr>
          <w:p w14:paraId="026DB505"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NRDC</w:t>
            </w:r>
          </w:p>
        </w:tc>
        <w:tc>
          <w:tcPr>
            <w:tcW w:w="1232" w:type="dxa"/>
            <w:shd w:val="clear" w:color="auto" w:fill="auto"/>
            <w:noWrap/>
            <w:vAlign w:val="bottom"/>
            <w:hideMark/>
          </w:tcPr>
          <w:p w14:paraId="45C620D0"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Lara</w:t>
            </w:r>
          </w:p>
        </w:tc>
        <w:tc>
          <w:tcPr>
            <w:tcW w:w="2070" w:type="dxa"/>
            <w:shd w:val="clear" w:color="auto" w:fill="auto"/>
            <w:noWrap/>
            <w:vAlign w:val="bottom"/>
            <w:hideMark/>
          </w:tcPr>
          <w:p w14:paraId="5CE5948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Ettenson</w:t>
            </w:r>
          </w:p>
        </w:tc>
        <w:tc>
          <w:tcPr>
            <w:tcW w:w="1376" w:type="dxa"/>
            <w:shd w:val="clear" w:color="auto" w:fill="auto"/>
            <w:noWrap/>
            <w:vAlign w:val="bottom"/>
            <w:hideMark/>
          </w:tcPr>
          <w:p w14:paraId="6E808630"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3A8DCA4"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0EC7F99E" w14:textId="77777777" w:rsidTr="00F22EA7">
        <w:trPr>
          <w:trHeight w:val="300"/>
        </w:trPr>
        <w:tc>
          <w:tcPr>
            <w:tcW w:w="3168" w:type="dxa"/>
            <w:shd w:val="clear" w:color="auto" w:fill="auto"/>
            <w:noWrap/>
            <w:vAlign w:val="bottom"/>
            <w:hideMark/>
          </w:tcPr>
          <w:p w14:paraId="55B79B95"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NRDC</w:t>
            </w:r>
          </w:p>
        </w:tc>
        <w:tc>
          <w:tcPr>
            <w:tcW w:w="1232" w:type="dxa"/>
            <w:shd w:val="clear" w:color="auto" w:fill="auto"/>
            <w:noWrap/>
            <w:vAlign w:val="bottom"/>
            <w:hideMark/>
          </w:tcPr>
          <w:p w14:paraId="7FD88907"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Merrian</w:t>
            </w:r>
            <w:proofErr w:type="spellEnd"/>
          </w:p>
        </w:tc>
        <w:tc>
          <w:tcPr>
            <w:tcW w:w="2070" w:type="dxa"/>
            <w:shd w:val="clear" w:color="auto" w:fill="auto"/>
            <w:noWrap/>
            <w:vAlign w:val="bottom"/>
            <w:hideMark/>
          </w:tcPr>
          <w:p w14:paraId="310DD2F2"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Borgeson</w:t>
            </w:r>
            <w:proofErr w:type="spellEnd"/>
          </w:p>
        </w:tc>
        <w:tc>
          <w:tcPr>
            <w:tcW w:w="1376" w:type="dxa"/>
            <w:shd w:val="clear" w:color="auto" w:fill="auto"/>
            <w:noWrap/>
            <w:vAlign w:val="bottom"/>
            <w:hideMark/>
          </w:tcPr>
          <w:p w14:paraId="7A625C10"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2A72BCF6"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58FF5598" w14:textId="77777777" w:rsidTr="00F22EA7">
        <w:trPr>
          <w:trHeight w:val="300"/>
        </w:trPr>
        <w:tc>
          <w:tcPr>
            <w:tcW w:w="3168" w:type="dxa"/>
            <w:shd w:val="clear" w:color="auto" w:fill="auto"/>
            <w:noWrap/>
            <w:vAlign w:val="bottom"/>
            <w:hideMark/>
          </w:tcPr>
          <w:p w14:paraId="6593407B"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 xml:space="preserve">CA Public Advocates </w:t>
            </w:r>
          </w:p>
        </w:tc>
        <w:tc>
          <w:tcPr>
            <w:tcW w:w="1232" w:type="dxa"/>
            <w:shd w:val="clear" w:color="auto" w:fill="auto"/>
            <w:noWrap/>
            <w:vAlign w:val="bottom"/>
            <w:hideMark/>
          </w:tcPr>
          <w:p w14:paraId="5D1D99AE"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Dan</w:t>
            </w:r>
          </w:p>
        </w:tc>
        <w:tc>
          <w:tcPr>
            <w:tcW w:w="2070" w:type="dxa"/>
            <w:shd w:val="clear" w:color="auto" w:fill="auto"/>
            <w:noWrap/>
            <w:vAlign w:val="bottom"/>
            <w:hideMark/>
          </w:tcPr>
          <w:p w14:paraId="539D90BC"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Buch</w:t>
            </w:r>
          </w:p>
        </w:tc>
        <w:tc>
          <w:tcPr>
            <w:tcW w:w="1376" w:type="dxa"/>
            <w:shd w:val="clear" w:color="auto" w:fill="auto"/>
            <w:noWrap/>
            <w:vAlign w:val="bottom"/>
            <w:hideMark/>
          </w:tcPr>
          <w:p w14:paraId="5EC6650C"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7C1F54A6"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30B81E60" w14:textId="77777777" w:rsidTr="00F22EA7">
        <w:trPr>
          <w:trHeight w:val="300"/>
        </w:trPr>
        <w:tc>
          <w:tcPr>
            <w:tcW w:w="3168" w:type="dxa"/>
            <w:shd w:val="clear" w:color="auto" w:fill="auto"/>
            <w:noWrap/>
            <w:vAlign w:val="bottom"/>
            <w:hideMark/>
          </w:tcPr>
          <w:p w14:paraId="11D020B5"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CA Public Advocates</w:t>
            </w:r>
          </w:p>
        </w:tc>
        <w:tc>
          <w:tcPr>
            <w:tcW w:w="1232" w:type="dxa"/>
            <w:shd w:val="clear" w:color="auto" w:fill="auto"/>
            <w:noWrap/>
            <w:vAlign w:val="bottom"/>
            <w:hideMark/>
          </w:tcPr>
          <w:p w14:paraId="788369C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Sasha</w:t>
            </w:r>
          </w:p>
        </w:tc>
        <w:tc>
          <w:tcPr>
            <w:tcW w:w="2070" w:type="dxa"/>
            <w:shd w:val="clear" w:color="auto" w:fill="auto"/>
            <w:noWrap/>
            <w:vAlign w:val="bottom"/>
            <w:hideMark/>
          </w:tcPr>
          <w:p w14:paraId="647E4066"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Cole</w:t>
            </w:r>
          </w:p>
        </w:tc>
        <w:tc>
          <w:tcPr>
            <w:tcW w:w="1376" w:type="dxa"/>
            <w:shd w:val="clear" w:color="auto" w:fill="auto"/>
            <w:noWrap/>
            <w:vAlign w:val="bottom"/>
            <w:hideMark/>
          </w:tcPr>
          <w:p w14:paraId="5A7976F9"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00D61A3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6F8A42BF" w14:textId="77777777" w:rsidTr="00F22EA7">
        <w:trPr>
          <w:trHeight w:val="300"/>
        </w:trPr>
        <w:tc>
          <w:tcPr>
            <w:tcW w:w="3168" w:type="dxa"/>
            <w:shd w:val="clear" w:color="auto" w:fill="auto"/>
            <w:noWrap/>
            <w:vAlign w:val="bottom"/>
            <w:hideMark/>
          </w:tcPr>
          <w:p w14:paraId="0BB9B10D"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PG&amp;E</w:t>
            </w:r>
          </w:p>
        </w:tc>
        <w:tc>
          <w:tcPr>
            <w:tcW w:w="1232" w:type="dxa"/>
            <w:shd w:val="clear" w:color="auto" w:fill="auto"/>
            <w:noWrap/>
            <w:vAlign w:val="bottom"/>
            <w:hideMark/>
          </w:tcPr>
          <w:p w14:paraId="6DC9F61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Adam</w:t>
            </w:r>
          </w:p>
        </w:tc>
        <w:tc>
          <w:tcPr>
            <w:tcW w:w="2070" w:type="dxa"/>
            <w:shd w:val="clear" w:color="auto" w:fill="auto"/>
            <w:noWrap/>
            <w:vAlign w:val="bottom"/>
            <w:hideMark/>
          </w:tcPr>
          <w:p w14:paraId="77F26838"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Scheer</w:t>
            </w:r>
          </w:p>
        </w:tc>
        <w:tc>
          <w:tcPr>
            <w:tcW w:w="1376" w:type="dxa"/>
            <w:shd w:val="clear" w:color="auto" w:fill="auto"/>
            <w:noWrap/>
            <w:vAlign w:val="bottom"/>
            <w:hideMark/>
          </w:tcPr>
          <w:p w14:paraId="299513D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7263348"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232032BF" w14:textId="77777777" w:rsidTr="00F22EA7">
        <w:trPr>
          <w:trHeight w:val="300"/>
        </w:trPr>
        <w:tc>
          <w:tcPr>
            <w:tcW w:w="3168" w:type="dxa"/>
            <w:shd w:val="clear" w:color="auto" w:fill="auto"/>
            <w:noWrap/>
            <w:vAlign w:val="bottom"/>
            <w:hideMark/>
          </w:tcPr>
          <w:p w14:paraId="0780B18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Resource Innovations</w:t>
            </w:r>
          </w:p>
        </w:tc>
        <w:tc>
          <w:tcPr>
            <w:tcW w:w="1232" w:type="dxa"/>
            <w:shd w:val="clear" w:color="auto" w:fill="auto"/>
            <w:noWrap/>
            <w:vAlign w:val="bottom"/>
            <w:hideMark/>
          </w:tcPr>
          <w:p w14:paraId="6F267AB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Margie</w:t>
            </w:r>
          </w:p>
        </w:tc>
        <w:tc>
          <w:tcPr>
            <w:tcW w:w="2070" w:type="dxa"/>
            <w:shd w:val="clear" w:color="auto" w:fill="auto"/>
            <w:noWrap/>
            <w:vAlign w:val="bottom"/>
            <w:hideMark/>
          </w:tcPr>
          <w:p w14:paraId="323F1BBF"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Gardner</w:t>
            </w:r>
          </w:p>
        </w:tc>
        <w:tc>
          <w:tcPr>
            <w:tcW w:w="1376" w:type="dxa"/>
            <w:shd w:val="clear" w:color="auto" w:fill="auto"/>
            <w:noWrap/>
            <w:vAlign w:val="bottom"/>
            <w:hideMark/>
          </w:tcPr>
          <w:p w14:paraId="3A1830B3"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D11135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1987A5C3" w14:textId="77777777" w:rsidTr="00F22EA7">
        <w:trPr>
          <w:trHeight w:val="300"/>
        </w:trPr>
        <w:tc>
          <w:tcPr>
            <w:tcW w:w="3168" w:type="dxa"/>
            <w:shd w:val="clear" w:color="auto" w:fill="auto"/>
            <w:noWrap/>
            <w:vAlign w:val="bottom"/>
            <w:hideMark/>
          </w:tcPr>
          <w:p w14:paraId="462E722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SCE</w:t>
            </w:r>
          </w:p>
        </w:tc>
        <w:tc>
          <w:tcPr>
            <w:tcW w:w="1232" w:type="dxa"/>
            <w:shd w:val="clear" w:color="auto" w:fill="auto"/>
            <w:noWrap/>
            <w:vAlign w:val="bottom"/>
            <w:hideMark/>
          </w:tcPr>
          <w:p w14:paraId="7EDF5A13"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Derek</w:t>
            </w:r>
          </w:p>
        </w:tc>
        <w:tc>
          <w:tcPr>
            <w:tcW w:w="2070" w:type="dxa"/>
            <w:shd w:val="clear" w:color="auto" w:fill="auto"/>
            <w:noWrap/>
            <w:vAlign w:val="bottom"/>
            <w:hideMark/>
          </w:tcPr>
          <w:p w14:paraId="598F856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Okada</w:t>
            </w:r>
          </w:p>
        </w:tc>
        <w:tc>
          <w:tcPr>
            <w:tcW w:w="1376" w:type="dxa"/>
            <w:shd w:val="clear" w:color="auto" w:fill="auto"/>
            <w:noWrap/>
            <w:vAlign w:val="bottom"/>
            <w:hideMark/>
          </w:tcPr>
          <w:p w14:paraId="71FDE662"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347C2441"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5552B3C4" w14:textId="77777777" w:rsidTr="00F22EA7">
        <w:trPr>
          <w:trHeight w:val="300"/>
        </w:trPr>
        <w:tc>
          <w:tcPr>
            <w:tcW w:w="3168" w:type="dxa"/>
            <w:shd w:val="clear" w:color="auto" w:fill="auto"/>
            <w:noWrap/>
            <w:vAlign w:val="bottom"/>
            <w:hideMark/>
          </w:tcPr>
          <w:p w14:paraId="7D935F4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SCE</w:t>
            </w:r>
          </w:p>
        </w:tc>
        <w:tc>
          <w:tcPr>
            <w:tcW w:w="1232" w:type="dxa"/>
            <w:shd w:val="clear" w:color="auto" w:fill="auto"/>
            <w:noWrap/>
            <w:vAlign w:val="bottom"/>
            <w:hideMark/>
          </w:tcPr>
          <w:p w14:paraId="19BA657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Jesse</w:t>
            </w:r>
          </w:p>
        </w:tc>
        <w:tc>
          <w:tcPr>
            <w:tcW w:w="2070" w:type="dxa"/>
            <w:shd w:val="clear" w:color="auto" w:fill="auto"/>
            <w:noWrap/>
            <w:vAlign w:val="bottom"/>
            <w:hideMark/>
          </w:tcPr>
          <w:p w14:paraId="1ED3045C"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Feinberg</w:t>
            </w:r>
          </w:p>
        </w:tc>
        <w:tc>
          <w:tcPr>
            <w:tcW w:w="1376" w:type="dxa"/>
            <w:shd w:val="clear" w:color="auto" w:fill="auto"/>
            <w:noWrap/>
            <w:vAlign w:val="bottom"/>
            <w:hideMark/>
          </w:tcPr>
          <w:p w14:paraId="205B028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E7BFAD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20B538B4" w14:textId="77777777" w:rsidTr="00F22EA7">
        <w:trPr>
          <w:trHeight w:val="300"/>
        </w:trPr>
        <w:tc>
          <w:tcPr>
            <w:tcW w:w="3168" w:type="dxa"/>
            <w:shd w:val="clear" w:color="auto" w:fill="auto"/>
            <w:noWrap/>
            <w:vAlign w:val="bottom"/>
            <w:hideMark/>
          </w:tcPr>
          <w:p w14:paraId="56E5382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SCE</w:t>
            </w:r>
          </w:p>
        </w:tc>
        <w:tc>
          <w:tcPr>
            <w:tcW w:w="1232" w:type="dxa"/>
            <w:shd w:val="clear" w:color="auto" w:fill="auto"/>
            <w:noWrap/>
            <w:vAlign w:val="bottom"/>
            <w:hideMark/>
          </w:tcPr>
          <w:p w14:paraId="32A94CF3"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Kevin</w:t>
            </w:r>
          </w:p>
        </w:tc>
        <w:tc>
          <w:tcPr>
            <w:tcW w:w="2070" w:type="dxa"/>
            <w:shd w:val="clear" w:color="auto" w:fill="auto"/>
            <w:noWrap/>
            <w:vAlign w:val="bottom"/>
            <w:hideMark/>
          </w:tcPr>
          <w:p w14:paraId="23F9D302"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Thompson</w:t>
            </w:r>
          </w:p>
        </w:tc>
        <w:tc>
          <w:tcPr>
            <w:tcW w:w="1376" w:type="dxa"/>
            <w:shd w:val="clear" w:color="auto" w:fill="auto"/>
            <w:noWrap/>
            <w:vAlign w:val="bottom"/>
            <w:hideMark/>
          </w:tcPr>
          <w:p w14:paraId="4220A73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79BB478F"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00AA7919" w14:textId="77777777" w:rsidTr="00F22EA7">
        <w:trPr>
          <w:trHeight w:val="300"/>
        </w:trPr>
        <w:tc>
          <w:tcPr>
            <w:tcW w:w="3168" w:type="dxa"/>
            <w:shd w:val="clear" w:color="auto" w:fill="auto"/>
            <w:noWrap/>
            <w:vAlign w:val="bottom"/>
            <w:hideMark/>
          </w:tcPr>
          <w:p w14:paraId="20C59C06"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SCE (Consultant)</w:t>
            </w:r>
          </w:p>
        </w:tc>
        <w:tc>
          <w:tcPr>
            <w:tcW w:w="1232" w:type="dxa"/>
            <w:shd w:val="clear" w:color="auto" w:fill="auto"/>
            <w:noWrap/>
            <w:vAlign w:val="bottom"/>
            <w:hideMark/>
          </w:tcPr>
          <w:p w14:paraId="57FF5A09"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Carol</w:t>
            </w:r>
          </w:p>
        </w:tc>
        <w:tc>
          <w:tcPr>
            <w:tcW w:w="2070" w:type="dxa"/>
            <w:shd w:val="clear" w:color="auto" w:fill="auto"/>
            <w:noWrap/>
            <w:vAlign w:val="bottom"/>
            <w:hideMark/>
          </w:tcPr>
          <w:p w14:paraId="7A2DEC86"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Yin</w:t>
            </w:r>
          </w:p>
        </w:tc>
        <w:tc>
          <w:tcPr>
            <w:tcW w:w="1376" w:type="dxa"/>
            <w:shd w:val="clear" w:color="auto" w:fill="auto"/>
            <w:noWrap/>
            <w:vAlign w:val="bottom"/>
            <w:hideMark/>
          </w:tcPr>
          <w:p w14:paraId="4ED7C80A"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7220F1C"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1A1616ED" w14:textId="77777777" w:rsidTr="00F22EA7">
        <w:trPr>
          <w:trHeight w:val="300"/>
        </w:trPr>
        <w:tc>
          <w:tcPr>
            <w:tcW w:w="3168" w:type="dxa"/>
            <w:shd w:val="clear" w:color="auto" w:fill="auto"/>
            <w:noWrap/>
            <w:vAlign w:val="bottom"/>
            <w:hideMark/>
          </w:tcPr>
          <w:p w14:paraId="05F9CFDF"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SDG&amp;E </w:t>
            </w:r>
          </w:p>
        </w:tc>
        <w:tc>
          <w:tcPr>
            <w:tcW w:w="1232" w:type="dxa"/>
            <w:shd w:val="clear" w:color="auto" w:fill="auto"/>
            <w:noWrap/>
            <w:vAlign w:val="bottom"/>
            <w:hideMark/>
          </w:tcPr>
          <w:p w14:paraId="5BA85A24"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Raghav</w:t>
            </w:r>
          </w:p>
        </w:tc>
        <w:tc>
          <w:tcPr>
            <w:tcW w:w="2070" w:type="dxa"/>
            <w:shd w:val="clear" w:color="auto" w:fill="auto"/>
            <w:noWrap/>
            <w:vAlign w:val="bottom"/>
            <w:hideMark/>
          </w:tcPr>
          <w:p w14:paraId="6496FB25"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Murali</w:t>
            </w:r>
          </w:p>
        </w:tc>
        <w:tc>
          <w:tcPr>
            <w:tcW w:w="1376" w:type="dxa"/>
            <w:shd w:val="clear" w:color="auto" w:fill="auto"/>
            <w:noWrap/>
            <w:vAlign w:val="bottom"/>
            <w:hideMark/>
          </w:tcPr>
          <w:p w14:paraId="0F2D975B"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63143A86"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02B63B54" w14:textId="77777777" w:rsidTr="00F22EA7">
        <w:trPr>
          <w:trHeight w:val="300"/>
        </w:trPr>
        <w:tc>
          <w:tcPr>
            <w:tcW w:w="3168" w:type="dxa"/>
            <w:shd w:val="clear" w:color="auto" w:fill="auto"/>
            <w:noWrap/>
            <w:vAlign w:val="bottom"/>
            <w:hideMark/>
          </w:tcPr>
          <w:p w14:paraId="57F5D39B"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SDG&amp;E </w:t>
            </w:r>
          </w:p>
        </w:tc>
        <w:tc>
          <w:tcPr>
            <w:tcW w:w="1232" w:type="dxa"/>
            <w:shd w:val="clear" w:color="auto" w:fill="auto"/>
            <w:noWrap/>
            <w:vAlign w:val="bottom"/>
            <w:hideMark/>
          </w:tcPr>
          <w:p w14:paraId="0CC3D2D4"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Athena</w:t>
            </w:r>
          </w:p>
        </w:tc>
        <w:tc>
          <w:tcPr>
            <w:tcW w:w="2070" w:type="dxa"/>
            <w:shd w:val="clear" w:color="auto" w:fill="auto"/>
            <w:noWrap/>
            <w:vAlign w:val="bottom"/>
            <w:hideMark/>
          </w:tcPr>
          <w:p w14:paraId="4F7BC99C"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Besa</w:t>
            </w:r>
          </w:p>
        </w:tc>
        <w:tc>
          <w:tcPr>
            <w:tcW w:w="1376" w:type="dxa"/>
            <w:shd w:val="clear" w:color="auto" w:fill="auto"/>
            <w:noWrap/>
            <w:vAlign w:val="bottom"/>
            <w:hideMark/>
          </w:tcPr>
          <w:p w14:paraId="5AF24128"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1ABA936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7BC3F861" w14:textId="77777777" w:rsidTr="00F22EA7">
        <w:trPr>
          <w:trHeight w:val="300"/>
        </w:trPr>
        <w:tc>
          <w:tcPr>
            <w:tcW w:w="3168" w:type="dxa"/>
            <w:shd w:val="clear" w:color="auto" w:fill="auto"/>
            <w:noWrap/>
            <w:vAlign w:val="bottom"/>
            <w:hideMark/>
          </w:tcPr>
          <w:p w14:paraId="635A5FC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SMW Local 104</w:t>
            </w:r>
          </w:p>
        </w:tc>
        <w:tc>
          <w:tcPr>
            <w:tcW w:w="1232" w:type="dxa"/>
            <w:shd w:val="clear" w:color="auto" w:fill="auto"/>
            <w:noWrap/>
            <w:vAlign w:val="bottom"/>
            <w:hideMark/>
          </w:tcPr>
          <w:p w14:paraId="1D18CC3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Dave</w:t>
            </w:r>
          </w:p>
        </w:tc>
        <w:tc>
          <w:tcPr>
            <w:tcW w:w="2070" w:type="dxa"/>
            <w:shd w:val="clear" w:color="auto" w:fill="auto"/>
            <w:noWrap/>
            <w:vAlign w:val="bottom"/>
            <w:hideMark/>
          </w:tcPr>
          <w:p w14:paraId="5B5FA7B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Dias</w:t>
            </w:r>
          </w:p>
        </w:tc>
        <w:tc>
          <w:tcPr>
            <w:tcW w:w="1376" w:type="dxa"/>
            <w:shd w:val="clear" w:color="auto" w:fill="auto"/>
            <w:noWrap/>
            <w:vAlign w:val="bottom"/>
            <w:hideMark/>
          </w:tcPr>
          <w:p w14:paraId="7FB2A8E4"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04062B9E"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00864E95" w14:textId="77777777" w:rsidTr="00F22EA7">
        <w:trPr>
          <w:trHeight w:val="300"/>
        </w:trPr>
        <w:tc>
          <w:tcPr>
            <w:tcW w:w="3168" w:type="dxa"/>
            <w:shd w:val="clear" w:color="auto" w:fill="auto"/>
            <w:noWrap/>
            <w:vAlign w:val="bottom"/>
            <w:hideMark/>
          </w:tcPr>
          <w:p w14:paraId="6B3F76D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SBUA</w:t>
            </w:r>
          </w:p>
        </w:tc>
        <w:tc>
          <w:tcPr>
            <w:tcW w:w="1232" w:type="dxa"/>
            <w:shd w:val="clear" w:color="auto" w:fill="auto"/>
            <w:noWrap/>
            <w:vAlign w:val="bottom"/>
            <w:hideMark/>
          </w:tcPr>
          <w:p w14:paraId="7CBEA670"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Ivan</w:t>
            </w:r>
          </w:p>
        </w:tc>
        <w:tc>
          <w:tcPr>
            <w:tcW w:w="2070" w:type="dxa"/>
            <w:shd w:val="clear" w:color="auto" w:fill="auto"/>
            <w:noWrap/>
            <w:vAlign w:val="bottom"/>
            <w:hideMark/>
          </w:tcPr>
          <w:p w14:paraId="3904079B"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Jimenez</w:t>
            </w:r>
          </w:p>
        </w:tc>
        <w:tc>
          <w:tcPr>
            <w:tcW w:w="1376" w:type="dxa"/>
            <w:shd w:val="clear" w:color="auto" w:fill="auto"/>
            <w:noWrap/>
            <w:vAlign w:val="bottom"/>
            <w:hideMark/>
          </w:tcPr>
          <w:p w14:paraId="6AA494F5"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46F35811"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14CEC0FA" w14:textId="77777777" w:rsidTr="00F22EA7">
        <w:trPr>
          <w:trHeight w:val="300"/>
        </w:trPr>
        <w:tc>
          <w:tcPr>
            <w:tcW w:w="3168" w:type="dxa"/>
            <w:shd w:val="clear" w:color="auto" w:fill="auto"/>
            <w:noWrap/>
            <w:vAlign w:val="bottom"/>
            <w:hideMark/>
          </w:tcPr>
          <w:p w14:paraId="6F101C89"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SBUA</w:t>
            </w:r>
          </w:p>
        </w:tc>
        <w:tc>
          <w:tcPr>
            <w:tcW w:w="1232" w:type="dxa"/>
            <w:shd w:val="clear" w:color="auto" w:fill="auto"/>
            <w:noWrap/>
            <w:vAlign w:val="bottom"/>
            <w:hideMark/>
          </w:tcPr>
          <w:p w14:paraId="5823B35F"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James</w:t>
            </w:r>
          </w:p>
        </w:tc>
        <w:tc>
          <w:tcPr>
            <w:tcW w:w="2070" w:type="dxa"/>
            <w:shd w:val="clear" w:color="auto" w:fill="auto"/>
            <w:noWrap/>
            <w:vAlign w:val="bottom"/>
            <w:hideMark/>
          </w:tcPr>
          <w:p w14:paraId="6CA52A3C"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Birkelund</w:t>
            </w:r>
          </w:p>
        </w:tc>
        <w:tc>
          <w:tcPr>
            <w:tcW w:w="1376" w:type="dxa"/>
            <w:shd w:val="clear" w:color="auto" w:fill="auto"/>
            <w:noWrap/>
            <w:vAlign w:val="bottom"/>
            <w:hideMark/>
          </w:tcPr>
          <w:p w14:paraId="17524120"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49992FE2"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71E25B67" w14:textId="77777777" w:rsidTr="00F22EA7">
        <w:trPr>
          <w:trHeight w:val="300"/>
        </w:trPr>
        <w:tc>
          <w:tcPr>
            <w:tcW w:w="3168" w:type="dxa"/>
            <w:shd w:val="clear" w:color="auto" w:fill="auto"/>
            <w:noWrap/>
            <w:vAlign w:val="bottom"/>
            <w:hideMark/>
          </w:tcPr>
          <w:p w14:paraId="2C3FCDA4"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SoCalGas</w:t>
            </w:r>
          </w:p>
        </w:tc>
        <w:tc>
          <w:tcPr>
            <w:tcW w:w="1232" w:type="dxa"/>
            <w:shd w:val="clear" w:color="auto" w:fill="auto"/>
            <w:noWrap/>
            <w:vAlign w:val="bottom"/>
            <w:hideMark/>
          </w:tcPr>
          <w:p w14:paraId="26C0CF57"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Erin</w:t>
            </w:r>
          </w:p>
        </w:tc>
        <w:tc>
          <w:tcPr>
            <w:tcW w:w="2070" w:type="dxa"/>
            <w:shd w:val="clear" w:color="auto" w:fill="auto"/>
            <w:noWrap/>
            <w:vAlign w:val="bottom"/>
            <w:hideMark/>
          </w:tcPr>
          <w:p w14:paraId="4DDF1060"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Brooks</w:t>
            </w:r>
          </w:p>
        </w:tc>
        <w:tc>
          <w:tcPr>
            <w:tcW w:w="1376" w:type="dxa"/>
            <w:shd w:val="clear" w:color="auto" w:fill="auto"/>
            <w:noWrap/>
            <w:vAlign w:val="bottom"/>
            <w:hideMark/>
          </w:tcPr>
          <w:p w14:paraId="01840F91"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255D53D"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536772DA" w14:textId="77777777" w:rsidTr="00F22EA7">
        <w:trPr>
          <w:trHeight w:val="300"/>
        </w:trPr>
        <w:tc>
          <w:tcPr>
            <w:tcW w:w="3168" w:type="dxa"/>
            <w:shd w:val="clear" w:color="auto" w:fill="auto"/>
            <w:noWrap/>
            <w:vAlign w:val="bottom"/>
            <w:hideMark/>
          </w:tcPr>
          <w:p w14:paraId="1638156A"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SoCalGas</w:t>
            </w:r>
          </w:p>
        </w:tc>
        <w:tc>
          <w:tcPr>
            <w:tcW w:w="1232" w:type="dxa"/>
            <w:shd w:val="clear" w:color="auto" w:fill="auto"/>
            <w:noWrap/>
            <w:vAlign w:val="bottom"/>
            <w:hideMark/>
          </w:tcPr>
          <w:p w14:paraId="009A3604"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Elizabeth</w:t>
            </w:r>
          </w:p>
        </w:tc>
        <w:tc>
          <w:tcPr>
            <w:tcW w:w="2070" w:type="dxa"/>
            <w:shd w:val="clear" w:color="auto" w:fill="auto"/>
            <w:noWrap/>
            <w:vAlign w:val="bottom"/>
            <w:hideMark/>
          </w:tcPr>
          <w:p w14:paraId="3716D4E7"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Gomez (</w:t>
            </w:r>
            <w:proofErr w:type="spellStart"/>
            <w:r w:rsidRPr="00F22EA7">
              <w:rPr>
                <w:rFonts w:eastAsia="Times New Roman" w:cs="Calibri"/>
                <w:color w:val="000000"/>
                <w:sz w:val="22"/>
                <w:szCs w:val="22"/>
              </w:rPr>
              <w:t>Baires</w:t>
            </w:r>
            <w:proofErr w:type="spellEnd"/>
            <w:r w:rsidRPr="00F22EA7">
              <w:rPr>
                <w:rFonts w:eastAsia="Times New Roman" w:cs="Calibri"/>
                <w:color w:val="000000"/>
                <w:sz w:val="22"/>
                <w:szCs w:val="22"/>
              </w:rPr>
              <w:t>)</w:t>
            </w:r>
          </w:p>
        </w:tc>
        <w:tc>
          <w:tcPr>
            <w:tcW w:w="1376" w:type="dxa"/>
            <w:shd w:val="clear" w:color="auto" w:fill="auto"/>
            <w:noWrap/>
            <w:vAlign w:val="bottom"/>
            <w:hideMark/>
          </w:tcPr>
          <w:p w14:paraId="01F26429"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AF9275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79C91F22" w14:textId="77777777" w:rsidTr="00F22EA7">
        <w:trPr>
          <w:trHeight w:val="300"/>
        </w:trPr>
        <w:tc>
          <w:tcPr>
            <w:tcW w:w="3168" w:type="dxa"/>
            <w:shd w:val="clear" w:color="auto" w:fill="auto"/>
            <w:noWrap/>
            <w:vAlign w:val="bottom"/>
            <w:hideMark/>
          </w:tcPr>
          <w:p w14:paraId="247BCC2B" w14:textId="77777777" w:rsidR="00960A12" w:rsidRPr="00F22EA7" w:rsidRDefault="00960A12" w:rsidP="00F22EA7">
            <w:pPr>
              <w:spacing w:line="276" w:lineRule="auto"/>
              <w:rPr>
                <w:rFonts w:eastAsia="Times New Roman" w:cs="Calibri"/>
                <w:b/>
                <w:bCs/>
                <w:color w:val="000000"/>
                <w:sz w:val="22"/>
                <w:szCs w:val="22"/>
              </w:rPr>
            </w:pPr>
            <w:proofErr w:type="spellStart"/>
            <w:r w:rsidRPr="00F22EA7">
              <w:rPr>
                <w:rFonts w:eastAsia="Times New Roman" w:cs="Calibri"/>
                <w:b/>
                <w:bCs/>
                <w:color w:val="000000"/>
                <w:sz w:val="22"/>
                <w:szCs w:val="22"/>
              </w:rPr>
              <w:t>SoCalRen</w:t>
            </w:r>
            <w:proofErr w:type="spellEnd"/>
          </w:p>
        </w:tc>
        <w:tc>
          <w:tcPr>
            <w:tcW w:w="1232" w:type="dxa"/>
            <w:shd w:val="clear" w:color="auto" w:fill="auto"/>
            <w:noWrap/>
            <w:vAlign w:val="bottom"/>
            <w:hideMark/>
          </w:tcPr>
          <w:p w14:paraId="3C545FF8" w14:textId="77777777" w:rsidR="00960A12" w:rsidRPr="00F22EA7" w:rsidRDefault="00960A12" w:rsidP="00F22EA7">
            <w:pPr>
              <w:spacing w:line="276" w:lineRule="auto"/>
              <w:rPr>
                <w:rFonts w:eastAsia="Times New Roman" w:cs="Calibri"/>
                <w:color w:val="000000"/>
                <w:sz w:val="22"/>
                <w:szCs w:val="22"/>
              </w:rPr>
            </w:pPr>
            <w:proofErr w:type="spellStart"/>
            <w:r w:rsidRPr="00F22EA7">
              <w:rPr>
                <w:rFonts w:eastAsia="Times New Roman" w:cs="Calibri"/>
                <w:color w:val="000000"/>
                <w:sz w:val="22"/>
                <w:szCs w:val="22"/>
              </w:rPr>
              <w:t>Lujuana</w:t>
            </w:r>
            <w:proofErr w:type="spellEnd"/>
          </w:p>
        </w:tc>
        <w:tc>
          <w:tcPr>
            <w:tcW w:w="2070" w:type="dxa"/>
            <w:shd w:val="clear" w:color="auto" w:fill="auto"/>
            <w:noWrap/>
            <w:vAlign w:val="bottom"/>
            <w:hideMark/>
          </w:tcPr>
          <w:p w14:paraId="0BF2787A" w14:textId="77777777" w:rsidR="00960A12" w:rsidRPr="00F22EA7" w:rsidRDefault="00960A12" w:rsidP="00F22EA7">
            <w:pPr>
              <w:spacing w:line="276" w:lineRule="auto"/>
              <w:rPr>
                <w:rFonts w:eastAsia="Times New Roman" w:cs="Calibri"/>
                <w:color w:val="000000"/>
                <w:sz w:val="22"/>
                <w:szCs w:val="22"/>
              </w:rPr>
            </w:pPr>
            <w:r w:rsidRPr="00F22EA7">
              <w:rPr>
                <w:rFonts w:eastAsia="Times New Roman" w:cs="Calibri"/>
                <w:color w:val="000000"/>
                <w:sz w:val="22"/>
                <w:szCs w:val="22"/>
              </w:rPr>
              <w:t>Medina</w:t>
            </w:r>
          </w:p>
        </w:tc>
        <w:tc>
          <w:tcPr>
            <w:tcW w:w="1376" w:type="dxa"/>
            <w:shd w:val="clear" w:color="auto" w:fill="auto"/>
            <w:noWrap/>
            <w:vAlign w:val="bottom"/>
            <w:hideMark/>
          </w:tcPr>
          <w:p w14:paraId="70048974" w14:textId="77777777" w:rsidR="00960A12" w:rsidRPr="00F22EA7" w:rsidRDefault="00960A12" w:rsidP="00F22EA7">
            <w:pPr>
              <w:spacing w:line="276"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791A1CA0" w14:textId="77777777" w:rsidR="00960A12" w:rsidRPr="00F22EA7" w:rsidRDefault="00960A12" w:rsidP="00F22EA7">
            <w:pPr>
              <w:spacing w:line="276"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25DE68BE" w14:textId="77777777" w:rsidTr="00F22EA7">
        <w:trPr>
          <w:trHeight w:val="300"/>
        </w:trPr>
        <w:tc>
          <w:tcPr>
            <w:tcW w:w="3168" w:type="dxa"/>
            <w:shd w:val="clear" w:color="auto" w:fill="auto"/>
            <w:noWrap/>
            <w:vAlign w:val="bottom"/>
            <w:hideMark/>
          </w:tcPr>
          <w:p w14:paraId="5856D345" w14:textId="77777777" w:rsidR="00960A12" w:rsidRPr="00F22EA7" w:rsidRDefault="00960A12" w:rsidP="00F22EA7">
            <w:pPr>
              <w:spacing w:line="360" w:lineRule="auto"/>
              <w:rPr>
                <w:rFonts w:eastAsia="Times New Roman" w:cs="Calibri"/>
                <w:b/>
                <w:bCs/>
                <w:color w:val="000000"/>
                <w:sz w:val="22"/>
                <w:szCs w:val="22"/>
              </w:rPr>
            </w:pPr>
            <w:proofErr w:type="spellStart"/>
            <w:r w:rsidRPr="00F22EA7">
              <w:rPr>
                <w:rFonts w:eastAsia="Times New Roman" w:cs="Calibri"/>
                <w:b/>
                <w:bCs/>
                <w:color w:val="000000"/>
                <w:sz w:val="22"/>
                <w:szCs w:val="22"/>
              </w:rPr>
              <w:t>SoCalRen</w:t>
            </w:r>
            <w:proofErr w:type="spellEnd"/>
          </w:p>
        </w:tc>
        <w:tc>
          <w:tcPr>
            <w:tcW w:w="1232" w:type="dxa"/>
            <w:shd w:val="clear" w:color="auto" w:fill="auto"/>
            <w:noWrap/>
            <w:vAlign w:val="bottom"/>
            <w:hideMark/>
          </w:tcPr>
          <w:p w14:paraId="15F3D18A"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Matt</w:t>
            </w:r>
          </w:p>
        </w:tc>
        <w:tc>
          <w:tcPr>
            <w:tcW w:w="2070" w:type="dxa"/>
            <w:shd w:val="clear" w:color="auto" w:fill="auto"/>
            <w:noWrap/>
            <w:vAlign w:val="bottom"/>
            <w:hideMark/>
          </w:tcPr>
          <w:p w14:paraId="45BA5BF2" w14:textId="77777777" w:rsidR="00960A12" w:rsidRPr="00F22EA7" w:rsidRDefault="00960A12" w:rsidP="00F22EA7">
            <w:pPr>
              <w:spacing w:line="360" w:lineRule="auto"/>
              <w:rPr>
                <w:rFonts w:eastAsia="Times New Roman" w:cs="Calibri"/>
                <w:color w:val="000000"/>
                <w:sz w:val="22"/>
                <w:szCs w:val="22"/>
              </w:rPr>
            </w:pPr>
            <w:proofErr w:type="spellStart"/>
            <w:r w:rsidRPr="00F22EA7">
              <w:rPr>
                <w:rFonts w:eastAsia="Times New Roman" w:cs="Calibri"/>
                <w:color w:val="000000"/>
                <w:sz w:val="22"/>
                <w:szCs w:val="22"/>
              </w:rPr>
              <w:t>Skolnik</w:t>
            </w:r>
            <w:proofErr w:type="spellEnd"/>
          </w:p>
        </w:tc>
        <w:tc>
          <w:tcPr>
            <w:tcW w:w="1376" w:type="dxa"/>
            <w:shd w:val="clear" w:color="auto" w:fill="auto"/>
            <w:noWrap/>
            <w:vAlign w:val="bottom"/>
            <w:hideMark/>
          </w:tcPr>
          <w:p w14:paraId="19663154" w14:textId="77777777" w:rsidR="00960A12" w:rsidRPr="00F22EA7" w:rsidRDefault="00960A12" w:rsidP="00F22EA7">
            <w:pPr>
              <w:spacing w:line="360" w:lineRule="auto"/>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007F11E7"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2700325F" w14:textId="77777777" w:rsidTr="00F22EA7">
        <w:trPr>
          <w:trHeight w:val="300"/>
        </w:trPr>
        <w:tc>
          <w:tcPr>
            <w:tcW w:w="3168" w:type="dxa"/>
            <w:shd w:val="clear" w:color="auto" w:fill="auto"/>
            <w:noWrap/>
            <w:vAlign w:val="bottom"/>
            <w:hideMark/>
          </w:tcPr>
          <w:p w14:paraId="1DB3DC47"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The Energy Coalition</w:t>
            </w:r>
          </w:p>
        </w:tc>
        <w:tc>
          <w:tcPr>
            <w:tcW w:w="1232" w:type="dxa"/>
            <w:shd w:val="clear" w:color="auto" w:fill="auto"/>
            <w:noWrap/>
            <w:vAlign w:val="bottom"/>
            <w:hideMark/>
          </w:tcPr>
          <w:p w14:paraId="18164D16"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Marc</w:t>
            </w:r>
          </w:p>
        </w:tc>
        <w:tc>
          <w:tcPr>
            <w:tcW w:w="2070" w:type="dxa"/>
            <w:shd w:val="clear" w:color="auto" w:fill="auto"/>
            <w:noWrap/>
            <w:vAlign w:val="bottom"/>
            <w:hideMark/>
          </w:tcPr>
          <w:p w14:paraId="2A980ECC"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Costa</w:t>
            </w:r>
          </w:p>
        </w:tc>
        <w:tc>
          <w:tcPr>
            <w:tcW w:w="1376" w:type="dxa"/>
            <w:shd w:val="clear" w:color="auto" w:fill="auto"/>
            <w:noWrap/>
            <w:vAlign w:val="bottom"/>
            <w:hideMark/>
          </w:tcPr>
          <w:p w14:paraId="267C7EBA"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11167E83"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06D7B7E4" w14:textId="77777777" w:rsidTr="00F22EA7">
        <w:trPr>
          <w:trHeight w:val="300"/>
        </w:trPr>
        <w:tc>
          <w:tcPr>
            <w:tcW w:w="3168" w:type="dxa"/>
            <w:shd w:val="clear" w:color="auto" w:fill="auto"/>
            <w:noWrap/>
            <w:vAlign w:val="bottom"/>
            <w:hideMark/>
          </w:tcPr>
          <w:p w14:paraId="071EFE39"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TURN</w:t>
            </w:r>
          </w:p>
        </w:tc>
        <w:tc>
          <w:tcPr>
            <w:tcW w:w="1232" w:type="dxa"/>
            <w:shd w:val="clear" w:color="auto" w:fill="auto"/>
            <w:noWrap/>
            <w:vAlign w:val="bottom"/>
            <w:hideMark/>
          </w:tcPr>
          <w:p w14:paraId="4B0B79FE"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xml:space="preserve">Hayley </w:t>
            </w:r>
          </w:p>
        </w:tc>
        <w:tc>
          <w:tcPr>
            <w:tcW w:w="2070" w:type="dxa"/>
            <w:shd w:val="clear" w:color="auto" w:fill="auto"/>
            <w:noWrap/>
            <w:vAlign w:val="bottom"/>
            <w:hideMark/>
          </w:tcPr>
          <w:p w14:paraId="1253E256"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Goodson</w:t>
            </w:r>
          </w:p>
        </w:tc>
        <w:tc>
          <w:tcPr>
            <w:tcW w:w="1376" w:type="dxa"/>
            <w:shd w:val="clear" w:color="auto" w:fill="auto"/>
            <w:noWrap/>
            <w:vAlign w:val="bottom"/>
            <w:hideMark/>
          </w:tcPr>
          <w:p w14:paraId="371EC7A6"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32DDECF1"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w:t>
            </w:r>
          </w:p>
        </w:tc>
      </w:tr>
      <w:tr w:rsidR="00960A12" w:rsidRPr="00960A12" w14:paraId="47AA47FF" w14:textId="77777777" w:rsidTr="00F22EA7">
        <w:trPr>
          <w:trHeight w:val="300"/>
        </w:trPr>
        <w:tc>
          <w:tcPr>
            <w:tcW w:w="3168" w:type="dxa"/>
            <w:shd w:val="clear" w:color="auto" w:fill="auto"/>
            <w:noWrap/>
            <w:vAlign w:val="bottom"/>
            <w:hideMark/>
          </w:tcPr>
          <w:p w14:paraId="18BE0BD5"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WHPA Inc.</w:t>
            </w:r>
          </w:p>
        </w:tc>
        <w:tc>
          <w:tcPr>
            <w:tcW w:w="1232" w:type="dxa"/>
            <w:shd w:val="clear" w:color="auto" w:fill="auto"/>
            <w:noWrap/>
            <w:vAlign w:val="bottom"/>
            <w:hideMark/>
          </w:tcPr>
          <w:p w14:paraId="4DD8A8B8" w14:textId="77777777" w:rsidR="00960A12" w:rsidRPr="00F22EA7" w:rsidRDefault="00960A12" w:rsidP="00F22EA7">
            <w:pPr>
              <w:spacing w:line="360" w:lineRule="auto"/>
              <w:rPr>
                <w:rFonts w:eastAsia="Times New Roman" w:cs="Calibri"/>
                <w:color w:val="000000"/>
                <w:sz w:val="22"/>
                <w:szCs w:val="22"/>
              </w:rPr>
            </w:pPr>
            <w:proofErr w:type="spellStart"/>
            <w:r w:rsidRPr="00F22EA7">
              <w:rPr>
                <w:rFonts w:eastAsia="Times New Roman" w:cs="Calibri"/>
                <w:color w:val="000000"/>
                <w:sz w:val="22"/>
                <w:szCs w:val="22"/>
              </w:rPr>
              <w:t>Elsia</w:t>
            </w:r>
            <w:proofErr w:type="spellEnd"/>
          </w:p>
        </w:tc>
        <w:tc>
          <w:tcPr>
            <w:tcW w:w="2070" w:type="dxa"/>
            <w:shd w:val="clear" w:color="auto" w:fill="auto"/>
            <w:noWrap/>
            <w:vAlign w:val="bottom"/>
            <w:hideMark/>
          </w:tcPr>
          <w:p w14:paraId="0BCD797B" w14:textId="77777777" w:rsidR="00960A12" w:rsidRPr="00F22EA7" w:rsidRDefault="00960A12" w:rsidP="00F22EA7">
            <w:pPr>
              <w:spacing w:line="360" w:lineRule="auto"/>
              <w:rPr>
                <w:rFonts w:eastAsia="Times New Roman" w:cs="Calibri"/>
                <w:color w:val="000000"/>
                <w:sz w:val="22"/>
                <w:szCs w:val="22"/>
              </w:rPr>
            </w:pPr>
            <w:proofErr w:type="spellStart"/>
            <w:r w:rsidRPr="00F22EA7">
              <w:rPr>
                <w:rFonts w:eastAsia="Times New Roman" w:cs="Calibri"/>
                <w:color w:val="000000"/>
                <w:sz w:val="22"/>
                <w:szCs w:val="22"/>
              </w:rPr>
              <w:t>Galawish</w:t>
            </w:r>
            <w:proofErr w:type="spellEnd"/>
          </w:p>
        </w:tc>
        <w:tc>
          <w:tcPr>
            <w:tcW w:w="1376" w:type="dxa"/>
            <w:shd w:val="clear" w:color="auto" w:fill="auto"/>
            <w:noWrap/>
            <w:vAlign w:val="bottom"/>
            <w:hideMark/>
          </w:tcPr>
          <w:p w14:paraId="64BA26F8"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5475D647"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67688401" w14:textId="77777777" w:rsidTr="00F22EA7">
        <w:trPr>
          <w:trHeight w:val="129"/>
        </w:trPr>
        <w:tc>
          <w:tcPr>
            <w:tcW w:w="3168" w:type="dxa"/>
            <w:shd w:val="clear" w:color="auto" w:fill="auto"/>
            <w:noWrap/>
            <w:vAlign w:val="bottom"/>
            <w:hideMark/>
          </w:tcPr>
          <w:p w14:paraId="03C43908"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WHPA Inc.</w:t>
            </w:r>
          </w:p>
        </w:tc>
        <w:tc>
          <w:tcPr>
            <w:tcW w:w="1232" w:type="dxa"/>
            <w:shd w:val="clear" w:color="auto" w:fill="auto"/>
            <w:noWrap/>
            <w:vAlign w:val="bottom"/>
            <w:hideMark/>
          </w:tcPr>
          <w:p w14:paraId="19CCA739"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Barbara</w:t>
            </w:r>
          </w:p>
        </w:tc>
        <w:tc>
          <w:tcPr>
            <w:tcW w:w="2070" w:type="dxa"/>
            <w:shd w:val="clear" w:color="auto" w:fill="auto"/>
            <w:noWrap/>
            <w:vAlign w:val="bottom"/>
            <w:hideMark/>
          </w:tcPr>
          <w:p w14:paraId="5B37FBD7" w14:textId="77777777" w:rsidR="00960A12" w:rsidRPr="00F22EA7" w:rsidRDefault="00960A12" w:rsidP="00F22EA7">
            <w:pPr>
              <w:spacing w:line="360" w:lineRule="auto"/>
              <w:rPr>
                <w:rFonts w:eastAsia="Times New Roman" w:cs="Calibri"/>
                <w:color w:val="000000"/>
                <w:sz w:val="22"/>
                <w:szCs w:val="22"/>
              </w:rPr>
            </w:pPr>
            <w:proofErr w:type="spellStart"/>
            <w:r w:rsidRPr="00F22EA7">
              <w:rPr>
                <w:rFonts w:eastAsia="Times New Roman" w:cs="Calibri"/>
                <w:color w:val="000000"/>
                <w:sz w:val="22"/>
                <w:szCs w:val="22"/>
              </w:rPr>
              <w:t>Hernesman</w:t>
            </w:r>
            <w:proofErr w:type="spellEnd"/>
          </w:p>
        </w:tc>
        <w:tc>
          <w:tcPr>
            <w:tcW w:w="1376" w:type="dxa"/>
            <w:shd w:val="clear" w:color="auto" w:fill="auto"/>
            <w:noWrap/>
            <w:vAlign w:val="bottom"/>
            <w:hideMark/>
          </w:tcPr>
          <w:p w14:paraId="0DC5418C" w14:textId="77777777" w:rsidR="00960A12" w:rsidRPr="00F22EA7" w:rsidRDefault="00960A12" w:rsidP="00F22EA7">
            <w:pPr>
              <w:spacing w:line="360" w:lineRule="auto"/>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6370548D" w14:textId="77777777" w:rsidR="00960A12" w:rsidRPr="00F22EA7" w:rsidRDefault="00960A12" w:rsidP="00F22EA7">
            <w:pPr>
              <w:spacing w:line="360" w:lineRule="auto"/>
              <w:rPr>
                <w:rFonts w:eastAsia="Times New Roman" w:cs="Calibri"/>
                <w:b/>
                <w:bCs/>
                <w:color w:val="000000"/>
                <w:sz w:val="22"/>
                <w:szCs w:val="22"/>
              </w:rPr>
            </w:pPr>
            <w:r w:rsidRPr="00F22EA7">
              <w:rPr>
                <w:rFonts w:eastAsia="Times New Roman" w:cs="Calibri"/>
                <w:b/>
                <w:bCs/>
                <w:color w:val="000000"/>
                <w:sz w:val="22"/>
                <w:szCs w:val="22"/>
              </w:rPr>
              <w:t>X</w:t>
            </w:r>
          </w:p>
        </w:tc>
      </w:tr>
      <w:tr w:rsidR="00F22EA7" w:rsidRPr="00960A12" w14:paraId="7E51E77A" w14:textId="77777777" w:rsidTr="00F22EA7">
        <w:trPr>
          <w:trHeight w:val="620"/>
        </w:trPr>
        <w:tc>
          <w:tcPr>
            <w:tcW w:w="8810" w:type="dxa"/>
            <w:gridSpan w:val="5"/>
            <w:tcBorders>
              <w:left w:val="nil"/>
              <w:right w:val="nil"/>
            </w:tcBorders>
            <w:shd w:val="clear" w:color="auto" w:fill="auto"/>
            <w:noWrap/>
            <w:vAlign w:val="bottom"/>
            <w:hideMark/>
          </w:tcPr>
          <w:p w14:paraId="1B6EA237" w14:textId="5D94B645" w:rsidR="00F22EA7" w:rsidRPr="00D65D2C" w:rsidRDefault="00F22EA7" w:rsidP="00F22EA7">
            <w:pPr>
              <w:spacing w:line="360" w:lineRule="auto"/>
              <w:rPr>
                <w:rFonts w:eastAsia="Times New Roman" w:cs="Calibri"/>
                <w:color w:val="000000"/>
                <w:sz w:val="22"/>
                <w:szCs w:val="22"/>
              </w:rPr>
            </w:pPr>
          </w:p>
        </w:tc>
      </w:tr>
      <w:tr w:rsidR="00F22EA7" w:rsidRPr="00960A12" w14:paraId="60025F3E" w14:textId="77777777" w:rsidTr="00F22EA7">
        <w:trPr>
          <w:trHeight w:val="440"/>
        </w:trPr>
        <w:tc>
          <w:tcPr>
            <w:tcW w:w="3168" w:type="dxa"/>
            <w:shd w:val="clear" w:color="auto" w:fill="auto"/>
            <w:noWrap/>
            <w:vAlign w:val="bottom"/>
          </w:tcPr>
          <w:p w14:paraId="27444366" w14:textId="77777777" w:rsidR="00F22EA7" w:rsidRDefault="00F22EA7" w:rsidP="00F22EA7">
            <w:pPr>
              <w:ind w:right="-261"/>
              <w:rPr>
                <w:rFonts w:eastAsia="Times New Roman" w:cs="Calibri"/>
                <w:b/>
                <w:bCs/>
                <w:color w:val="000000"/>
                <w:sz w:val="22"/>
                <w:szCs w:val="22"/>
              </w:rPr>
            </w:pPr>
          </w:p>
          <w:p w14:paraId="23C2FCA5" w14:textId="2587FC06" w:rsidR="00F22EA7" w:rsidRDefault="00F22EA7" w:rsidP="00F22EA7">
            <w:pPr>
              <w:ind w:right="-261"/>
              <w:rPr>
                <w:rFonts w:eastAsia="Times New Roman" w:cs="Calibri"/>
                <w:b/>
                <w:bCs/>
                <w:color w:val="000000"/>
                <w:sz w:val="22"/>
                <w:szCs w:val="22"/>
              </w:rPr>
            </w:pPr>
            <w:r w:rsidRPr="00F22EA7">
              <w:rPr>
                <w:rFonts w:eastAsia="Times New Roman" w:cs="Calibri"/>
                <w:b/>
                <w:bCs/>
                <w:color w:val="000000"/>
                <w:sz w:val="22"/>
                <w:szCs w:val="22"/>
              </w:rPr>
              <w:t>Resources/Observe</w:t>
            </w:r>
            <w:r>
              <w:rPr>
                <w:rFonts w:eastAsia="Times New Roman" w:cs="Calibri"/>
                <w:b/>
                <w:bCs/>
                <w:color w:val="000000"/>
                <w:sz w:val="22"/>
                <w:szCs w:val="22"/>
              </w:rPr>
              <w:t>rs</w:t>
            </w:r>
          </w:p>
        </w:tc>
        <w:tc>
          <w:tcPr>
            <w:tcW w:w="1232" w:type="dxa"/>
            <w:shd w:val="clear" w:color="auto" w:fill="auto"/>
            <w:noWrap/>
            <w:vAlign w:val="bottom"/>
          </w:tcPr>
          <w:p w14:paraId="0A631957" w14:textId="77777777" w:rsidR="00F22EA7" w:rsidRPr="00F22EA7" w:rsidRDefault="00F22EA7" w:rsidP="00F22EA7">
            <w:pPr>
              <w:rPr>
                <w:rFonts w:eastAsia="Times New Roman" w:cs="Calibri"/>
                <w:color w:val="000000"/>
                <w:sz w:val="22"/>
                <w:szCs w:val="22"/>
              </w:rPr>
            </w:pPr>
          </w:p>
        </w:tc>
        <w:tc>
          <w:tcPr>
            <w:tcW w:w="2070" w:type="dxa"/>
            <w:shd w:val="clear" w:color="auto" w:fill="auto"/>
            <w:noWrap/>
            <w:vAlign w:val="bottom"/>
          </w:tcPr>
          <w:p w14:paraId="16CFD874" w14:textId="77777777" w:rsidR="00F22EA7" w:rsidRPr="00F22EA7" w:rsidRDefault="00F22EA7" w:rsidP="00F22EA7">
            <w:pPr>
              <w:rPr>
                <w:rFonts w:eastAsia="Times New Roman" w:cs="Calibri"/>
                <w:color w:val="000000"/>
                <w:sz w:val="22"/>
                <w:szCs w:val="22"/>
              </w:rPr>
            </w:pPr>
          </w:p>
        </w:tc>
        <w:tc>
          <w:tcPr>
            <w:tcW w:w="1376" w:type="dxa"/>
            <w:shd w:val="clear" w:color="auto" w:fill="auto"/>
            <w:noWrap/>
            <w:vAlign w:val="bottom"/>
          </w:tcPr>
          <w:p w14:paraId="3EAF964F" w14:textId="77777777" w:rsidR="00F22EA7" w:rsidRPr="00F22EA7" w:rsidRDefault="00F22EA7" w:rsidP="00F22EA7">
            <w:pPr>
              <w:rPr>
                <w:rFonts w:eastAsia="Times New Roman" w:cs="Calibri"/>
                <w:color w:val="0563C1"/>
                <w:sz w:val="22"/>
                <w:szCs w:val="22"/>
                <w:u w:val="single"/>
              </w:rPr>
            </w:pPr>
          </w:p>
        </w:tc>
        <w:tc>
          <w:tcPr>
            <w:tcW w:w="964" w:type="dxa"/>
            <w:shd w:val="clear" w:color="auto" w:fill="auto"/>
            <w:noWrap/>
            <w:vAlign w:val="bottom"/>
          </w:tcPr>
          <w:p w14:paraId="71262911" w14:textId="77777777" w:rsidR="00F22EA7" w:rsidRPr="00F22EA7" w:rsidRDefault="00F22EA7" w:rsidP="00F22EA7">
            <w:pPr>
              <w:rPr>
                <w:rFonts w:eastAsia="Times New Roman" w:cs="Calibri"/>
                <w:b/>
                <w:bCs/>
                <w:color w:val="000000"/>
                <w:sz w:val="22"/>
                <w:szCs w:val="22"/>
              </w:rPr>
            </w:pPr>
          </w:p>
        </w:tc>
      </w:tr>
      <w:tr w:rsidR="00960A12" w:rsidRPr="00960A12" w14:paraId="14D59A3F" w14:textId="77777777" w:rsidTr="00F22EA7">
        <w:trPr>
          <w:trHeight w:val="300"/>
        </w:trPr>
        <w:tc>
          <w:tcPr>
            <w:tcW w:w="3168" w:type="dxa"/>
            <w:shd w:val="clear" w:color="auto" w:fill="auto"/>
            <w:noWrap/>
            <w:vAlign w:val="bottom"/>
            <w:hideMark/>
          </w:tcPr>
          <w:p w14:paraId="176C5FD9" w14:textId="5E1CAEDD" w:rsidR="00960A12" w:rsidRPr="00F22EA7" w:rsidRDefault="00F22EA7" w:rsidP="00F22EA7">
            <w:pPr>
              <w:ind w:right="-261"/>
              <w:rPr>
                <w:rFonts w:eastAsia="Times New Roman" w:cs="Calibri"/>
                <w:b/>
                <w:bCs/>
                <w:color w:val="000000"/>
                <w:sz w:val="22"/>
                <w:szCs w:val="22"/>
              </w:rPr>
            </w:pPr>
            <w:r>
              <w:rPr>
                <w:rFonts w:eastAsia="Times New Roman" w:cs="Calibri"/>
                <w:b/>
                <w:bCs/>
                <w:color w:val="000000"/>
                <w:sz w:val="22"/>
                <w:szCs w:val="22"/>
              </w:rPr>
              <w:t>NEEA</w:t>
            </w:r>
          </w:p>
        </w:tc>
        <w:tc>
          <w:tcPr>
            <w:tcW w:w="1232" w:type="dxa"/>
            <w:shd w:val="clear" w:color="auto" w:fill="auto"/>
            <w:noWrap/>
            <w:vAlign w:val="bottom"/>
            <w:hideMark/>
          </w:tcPr>
          <w:p w14:paraId="33A5C8B9"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Jeff</w:t>
            </w:r>
          </w:p>
        </w:tc>
        <w:tc>
          <w:tcPr>
            <w:tcW w:w="2070" w:type="dxa"/>
            <w:shd w:val="clear" w:color="auto" w:fill="auto"/>
            <w:noWrap/>
            <w:vAlign w:val="bottom"/>
            <w:hideMark/>
          </w:tcPr>
          <w:p w14:paraId="7A122038"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Harris</w:t>
            </w:r>
          </w:p>
        </w:tc>
        <w:tc>
          <w:tcPr>
            <w:tcW w:w="1376" w:type="dxa"/>
            <w:shd w:val="clear" w:color="auto" w:fill="auto"/>
            <w:noWrap/>
            <w:vAlign w:val="bottom"/>
            <w:hideMark/>
          </w:tcPr>
          <w:p w14:paraId="246AFB55" w14:textId="77777777" w:rsidR="00960A12" w:rsidRPr="00F22EA7" w:rsidRDefault="00960A12" w:rsidP="00F22EA7">
            <w:pPr>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3738B070"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960A12" w14:paraId="0D7E4E82" w14:textId="77777777" w:rsidTr="00F22EA7">
        <w:trPr>
          <w:trHeight w:val="300"/>
        </w:trPr>
        <w:tc>
          <w:tcPr>
            <w:tcW w:w="3168" w:type="dxa"/>
            <w:shd w:val="clear" w:color="auto" w:fill="auto"/>
            <w:noWrap/>
            <w:vAlign w:val="bottom"/>
            <w:hideMark/>
          </w:tcPr>
          <w:p w14:paraId="32BFDE9C" w14:textId="2C8444B8" w:rsidR="00960A12" w:rsidRPr="00F22EA7" w:rsidRDefault="00F22EA7" w:rsidP="00F22EA7">
            <w:pPr>
              <w:rPr>
                <w:rFonts w:eastAsia="Times New Roman" w:cs="Calibri"/>
                <w:b/>
                <w:bCs/>
                <w:color w:val="000000"/>
                <w:sz w:val="22"/>
                <w:szCs w:val="22"/>
              </w:rPr>
            </w:pPr>
            <w:r>
              <w:rPr>
                <w:rFonts w:eastAsia="Times New Roman" w:cs="Calibri"/>
                <w:b/>
                <w:bCs/>
                <w:color w:val="000000"/>
                <w:sz w:val="22"/>
                <w:szCs w:val="22"/>
              </w:rPr>
              <w:t>NEEA</w:t>
            </w:r>
          </w:p>
        </w:tc>
        <w:tc>
          <w:tcPr>
            <w:tcW w:w="1232" w:type="dxa"/>
            <w:shd w:val="clear" w:color="auto" w:fill="auto"/>
            <w:noWrap/>
            <w:vAlign w:val="bottom"/>
            <w:hideMark/>
          </w:tcPr>
          <w:p w14:paraId="05CBD520" w14:textId="77777777"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Dulane</w:t>
            </w:r>
            <w:proofErr w:type="spellEnd"/>
          </w:p>
        </w:tc>
        <w:tc>
          <w:tcPr>
            <w:tcW w:w="2070" w:type="dxa"/>
            <w:shd w:val="clear" w:color="auto" w:fill="auto"/>
            <w:noWrap/>
            <w:vAlign w:val="bottom"/>
            <w:hideMark/>
          </w:tcPr>
          <w:p w14:paraId="77BBE6EB"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Moran</w:t>
            </w:r>
          </w:p>
        </w:tc>
        <w:tc>
          <w:tcPr>
            <w:tcW w:w="1376" w:type="dxa"/>
            <w:shd w:val="clear" w:color="auto" w:fill="auto"/>
            <w:noWrap/>
            <w:vAlign w:val="bottom"/>
            <w:hideMark/>
          </w:tcPr>
          <w:p w14:paraId="7E96AB58"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75385769"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419CD9EF" w14:textId="77777777" w:rsidTr="00F22EA7">
        <w:trPr>
          <w:trHeight w:val="300"/>
        </w:trPr>
        <w:tc>
          <w:tcPr>
            <w:tcW w:w="3168" w:type="dxa"/>
            <w:shd w:val="clear" w:color="auto" w:fill="auto"/>
            <w:noWrap/>
            <w:vAlign w:val="bottom"/>
            <w:hideMark/>
          </w:tcPr>
          <w:p w14:paraId="4878E786"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CPUC</w:t>
            </w:r>
          </w:p>
        </w:tc>
        <w:tc>
          <w:tcPr>
            <w:tcW w:w="1232" w:type="dxa"/>
            <w:shd w:val="clear" w:color="auto" w:fill="auto"/>
            <w:noWrap/>
            <w:vAlign w:val="bottom"/>
            <w:hideMark/>
          </w:tcPr>
          <w:p w14:paraId="6156EA4D"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Christina</w:t>
            </w:r>
          </w:p>
        </w:tc>
        <w:tc>
          <w:tcPr>
            <w:tcW w:w="2070" w:type="dxa"/>
            <w:shd w:val="clear" w:color="auto" w:fill="auto"/>
            <w:noWrap/>
            <w:vAlign w:val="bottom"/>
            <w:hideMark/>
          </w:tcPr>
          <w:p w14:paraId="5E677805"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Torok</w:t>
            </w:r>
          </w:p>
        </w:tc>
        <w:tc>
          <w:tcPr>
            <w:tcW w:w="1376" w:type="dxa"/>
            <w:shd w:val="clear" w:color="auto" w:fill="auto"/>
            <w:noWrap/>
            <w:vAlign w:val="bottom"/>
            <w:hideMark/>
          </w:tcPr>
          <w:p w14:paraId="42742ECF"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7E34909D"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124F0A00" w14:textId="77777777" w:rsidTr="00F22EA7">
        <w:trPr>
          <w:trHeight w:val="59"/>
        </w:trPr>
        <w:tc>
          <w:tcPr>
            <w:tcW w:w="3168" w:type="dxa"/>
            <w:shd w:val="clear" w:color="auto" w:fill="auto"/>
            <w:noWrap/>
            <w:vAlign w:val="bottom"/>
            <w:hideMark/>
          </w:tcPr>
          <w:p w14:paraId="6E4E58B3"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CPUC</w:t>
            </w:r>
          </w:p>
        </w:tc>
        <w:tc>
          <w:tcPr>
            <w:tcW w:w="1232" w:type="dxa"/>
            <w:shd w:val="clear" w:color="auto" w:fill="auto"/>
            <w:noWrap/>
            <w:vAlign w:val="bottom"/>
            <w:hideMark/>
          </w:tcPr>
          <w:p w14:paraId="4EADC8FB"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Hal</w:t>
            </w:r>
          </w:p>
        </w:tc>
        <w:tc>
          <w:tcPr>
            <w:tcW w:w="2070" w:type="dxa"/>
            <w:shd w:val="clear" w:color="auto" w:fill="auto"/>
            <w:noWrap/>
            <w:vAlign w:val="bottom"/>
            <w:hideMark/>
          </w:tcPr>
          <w:p w14:paraId="7C042C0F"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Kane</w:t>
            </w:r>
          </w:p>
        </w:tc>
        <w:tc>
          <w:tcPr>
            <w:tcW w:w="1376" w:type="dxa"/>
            <w:shd w:val="clear" w:color="auto" w:fill="auto"/>
            <w:noWrap/>
            <w:vAlign w:val="bottom"/>
            <w:hideMark/>
          </w:tcPr>
          <w:p w14:paraId="471B2459"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774E4F8F"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01A8646B" w14:textId="77777777" w:rsidTr="00F22EA7">
        <w:trPr>
          <w:trHeight w:val="300"/>
        </w:trPr>
        <w:tc>
          <w:tcPr>
            <w:tcW w:w="3168" w:type="dxa"/>
            <w:shd w:val="clear" w:color="auto" w:fill="auto"/>
            <w:noWrap/>
            <w:vAlign w:val="bottom"/>
            <w:hideMark/>
          </w:tcPr>
          <w:p w14:paraId="05904F06" w14:textId="58B8A235" w:rsidR="00960A12" w:rsidRPr="00F22EA7" w:rsidRDefault="007C5E8E" w:rsidP="00F22EA7">
            <w:pPr>
              <w:rPr>
                <w:rFonts w:eastAsia="Times New Roman" w:cs="Calibri"/>
                <w:b/>
                <w:bCs/>
                <w:color w:val="000000"/>
                <w:sz w:val="22"/>
                <w:szCs w:val="22"/>
              </w:rPr>
            </w:pPr>
            <w:r>
              <w:rPr>
                <w:rFonts w:eastAsia="Times New Roman" w:cs="Calibri"/>
                <w:b/>
                <w:bCs/>
                <w:color w:val="000000"/>
                <w:sz w:val="22"/>
                <w:szCs w:val="22"/>
              </w:rPr>
              <w:t>CEC</w:t>
            </w:r>
          </w:p>
        </w:tc>
        <w:tc>
          <w:tcPr>
            <w:tcW w:w="1232" w:type="dxa"/>
            <w:shd w:val="clear" w:color="auto" w:fill="auto"/>
            <w:noWrap/>
            <w:vAlign w:val="bottom"/>
            <w:hideMark/>
          </w:tcPr>
          <w:p w14:paraId="0C345EA4"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Brian</w:t>
            </w:r>
          </w:p>
        </w:tc>
        <w:tc>
          <w:tcPr>
            <w:tcW w:w="2070" w:type="dxa"/>
            <w:shd w:val="clear" w:color="auto" w:fill="auto"/>
            <w:noWrap/>
            <w:vAlign w:val="bottom"/>
            <w:hideMark/>
          </w:tcPr>
          <w:p w14:paraId="501F7BAA"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Samuelson</w:t>
            </w:r>
          </w:p>
        </w:tc>
        <w:tc>
          <w:tcPr>
            <w:tcW w:w="1376" w:type="dxa"/>
            <w:shd w:val="clear" w:color="auto" w:fill="auto"/>
            <w:noWrap/>
            <w:vAlign w:val="bottom"/>
            <w:hideMark/>
          </w:tcPr>
          <w:p w14:paraId="62D80A8A"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15192B8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678F6704" w14:textId="77777777" w:rsidTr="00F22EA7">
        <w:trPr>
          <w:trHeight w:val="300"/>
        </w:trPr>
        <w:tc>
          <w:tcPr>
            <w:tcW w:w="3168" w:type="dxa"/>
            <w:shd w:val="clear" w:color="auto" w:fill="auto"/>
            <w:noWrap/>
            <w:vAlign w:val="bottom"/>
            <w:hideMark/>
          </w:tcPr>
          <w:p w14:paraId="71F329B8" w14:textId="26FBB62F" w:rsidR="00960A12" w:rsidRPr="00F22EA7" w:rsidRDefault="007C5E8E" w:rsidP="00F22EA7">
            <w:pPr>
              <w:rPr>
                <w:rFonts w:eastAsia="Times New Roman" w:cs="Calibri"/>
                <w:b/>
                <w:bCs/>
                <w:color w:val="000000"/>
                <w:sz w:val="22"/>
                <w:szCs w:val="22"/>
              </w:rPr>
            </w:pPr>
            <w:r>
              <w:rPr>
                <w:rFonts w:eastAsia="Times New Roman" w:cs="Calibri"/>
                <w:b/>
                <w:bCs/>
                <w:color w:val="000000"/>
                <w:sz w:val="22"/>
                <w:szCs w:val="22"/>
              </w:rPr>
              <w:t>CEC</w:t>
            </w:r>
          </w:p>
        </w:tc>
        <w:tc>
          <w:tcPr>
            <w:tcW w:w="1232" w:type="dxa"/>
            <w:shd w:val="clear" w:color="auto" w:fill="auto"/>
            <w:noWrap/>
            <w:vAlign w:val="bottom"/>
            <w:hideMark/>
          </w:tcPr>
          <w:p w14:paraId="1894783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Nicholas</w:t>
            </w:r>
          </w:p>
        </w:tc>
        <w:tc>
          <w:tcPr>
            <w:tcW w:w="2070" w:type="dxa"/>
            <w:shd w:val="clear" w:color="auto" w:fill="auto"/>
            <w:noWrap/>
            <w:vAlign w:val="bottom"/>
            <w:hideMark/>
          </w:tcPr>
          <w:p w14:paraId="12D565C0" w14:textId="77777777"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Janusch</w:t>
            </w:r>
            <w:proofErr w:type="spellEnd"/>
          </w:p>
        </w:tc>
        <w:tc>
          <w:tcPr>
            <w:tcW w:w="1376" w:type="dxa"/>
            <w:shd w:val="clear" w:color="auto" w:fill="auto"/>
            <w:noWrap/>
            <w:vAlign w:val="bottom"/>
            <w:hideMark/>
          </w:tcPr>
          <w:p w14:paraId="1FAD22F6"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022F149"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49C03915" w14:textId="77777777" w:rsidTr="00F22EA7">
        <w:trPr>
          <w:trHeight w:val="300"/>
        </w:trPr>
        <w:tc>
          <w:tcPr>
            <w:tcW w:w="3168" w:type="dxa"/>
            <w:shd w:val="clear" w:color="auto" w:fill="auto"/>
            <w:noWrap/>
            <w:vAlign w:val="bottom"/>
            <w:hideMark/>
          </w:tcPr>
          <w:p w14:paraId="79FF8341"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1232" w:type="dxa"/>
            <w:shd w:val="clear" w:color="auto" w:fill="auto"/>
            <w:noWrap/>
            <w:vAlign w:val="bottom"/>
            <w:hideMark/>
          </w:tcPr>
          <w:p w14:paraId="5A5B4AC6"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2070" w:type="dxa"/>
            <w:shd w:val="clear" w:color="auto" w:fill="auto"/>
            <w:noWrap/>
            <w:vAlign w:val="bottom"/>
            <w:hideMark/>
          </w:tcPr>
          <w:p w14:paraId="7B507900"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1376" w:type="dxa"/>
            <w:shd w:val="clear" w:color="auto" w:fill="auto"/>
            <w:noWrap/>
            <w:vAlign w:val="bottom"/>
            <w:hideMark/>
          </w:tcPr>
          <w:p w14:paraId="593EE47E"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5CD09A67"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6B37D10C" w14:textId="77777777" w:rsidTr="00F22EA7">
        <w:trPr>
          <w:trHeight w:val="300"/>
        </w:trPr>
        <w:tc>
          <w:tcPr>
            <w:tcW w:w="3168" w:type="dxa"/>
            <w:shd w:val="clear" w:color="auto" w:fill="auto"/>
            <w:noWrap/>
            <w:vAlign w:val="bottom"/>
            <w:hideMark/>
          </w:tcPr>
          <w:p w14:paraId="2BC6CEDE"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Observers</w:t>
            </w:r>
          </w:p>
        </w:tc>
        <w:tc>
          <w:tcPr>
            <w:tcW w:w="1232" w:type="dxa"/>
            <w:shd w:val="clear" w:color="auto" w:fill="auto"/>
            <w:noWrap/>
            <w:vAlign w:val="bottom"/>
            <w:hideMark/>
          </w:tcPr>
          <w:p w14:paraId="04FADE03"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2070" w:type="dxa"/>
            <w:shd w:val="clear" w:color="auto" w:fill="auto"/>
            <w:noWrap/>
            <w:vAlign w:val="bottom"/>
            <w:hideMark/>
          </w:tcPr>
          <w:p w14:paraId="2723D7E2"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1376" w:type="dxa"/>
            <w:shd w:val="clear" w:color="auto" w:fill="auto"/>
            <w:noWrap/>
            <w:vAlign w:val="bottom"/>
            <w:hideMark/>
          </w:tcPr>
          <w:p w14:paraId="251DB4D2"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7FAEAD35"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5A3B6298" w14:textId="77777777" w:rsidTr="00F22EA7">
        <w:trPr>
          <w:trHeight w:val="300"/>
        </w:trPr>
        <w:tc>
          <w:tcPr>
            <w:tcW w:w="3168" w:type="dxa"/>
            <w:shd w:val="clear" w:color="auto" w:fill="auto"/>
            <w:noWrap/>
            <w:vAlign w:val="bottom"/>
            <w:hideMark/>
          </w:tcPr>
          <w:p w14:paraId="739D2A0F"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California State Assembly</w:t>
            </w:r>
          </w:p>
        </w:tc>
        <w:tc>
          <w:tcPr>
            <w:tcW w:w="1232" w:type="dxa"/>
            <w:shd w:val="clear" w:color="auto" w:fill="auto"/>
            <w:noWrap/>
            <w:vAlign w:val="bottom"/>
            <w:hideMark/>
          </w:tcPr>
          <w:p w14:paraId="6F63737D"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Jim</w:t>
            </w:r>
          </w:p>
        </w:tc>
        <w:tc>
          <w:tcPr>
            <w:tcW w:w="2070" w:type="dxa"/>
            <w:shd w:val="clear" w:color="auto" w:fill="auto"/>
            <w:noWrap/>
            <w:vAlign w:val="bottom"/>
            <w:hideMark/>
          </w:tcPr>
          <w:p w14:paraId="55526DEE" w14:textId="77777777"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Metropulos</w:t>
            </w:r>
            <w:proofErr w:type="spellEnd"/>
          </w:p>
        </w:tc>
        <w:tc>
          <w:tcPr>
            <w:tcW w:w="1376" w:type="dxa"/>
            <w:shd w:val="clear" w:color="auto" w:fill="auto"/>
            <w:noWrap/>
            <w:vAlign w:val="bottom"/>
            <w:hideMark/>
          </w:tcPr>
          <w:p w14:paraId="5650367A"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5E46B931"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562DBB03" w14:textId="77777777" w:rsidTr="00F22EA7">
        <w:trPr>
          <w:trHeight w:val="300"/>
        </w:trPr>
        <w:tc>
          <w:tcPr>
            <w:tcW w:w="3168" w:type="dxa"/>
            <w:shd w:val="clear" w:color="auto" w:fill="auto"/>
            <w:noWrap/>
            <w:vAlign w:val="bottom"/>
            <w:hideMark/>
          </w:tcPr>
          <w:p w14:paraId="0EC0E18C" w14:textId="77777777" w:rsidR="00960A12" w:rsidRPr="00F22EA7" w:rsidRDefault="00960A12" w:rsidP="00F22EA7">
            <w:pPr>
              <w:rPr>
                <w:rFonts w:eastAsia="Times New Roman" w:cs="Calibri"/>
                <w:b/>
                <w:color w:val="000000"/>
                <w:sz w:val="22"/>
                <w:szCs w:val="22"/>
              </w:rPr>
            </w:pPr>
            <w:proofErr w:type="spellStart"/>
            <w:r w:rsidRPr="00F22EA7">
              <w:rPr>
                <w:rFonts w:eastAsia="Times New Roman" w:cs="Calibri"/>
                <w:b/>
                <w:color w:val="000000"/>
                <w:sz w:val="22"/>
                <w:szCs w:val="22"/>
              </w:rPr>
              <w:t>Enervee</w:t>
            </w:r>
            <w:proofErr w:type="spellEnd"/>
          </w:p>
        </w:tc>
        <w:tc>
          <w:tcPr>
            <w:tcW w:w="1232" w:type="dxa"/>
            <w:shd w:val="clear" w:color="auto" w:fill="auto"/>
            <w:noWrap/>
            <w:vAlign w:val="bottom"/>
            <w:hideMark/>
          </w:tcPr>
          <w:p w14:paraId="189971DB"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Anne</w:t>
            </w:r>
          </w:p>
        </w:tc>
        <w:tc>
          <w:tcPr>
            <w:tcW w:w="2070" w:type="dxa"/>
            <w:shd w:val="clear" w:color="auto" w:fill="auto"/>
            <w:noWrap/>
            <w:vAlign w:val="bottom"/>
            <w:hideMark/>
          </w:tcPr>
          <w:p w14:paraId="51B1A8A9" w14:textId="5A7211E6"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Arquit</w:t>
            </w:r>
            <w:proofErr w:type="spellEnd"/>
            <w:r w:rsidRPr="00F22EA7">
              <w:rPr>
                <w:rFonts w:eastAsia="Times New Roman" w:cs="Calibri"/>
                <w:color w:val="000000"/>
                <w:sz w:val="22"/>
                <w:szCs w:val="22"/>
              </w:rPr>
              <w:t xml:space="preserve">  </w:t>
            </w:r>
          </w:p>
        </w:tc>
        <w:tc>
          <w:tcPr>
            <w:tcW w:w="1376" w:type="dxa"/>
            <w:shd w:val="clear" w:color="auto" w:fill="auto"/>
            <w:noWrap/>
            <w:vAlign w:val="bottom"/>
            <w:hideMark/>
          </w:tcPr>
          <w:p w14:paraId="27A04DE3"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BD8C5E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4F01BB62" w14:textId="77777777" w:rsidTr="00F22EA7">
        <w:trPr>
          <w:trHeight w:val="300"/>
        </w:trPr>
        <w:tc>
          <w:tcPr>
            <w:tcW w:w="3168" w:type="dxa"/>
            <w:shd w:val="clear" w:color="auto" w:fill="auto"/>
            <w:noWrap/>
            <w:vAlign w:val="bottom"/>
            <w:hideMark/>
          </w:tcPr>
          <w:p w14:paraId="59BFB115"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 xml:space="preserve">The </w:t>
            </w:r>
            <w:proofErr w:type="spellStart"/>
            <w:r w:rsidRPr="00F22EA7">
              <w:rPr>
                <w:rFonts w:eastAsia="Times New Roman" w:cs="Calibri"/>
                <w:b/>
                <w:color w:val="000000"/>
                <w:sz w:val="22"/>
                <w:szCs w:val="22"/>
              </w:rPr>
              <w:t>Weidt</w:t>
            </w:r>
            <w:proofErr w:type="spellEnd"/>
            <w:r w:rsidRPr="00F22EA7">
              <w:rPr>
                <w:rFonts w:eastAsia="Times New Roman" w:cs="Calibri"/>
                <w:b/>
                <w:color w:val="000000"/>
                <w:sz w:val="22"/>
                <w:szCs w:val="22"/>
              </w:rPr>
              <w:t xml:space="preserve"> Group</w:t>
            </w:r>
          </w:p>
        </w:tc>
        <w:tc>
          <w:tcPr>
            <w:tcW w:w="1232" w:type="dxa"/>
            <w:shd w:val="clear" w:color="auto" w:fill="auto"/>
            <w:noWrap/>
            <w:vAlign w:val="bottom"/>
            <w:hideMark/>
          </w:tcPr>
          <w:p w14:paraId="29F949C6"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Chris</w:t>
            </w:r>
          </w:p>
        </w:tc>
        <w:tc>
          <w:tcPr>
            <w:tcW w:w="2070" w:type="dxa"/>
            <w:shd w:val="clear" w:color="auto" w:fill="auto"/>
            <w:noWrap/>
            <w:vAlign w:val="bottom"/>
            <w:hideMark/>
          </w:tcPr>
          <w:p w14:paraId="5B8FEDE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Baker</w:t>
            </w:r>
          </w:p>
        </w:tc>
        <w:tc>
          <w:tcPr>
            <w:tcW w:w="1376" w:type="dxa"/>
            <w:shd w:val="clear" w:color="auto" w:fill="auto"/>
            <w:noWrap/>
            <w:vAlign w:val="bottom"/>
            <w:hideMark/>
          </w:tcPr>
          <w:p w14:paraId="3BA74B07" w14:textId="77777777" w:rsidR="00960A12" w:rsidRPr="00F22EA7" w:rsidRDefault="00960A12" w:rsidP="00F22EA7">
            <w:pPr>
              <w:rPr>
                <w:rFonts w:eastAsia="Times New Roman" w:cs="Calibri"/>
                <w:color w:val="0563C1"/>
                <w:sz w:val="22"/>
                <w:szCs w:val="22"/>
                <w:u w:val="single"/>
              </w:rPr>
            </w:pPr>
            <w:r w:rsidRPr="00F22EA7">
              <w:rPr>
                <w:rFonts w:eastAsia="Times New Roman" w:cs="Calibri"/>
                <w:color w:val="0563C1"/>
                <w:sz w:val="22"/>
                <w:szCs w:val="22"/>
                <w:u w:val="single"/>
              </w:rPr>
              <w:t> </w:t>
            </w:r>
          </w:p>
        </w:tc>
        <w:tc>
          <w:tcPr>
            <w:tcW w:w="964" w:type="dxa"/>
            <w:shd w:val="clear" w:color="auto" w:fill="auto"/>
            <w:noWrap/>
            <w:vAlign w:val="bottom"/>
            <w:hideMark/>
          </w:tcPr>
          <w:p w14:paraId="1BF632A6"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68AFD946" w14:textId="77777777" w:rsidTr="00F22EA7">
        <w:trPr>
          <w:trHeight w:val="300"/>
        </w:trPr>
        <w:tc>
          <w:tcPr>
            <w:tcW w:w="3168" w:type="dxa"/>
            <w:shd w:val="clear" w:color="auto" w:fill="auto"/>
            <w:noWrap/>
            <w:vAlign w:val="bottom"/>
            <w:hideMark/>
          </w:tcPr>
          <w:p w14:paraId="5EB9FA67" w14:textId="2EDE57AA" w:rsidR="00960A12" w:rsidRPr="00F22EA7" w:rsidRDefault="00960A12" w:rsidP="00F22EA7">
            <w:pPr>
              <w:ind w:right="-193"/>
              <w:rPr>
                <w:rFonts w:eastAsia="Times New Roman" w:cs="Calibri"/>
                <w:b/>
                <w:color w:val="000000"/>
                <w:sz w:val="22"/>
                <w:szCs w:val="22"/>
              </w:rPr>
            </w:pPr>
            <w:r w:rsidRPr="00F22EA7">
              <w:rPr>
                <w:rFonts w:eastAsia="Times New Roman" w:cs="Calibri"/>
                <w:b/>
                <w:color w:val="000000"/>
                <w:sz w:val="22"/>
                <w:szCs w:val="22"/>
              </w:rPr>
              <w:t>Friedmann Consulting</w:t>
            </w:r>
          </w:p>
        </w:tc>
        <w:tc>
          <w:tcPr>
            <w:tcW w:w="1232" w:type="dxa"/>
            <w:shd w:val="clear" w:color="auto" w:fill="auto"/>
            <w:noWrap/>
            <w:vAlign w:val="bottom"/>
            <w:hideMark/>
          </w:tcPr>
          <w:p w14:paraId="1FC82A05"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Rafael</w:t>
            </w:r>
          </w:p>
        </w:tc>
        <w:tc>
          <w:tcPr>
            <w:tcW w:w="2070" w:type="dxa"/>
            <w:shd w:val="clear" w:color="auto" w:fill="auto"/>
            <w:noWrap/>
            <w:vAlign w:val="bottom"/>
            <w:hideMark/>
          </w:tcPr>
          <w:p w14:paraId="5D00CB2B"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Friedmann</w:t>
            </w:r>
          </w:p>
        </w:tc>
        <w:tc>
          <w:tcPr>
            <w:tcW w:w="1376" w:type="dxa"/>
            <w:shd w:val="clear" w:color="auto" w:fill="auto"/>
            <w:noWrap/>
            <w:vAlign w:val="bottom"/>
            <w:hideMark/>
          </w:tcPr>
          <w:p w14:paraId="027F2A29"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63810BD5"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F22EA7" w14:paraId="40058C8D" w14:textId="77777777" w:rsidTr="00F22EA7">
        <w:trPr>
          <w:trHeight w:val="300"/>
        </w:trPr>
        <w:tc>
          <w:tcPr>
            <w:tcW w:w="3168" w:type="dxa"/>
            <w:shd w:val="clear" w:color="auto" w:fill="auto"/>
            <w:noWrap/>
            <w:vAlign w:val="bottom"/>
            <w:hideMark/>
          </w:tcPr>
          <w:p w14:paraId="5837A86A"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Gemini Energy Solutions</w:t>
            </w:r>
          </w:p>
        </w:tc>
        <w:tc>
          <w:tcPr>
            <w:tcW w:w="1232" w:type="dxa"/>
            <w:shd w:val="clear" w:color="auto" w:fill="auto"/>
            <w:noWrap/>
            <w:vAlign w:val="bottom"/>
            <w:hideMark/>
          </w:tcPr>
          <w:p w14:paraId="6A44D61A"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Anthony</w:t>
            </w:r>
          </w:p>
        </w:tc>
        <w:tc>
          <w:tcPr>
            <w:tcW w:w="2070" w:type="dxa"/>
            <w:shd w:val="clear" w:color="auto" w:fill="auto"/>
            <w:noWrap/>
            <w:vAlign w:val="bottom"/>
            <w:hideMark/>
          </w:tcPr>
          <w:p w14:paraId="6DD69D5A" w14:textId="77777777"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Kinslow</w:t>
            </w:r>
            <w:proofErr w:type="spellEnd"/>
            <w:r w:rsidRPr="00F22EA7">
              <w:rPr>
                <w:rFonts w:eastAsia="Times New Roman" w:cs="Calibri"/>
                <w:color w:val="000000"/>
                <w:sz w:val="22"/>
                <w:szCs w:val="22"/>
              </w:rPr>
              <w:t xml:space="preserve"> II</w:t>
            </w:r>
          </w:p>
        </w:tc>
        <w:tc>
          <w:tcPr>
            <w:tcW w:w="1376" w:type="dxa"/>
            <w:shd w:val="clear" w:color="auto" w:fill="auto"/>
            <w:noWrap/>
            <w:vAlign w:val="bottom"/>
            <w:hideMark/>
          </w:tcPr>
          <w:p w14:paraId="5D5F73D7"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31EBD98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4F7672DF" w14:textId="77777777" w:rsidTr="00F22EA7">
        <w:trPr>
          <w:trHeight w:val="300"/>
        </w:trPr>
        <w:tc>
          <w:tcPr>
            <w:tcW w:w="3168" w:type="dxa"/>
            <w:shd w:val="clear" w:color="auto" w:fill="auto"/>
            <w:noWrap/>
            <w:vAlign w:val="bottom"/>
            <w:hideMark/>
          </w:tcPr>
          <w:p w14:paraId="531E09F3"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PG&amp;E</w:t>
            </w:r>
          </w:p>
        </w:tc>
        <w:tc>
          <w:tcPr>
            <w:tcW w:w="1232" w:type="dxa"/>
            <w:shd w:val="clear" w:color="auto" w:fill="auto"/>
            <w:noWrap/>
            <w:vAlign w:val="bottom"/>
            <w:hideMark/>
          </w:tcPr>
          <w:p w14:paraId="42708538"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Tim</w:t>
            </w:r>
          </w:p>
        </w:tc>
        <w:tc>
          <w:tcPr>
            <w:tcW w:w="2070" w:type="dxa"/>
            <w:shd w:val="clear" w:color="auto" w:fill="auto"/>
            <w:noWrap/>
            <w:vAlign w:val="bottom"/>
            <w:hideMark/>
          </w:tcPr>
          <w:p w14:paraId="71B39C4B"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Michel</w:t>
            </w:r>
          </w:p>
        </w:tc>
        <w:tc>
          <w:tcPr>
            <w:tcW w:w="1376" w:type="dxa"/>
            <w:shd w:val="clear" w:color="auto" w:fill="auto"/>
            <w:noWrap/>
            <w:vAlign w:val="bottom"/>
            <w:hideMark/>
          </w:tcPr>
          <w:p w14:paraId="127FD91E"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c>
          <w:tcPr>
            <w:tcW w:w="964" w:type="dxa"/>
            <w:shd w:val="clear" w:color="auto" w:fill="auto"/>
            <w:noWrap/>
            <w:vAlign w:val="bottom"/>
            <w:hideMark/>
          </w:tcPr>
          <w:p w14:paraId="4DB90EB7"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r w:rsidR="00960A12" w:rsidRPr="00F22EA7" w14:paraId="71915FFC" w14:textId="77777777" w:rsidTr="00F22EA7">
        <w:trPr>
          <w:trHeight w:val="300"/>
        </w:trPr>
        <w:tc>
          <w:tcPr>
            <w:tcW w:w="3168" w:type="dxa"/>
            <w:shd w:val="clear" w:color="auto" w:fill="auto"/>
            <w:noWrap/>
            <w:vAlign w:val="bottom"/>
            <w:hideMark/>
          </w:tcPr>
          <w:p w14:paraId="3FE41459"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DAC</w:t>
            </w:r>
          </w:p>
        </w:tc>
        <w:tc>
          <w:tcPr>
            <w:tcW w:w="1232" w:type="dxa"/>
            <w:shd w:val="clear" w:color="auto" w:fill="auto"/>
            <w:noWrap/>
            <w:vAlign w:val="bottom"/>
            <w:hideMark/>
          </w:tcPr>
          <w:p w14:paraId="2BED663C"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xml:space="preserve">Don </w:t>
            </w:r>
          </w:p>
        </w:tc>
        <w:tc>
          <w:tcPr>
            <w:tcW w:w="2070" w:type="dxa"/>
            <w:shd w:val="clear" w:color="auto" w:fill="auto"/>
            <w:noWrap/>
            <w:vAlign w:val="bottom"/>
            <w:hideMark/>
          </w:tcPr>
          <w:p w14:paraId="4D77E5B6" w14:textId="77777777" w:rsidR="00960A12" w:rsidRPr="00F22EA7" w:rsidRDefault="00960A12" w:rsidP="00F22EA7">
            <w:pPr>
              <w:rPr>
                <w:rFonts w:eastAsia="Times New Roman" w:cs="Calibri"/>
                <w:color w:val="000000"/>
                <w:sz w:val="22"/>
                <w:szCs w:val="22"/>
              </w:rPr>
            </w:pPr>
            <w:proofErr w:type="spellStart"/>
            <w:r w:rsidRPr="00F22EA7">
              <w:rPr>
                <w:rFonts w:eastAsia="Times New Roman" w:cs="Calibri"/>
                <w:color w:val="000000"/>
                <w:sz w:val="22"/>
                <w:szCs w:val="22"/>
              </w:rPr>
              <w:t>Arambula</w:t>
            </w:r>
            <w:proofErr w:type="spellEnd"/>
          </w:p>
        </w:tc>
        <w:tc>
          <w:tcPr>
            <w:tcW w:w="1376" w:type="dxa"/>
            <w:shd w:val="clear" w:color="auto" w:fill="auto"/>
            <w:noWrap/>
            <w:vAlign w:val="bottom"/>
            <w:hideMark/>
          </w:tcPr>
          <w:p w14:paraId="0BB44FC3"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1F649ABF"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F22EA7" w14:paraId="7D6943EF" w14:textId="77777777" w:rsidTr="00F22EA7">
        <w:trPr>
          <w:trHeight w:val="300"/>
        </w:trPr>
        <w:tc>
          <w:tcPr>
            <w:tcW w:w="3168" w:type="dxa"/>
            <w:shd w:val="clear" w:color="auto" w:fill="auto"/>
            <w:noWrap/>
            <w:vAlign w:val="bottom"/>
            <w:hideMark/>
          </w:tcPr>
          <w:p w14:paraId="622F83D0"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 </w:t>
            </w:r>
          </w:p>
        </w:tc>
        <w:tc>
          <w:tcPr>
            <w:tcW w:w="1232" w:type="dxa"/>
            <w:shd w:val="clear" w:color="auto" w:fill="auto"/>
            <w:noWrap/>
            <w:vAlign w:val="bottom"/>
            <w:hideMark/>
          </w:tcPr>
          <w:p w14:paraId="53E0A564"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Loan</w:t>
            </w:r>
          </w:p>
        </w:tc>
        <w:tc>
          <w:tcPr>
            <w:tcW w:w="2070" w:type="dxa"/>
            <w:shd w:val="clear" w:color="auto" w:fill="auto"/>
            <w:noWrap/>
            <w:vAlign w:val="bottom"/>
            <w:hideMark/>
          </w:tcPr>
          <w:p w14:paraId="6C35DD91"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Nguyen</w:t>
            </w:r>
          </w:p>
        </w:tc>
        <w:tc>
          <w:tcPr>
            <w:tcW w:w="1376" w:type="dxa"/>
            <w:shd w:val="clear" w:color="auto" w:fill="auto"/>
            <w:noWrap/>
            <w:vAlign w:val="bottom"/>
            <w:hideMark/>
          </w:tcPr>
          <w:p w14:paraId="6982079F"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3C6B5A05"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F22EA7" w14:paraId="614A53E7" w14:textId="77777777" w:rsidTr="00F22EA7">
        <w:trPr>
          <w:trHeight w:val="300"/>
        </w:trPr>
        <w:tc>
          <w:tcPr>
            <w:tcW w:w="3168" w:type="dxa"/>
            <w:shd w:val="clear" w:color="auto" w:fill="auto"/>
            <w:noWrap/>
            <w:vAlign w:val="bottom"/>
            <w:hideMark/>
          </w:tcPr>
          <w:p w14:paraId="665F611D"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CLEAResult</w:t>
            </w:r>
          </w:p>
        </w:tc>
        <w:tc>
          <w:tcPr>
            <w:tcW w:w="1232" w:type="dxa"/>
            <w:shd w:val="clear" w:color="auto" w:fill="auto"/>
            <w:noWrap/>
            <w:vAlign w:val="bottom"/>
            <w:hideMark/>
          </w:tcPr>
          <w:p w14:paraId="741D90DD"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Joanne</w:t>
            </w:r>
          </w:p>
        </w:tc>
        <w:tc>
          <w:tcPr>
            <w:tcW w:w="2070" w:type="dxa"/>
            <w:shd w:val="clear" w:color="auto" w:fill="auto"/>
            <w:noWrap/>
            <w:vAlign w:val="bottom"/>
            <w:hideMark/>
          </w:tcPr>
          <w:p w14:paraId="2D4B6DBD"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O'Neill</w:t>
            </w:r>
          </w:p>
        </w:tc>
        <w:tc>
          <w:tcPr>
            <w:tcW w:w="1376" w:type="dxa"/>
            <w:shd w:val="clear" w:color="auto" w:fill="auto"/>
            <w:noWrap/>
            <w:vAlign w:val="bottom"/>
            <w:hideMark/>
          </w:tcPr>
          <w:p w14:paraId="41BDC473"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282652FC"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F22EA7" w14:paraId="22276CE4" w14:textId="77777777" w:rsidTr="00F22EA7">
        <w:trPr>
          <w:trHeight w:val="359"/>
        </w:trPr>
        <w:tc>
          <w:tcPr>
            <w:tcW w:w="3168" w:type="dxa"/>
            <w:shd w:val="clear" w:color="auto" w:fill="auto"/>
            <w:noWrap/>
            <w:vAlign w:val="bottom"/>
            <w:hideMark/>
          </w:tcPr>
          <w:p w14:paraId="39ED4508" w14:textId="77777777" w:rsidR="00960A12" w:rsidRPr="00F22EA7" w:rsidRDefault="00960A12" w:rsidP="00F22EA7">
            <w:pPr>
              <w:rPr>
                <w:rFonts w:eastAsia="Times New Roman" w:cs="Calibri"/>
                <w:b/>
                <w:color w:val="000000"/>
                <w:sz w:val="22"/>
                <w:szCs w:val="22"/>
              </w:rPr>
            </w:pPr>
            <w:r w:rsidRPr="00F22EA7">
              <w:rPr>
                <w:rFonts w:eastAsia="Times New Roman" w:cs="Calibri"/>
                <w:b/>
                <w:color w:val="000000"/>
                <w:sz w:val="22"/>
                <w:szCs w:val="22"/>
              </w:rPr>
              <w:t>SDG&amp;E </w:t>
            </w:r>
          </w:p>
        </w:tc>
        <w:tc>
          <w:tcPr>
            <w:tcW w:w="1232" w:type="dxa"/>
            <w:shd w:val="clear" w:color="auto" w:fill="auto"/>
            <w:noWrap/>
            <w:vAlign w:val="bottom"/>
            <w:hideMark/>
          </w:tcPr>
          <w:p w14:paraId="5E7E23E3"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Evan</w:t>
            </w:r>
          </w:p>
        </w:tc>
        <w:tc>
          <w:tcPr>
            <w:tcW w:w="2070" w:type="dxa"/>
            <w:shd w:val="clear" w:color="auto" w:fill="auto"/>
            <w:noWrap/>
            <w:vAlign w:val="bottom"/>
            <w:hideMark/>
          </w:tcPr>
          <w:p w14:paraId="2833AF75"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Frank</w:t>
            </w:r>
          </w:p>
        </w:tc>
        <w:tc>
          <w:tcPr>
            <w:tcW w:w="1376" w:type="dxa"/>
            <w:shd w:val="clear" w:color="auto" w:fill="auto"/>
            <w:noWrap/>
            <w:vAlign w:val="bottom"/>
            <w:hideMark/>
          </w:tcPr>
          <w:p w14:paraId="61DED5DF"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3CBFB8F5" w14:textId="77777777" w:rsidR="00960A12" w:rsidRPr="00F22EA7" w:rsidRDefault="00960A12" w:rsidP="00F22EA7">
            <w:pPr>
              <w:rPr>
                <w:rFonts w:eastAsia="Times New Roman" w:cs="Calibri"/>
                <w:b/>
                <w:bCs/>
                <w:color w:val="000000"/>
                <w:sz w:val="22"/>
                <w:szCs w:val="22"/>
              </w:rPr>
            </w:pPr>
            <w:r w:rsidRPr="00F22EA7">
              <w:rPr>
                <w:rFonts w:eastAsia="Times New Roman" w:cs="Calibri"/>
                <w:b/>
                <w:bCs/>
                <w:color w:val="000000"/>
                <w:sz w:val="22"/>
                <w:szCs w:val="22"/>
              </w:rPr>
              <w:t>X</w:t>
            </w:r>
          </w:p>
        </w:tc>
      </w:tr>
      <w:tr w:rsidR="00960A12" w:rsidRPr="00F22EA7" w14:paraId="306D8961" w14:textId="77777777" w:rsidTr="00F22EA7">
        <w:trPr>
          <w:trHeight w:val="300"/>
        </w:trPr>
        <w:tc>
          <w:tcPr>
            <w:tcW w:w="3168" w:type="dxa"/>
            <w:shd w:val="clear" w:color="auto" w:fill="auto"/>
            <w:noWrap/>
            <w:vAlign w:val="bottom"/>
            <w:hideMark/>
          </w:tcPr>
          <w:p w14:paraId="732FAC90"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1232" w:type="dxa"/>
            <w:shd w:val="clear" w:color="auto" w:fill="auto"/>
            <w:noWrap/>
            <w:vAlign w:val="bottom"/>
            <w:hideMark/>
          </w:tcPr>
          <w:p w14:paraId="06FBF2C6"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2070" w:type="dxa"/>
            <w:shd w:val="clear" w:color="auto" w:fill="auto"/>
            <w:noWrap/>
            <w:vAlign w:val="bottom"/>
            <w:hideMark/>
          </w:tcPr>
          <w:p w14:paraId="0A9D3D1F"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1376" w:type="dxa"/>
            <w:shd w:val="clear" w:color="auto" w:fill="auto"/>
            <w:noWrap/>
            <w:vAlign w:val="bottom"/>
            <w:hideMark/>
          </w:tcPr>
          <w:p w14:paraId="4D3E81A9"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c>
          <w:tcPr>
            <w:tcW w:w="964" w:type="dxa"/>
            <w:shd w:val="clear" w:color="auto" w:fill="auto"/>
            <w:noWrap/>
            <w:vAlign w:val="bottom"/>
            <w:hideMark/>
          </w:tcPr>
          <w:p w14:paraId="72012175" w14:textId="77777777" w:rsidR="00960A12" w:rsidRPr="00F22EA7" w:rsidRDefault="00960A12" w:rsidP="00F22EA7">
            <w:pPr>
              <w:rPr>
                <w:rFonts w:eastAsia="Times New Roman" w:cs="Calibri"/>
                <w:color w:val="000000"/>
                <w:sz w:val="22"/>
                <w:szCs w:val="22"/>
              </w:rPr>
            </w:pPr>
            <w:r w:rsidRPr="00F22EA7">
              <w:rPr>
                <w:rFonts w:eastAsia="Times New Roman" w:cs="Calibri"/>
                <w:color w:val="000000"/>
                <w:sz w:val="22"/>
                <w:szCs w:val="22"/>
              </w:rPr>
              <w:t> </w:t>
            </w:r>
          </w:p>
        </w:tc>
      </w:tr>
    </w:tbl>
    <w:p w14:paraId="6CA15BCA" w14:textId="77777777" w:rsidR="00960A12" w:rsidRPr="00F22EA7" w:rsidRDefault="00960A12" w:rsidP="007502B4">
      <w:pPr>
        <w:jc w:val="center"/>
        <w:rPr>
          <w:rFonts w:ascii="Cambria" w:hAnsi="Cambria" w:cs="Times New Roman"/>
          <w:b/>
          <w:sz w:val="22"/>
          <w:szCs w:val="22"/>
        </w:rPr>
      </w:pPr>
    </w:p>
    <w:p w14:paraId="37C59364" w14:textId="00BD45FC" w:rsidR="00140B6B" w:rsidRPr="00F22EA7" w:rsidRDefault="00140B6B" w:rsidP="00140B6B">
      <w:pPr>
        <w:rPr>
          <w:sz w:val="22"/>
          <w:szCs w:val="22"/>
        </w:rPr>
      </w:pPr>
    </w:p>
    <w:p w14:paraId="13661BFC" w14:textId="77777777" w:rsidR="00997A3A" w:rsidRPr="00F22EA7" w:rsidRDefault="00997A3A">
      <w:pPr>
        <w:rPr>
          <w:sz w:val="22"/>
          <w:szCs w:val="22"/>
        </w:rPr>
      </w:pPr>
    </w:p>
    <w:p w14:paraId="15DC69FA" w14:textId="247B2061" w:rsidR="003E7945" w:rsidRDefault="003E7945">
      <w:pPr>
        <w:rPr>
          <w:b/>
        </w:rPr>
      </w:pPr>
    </w:p>
    <w:p w14:paraId="10659B5B" w14:textId="7B26B2B0" w:rsidR="00B85A68" w:rsidRPr="001B7B32" w:rsidRDefault="00B85A68" w:rsidP="001B7B32">
      <w:pPr>
        <w:rPr>
          <w:rFonts w:ascii="Cambria" w:hAnsi="Cambria"/>
          <w:b/>
        </w:rPr>
      </w:pPr>
    </w:p>
    <w:sectPr w:rsidR="00B85A68" w:rsidRPr="001B7B32" w:rsidSect="00543811">
      <w:headerReference w:type="default" r:id="rId49"/>
      <w:footerReference w:type="even" r:id="rId50"/>
      <w:footerReference w:type="defaul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C17" w14:textId="77777777" w:rsidR="00D278C3" w:rsidRDefault="00D278C3" w:rsidP="00BC09F7">
      <w:r>
        <w:separator/>
      </w:r>
    </w:p>
  </w:endnote>
  <w:endnote w:type="continuationSeparator" w:id="0">
    <w:p w14:paraId="44CC1897" w14:textId="77777777" w:rsidR="00D278C3" w:rsidRDefault="00D278C3" w:rsidP="00BC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0000000000000000000"/>
    <w:charset w:val="00"/>
    <w:family w:val="auto"/>
    <w:pitch w:val="variable"/>
    <w:sig w:usb0="00000003" w:usb1="00000000" w:usb2="00000000" w:usb3="00000000" w:csb0="00000007"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9852" w14:textId="77777777" w:rsidR="00960A12" w:rsidRDefault="00960A12" w:rsidP="00BC0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8300A" w14:textId="77777777" w:rsidR="00960A12" w:rsidRDefault="00960A12" w:rsidP="00BC0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FA2A" w14:textId="77777777" w:rsidR="00960A12" w:rsidRDefault="00960A12" w:rsidP="00BC0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1E7C511" w14:textId="77777777" w:rsidR="00960A12" w:rsidRDefault="00960A12" w:rsidP="00BC0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74CF" w14:textId="77777777" w:rsidR="00D278C3" w:rsidRDefault="00D278C3" w:rsidP="00BC09F7">
      <w:r>
        <w:separator/>
      </w:r>
    </w:p>
  </w:footnote>
  <w:footnote w:type="continuationSeparator" w:id="0">
    <w:p w14:paraId="722CA787" w14:textId="77777777" w:rsidR="00D278C3" w:rsidRDefault="00D278C3" w:rsidP="00BC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3A5B" w14:textId="77777777" w:rsidR="00960A12" w:rsidRDefault="0096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91E99"/>
    <w:multiLevelType w:val="hybridMultilevel"/>
    <w:tmpl w:val="4C6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7739B"/>
    <w:multiLevelType w:val="hybridMultilevel"/>
    <w:tmpl w:val="B5B6B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D2ABC"/>
    <w:multiLevelType w:val="hybridMultilevel"/>
    <w:tmpl w:val="5E8E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E3CFE"/>
    <w:multiLevelType w:val="hybridMultilevel"/>
    <w:tmpl w:val="41804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304CA"/>
    <w:multiLevelType w:val="hybridMultilevel"/>
    <w:tmpl w:val="DACE8B92"/>
    <w:lvl w:ilvl="0" w:tplc="F6A82A44">
      <w:start w:val="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E7E63"/>
    <w:multiLevelType w:val="hybridMultilevel"/>
    <w:tmpl w:val="02F0005A"/>
    <w:lvl w:ilvl="0" w:tplc="F6A82A44">
      <w:start w:val="1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002B5"/>
    <w:multiLevelType w:val="hybridMultilevel"/>
    <w:tmpl w:val="B4EA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77ABF"/>
    <w:multiLevelType w:val="hybridMultilevel"/>
    <w:tmpl w:val="E1C27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85CAD"/>
    <w:multiLevelType w:val="hybridMultilevel"/>
    <w:tmpl w:val="6BB67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4F64"/>
    <w:multiLevelType w:val="hybridMultilevel"/>
    <w:tmpl w:val="DE78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9085D"/>
    <w:multiLevelType w:val="hybridMultilevel"/>
    <w:tmpl w:val="E4F8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D75A9"/>
    <w:multiLevelType w:val="hybridMultilevel"/>
    <w:tmpl w:val="EB7A43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C7CD9"/>
    <w:multiLevelType w:val="hybridMultilevel"/>
    <w:tmpl w:val="C72C5FB8"/>
    <w:lvl w:ilvl="0" w:tplc="F6A82A44">
      <w:start w:val="1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B6E51"/>
    <w:multiLevelType w:val="hybridMultilevel"/>
    <w:tmpl w:val="EE3E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2"/>
  </w:num>
  <w:num w:numId="6">
    <w:abstractNumId w:val="11"/>
  </w:num>
  <w:num w:numId="7">
    <w:abstractNumId w:val="7"/>
  </w:num>
  <w:num w:numId="8">
    <w:abstractNumId w:val="8"/>
  </w:num>
  <w:num w:numId="9">
    <w:abstractNumId w:val="0"/>
  </w:num>
  <w:num w:numId="10">
    <w:abstractNumId w:val="6"/>
  </w:num>
  <w:num w:numId="11">
    <w:abstractNumId w:val="10"/>
  </w:num>
  <w:num w:numId="12">
    <w:abstractNumId w:val="1"/>
  </w:num>
  <w:num w:numId="13">
    <w:abstractNumId w:val="13"/>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F6"/>
    <w:rsid w:val="00001900"/>
    <w:rsid w:val="00007AEE"/>
    <w:rsid w:val="000123CC"/>
    <w:rsid w:val="000322BF"/>
    <w:rsid w:val="00035635"/>
    <w:rsid w:val="000378D9"/>
    <w:rsid w:val="00040B5F"/>
    <w:rsid w:val="00042D9C"/>
    <w:rsid w:val="00043168"/>
    <w:rsid w:val="00043225"/>
    <w:rsid w:val="000438EC"/>
    <w:rsid w:val="00053088"/>
    <w:rsid w:val="000557D6"/>
    <w:rsid w:val="0006233D"/>
    <w:rsid w:val="00063950"/>
    <w:rsid w:val="00066329"/>
    <w:rsid w:val="000729A8"/>
    <w:rsid w:val="00075577"/>
    <w:rsid w:val="00077348"/>
    <w:rsid w:val="000836E3"/>
    <w:rsid w:val="000862B5"/>
    <w:rsid w:val="0008638B"/>
    <w:rsid w:val="000907BA"/>
    <w:rsid w:val="00094ADF"/>
    <w:rsid w:val="00094E34"/>
    <w:rsid w:val="00095089"/>
    <w:rsid w:val="00097C56"/>
    <w:rsid w:val="000A0AB5"/>
    <w:rsid w:val="000A1D92"/>
    <w:rsid w:val="000A2433"/>
    <w:rsid w:val="000A55A6"/>
    <w:rsid w:val="000A6BC6"/>
    <w:rsid w:val="000B6050"/>
    <w:rsid w:val="000C1EFF"/>
    <w:rsid w:val="000C3E54"/>
    <w:rsid w:val="000D0F11"/>
    <w:rsid w:val="000D607C"/>
    <w:rsid w:val="000E6302"/>
    <w:rsid w:val="000F433C"/>
    <w:rsid w:val="000F5B8E"/>
    <w:rsid w:val="00102C6D"/>
    <w:rsid w:val="00120D03"/>
    <w:rsid w:val="001265E2"/>
    <w:rsid w:val="0012788B"/>
    <w:rsid w:val="0013023E"/>
    <w:rsid w:val="00140B6B"/>
    <w:rsid w:val="0014468D"/>
    <w:rsid w:val="00147A68"/>
    <w:rsid w:val="00154C44"/>
    <w:rsid w:val="001579A6"/>
    <w:rsid w:val="00157D98"/>
    <w:rsid w:val="00157DB0"/>
    <w:rsid w:val="00166EE3"/>
    <w:rsid w:val="00180680"/>
    <w:rsid w:val="0018115E"/>
    <w:rsid w:val="0018228D"/>
    <w:rsid w:val="0018564B"/>
    <w:rsid w:val="0018585A"/>
    <w:rsid w:val="00190AE0"/>
    <w:rsid w:val="001929B8"/>
    <w:rsid w:val="00194142"/>
    <w:rsid w:val="00196D99"/>
    <w:rsid w:val="001A0896"/>
    <w:rsid w:val="001A38B5"/>
    <w:rsid w:val="001A3AC0"/>
    <w:rsid w:val="001B4824"/>
    <w:rsid w:val="001B7B32"/>
    <w:rsid w:val="001C01D5"/>
    <w:rsid w:val="001D0B4D"/>
    <w:rsid w:val="001E4FCB"/>
    <w:rsid w:val="001E6A40"/>
    <w:rsid w:val="001E6A41"/>
    <w:rsid w:val="001F0783"/>
    <w:rsid w:val="001F3FD8"/>
    <w:rsid w:val="00201FE6"/>
    <w:rsid w:val="00201FEB"/>
    <w:rsid w:val="00202B38"/>
    <w:rsid w:val="0020475A"/>
    <w:rsid w:val="002065FE"/>
    <w:rsid w:val="00206736"/>
    <w:rsid w:val="00212171"/>
    <w:rsid w:val="00212B90"/>
    <w:rsid w:val="0023005B"/>
    <w:rsid w:val="00240B21"/>
    <w:rsid w:val="0024180D"/>
    <w:rsid w:val="00242D7B"/>
    <w:rsid w:val="00243D3F"/>
    <w:rsid w:val="00254A3C"/>
    <w:rsid w:val="00264517"/>
    <w:rsid w:val="002652BE"/>
    <w:rsid w:val="002672EF"/>
    <w:rsid w:val="00277B7E"/>
    <w:rsid w:val="00282A25"/>
    <w:rsid w:val="0028445F"/>
    <w:rsid w:val="00292052"/>
    <w:rsid w:val="00293B42"/>
    <w:rsid w:val="002A3A5E"/>
    <w:rsid w:val="002B7BF7"/>
    <w:rsid w:val="002C2AC0"/>
    <w:rsid w:val="002C6568"/>
    <w:rsid w:val="002E1D5B"/>
    <w:rsid w:val="002E214E"/>
    <w:rsid w:val="002E35BC"/>
    <w:rsid w:val="002E41D8"/>
    <w:rsid w:val="00314E35"/>
    <w:rsid w:val="003155C2"/>
    <w:rsid w:val="003157B2"/>
    <w:rsid w:val="0032064F"/>
    <w:rsid w:val="00332716"/>
    <w:rsid w:val="00335BF3"/>
    <w:rsid w:val="0034305C"/>
    <w:rsid w:val="00344C26"/>
    <w:rsid w:val="0034617D"/>
    <w:rsid w:val="00362041"/>
    <w:rsid w:val="003622F5"/>
    <w:rsid w:val="003705F6"/>
    <w:rsid w:val="00382199"/>
    <w:rsid w:val="00383ADD"/>
    <w:rsid w:val="00383DC2"/>
    <w:rsid w:val="003900BE"/>
    <w:rsid w:val="003919D2"/>
    <w:rsid w:val="003928B8"/>
    <w:rsid w:val="00393257"/>
    <w:rsid w:val="003A17DF"/>
    <w:rsid w:val="003D3610"/>
    <w:rsid w:val="003E7945"/>
    <w:rsid w:val="003F2419"/>
    <w:rsid w:val="003F684F"/>
    <w:rsid w:val="003F703E"/>
    <w:rsid w:val="00406210"/>
    <w:rsid w:val="00407991"/>
    <w:rsid w:val="0041000E"/>
    <w:rsid w:val="00412CF7"/>
    <w:rsid w:val="00421218"/>
    <w:rsid w:val="0042318F"/>
    <w:rsid w:val="004501A8"/>
    <w:rsid w:val="00452BF4"/>
    <w:rsid w:val="00455EC0"/>
    <w:rsid w:val="004562AC"/>
    <w:rsid w:val="00465D06"/>
    <w:rsid w:val="00466913"/>
    <w:rsid w:val="00472F24"/>
    <w:rsid w:val="00476D44"/>
    <w:rsid w:val="00477D2A"/>
    <w:rsid w:val="004855E3"/>
    <w:rsid w:val="00485CEE"/>
    <w:rsid w:val="00496488"/>
    <w:rsid w:val="004A348C"/>
    <w:rsid w:val="004A40E6"/>
    <w:rsid w:val="004A6256"/>
    <w:rsid w:val="004C5759"/>
    <w:rsid w:val="004E088E"/>
    <w:rsid w:val="004E4E1D"/>
    <w:rsid w:val="004F14C2"/>
    <w:rsid w:val="005011B0"/>
    <w:rsid w:val="00501708"/>
    <w:rsid w:val="00505491"/>
    <w:rsid w:val="00512E0C"/>
    <w:rsid w:val="0051311B"/>
    <w:rsid w:val="00516DAE"/>
    <w:rsid w:val="005209D0"/>
    <w:rsid w:val="00526EFE"/>
    <w:rsid w:val="00527A7E"/>
    <w:rsid w:val="005319FC"/>
    <w:rsid w:val="00535ADD"/>
    <w:rsid w:val="00540276"/>
    <w:rsid w:val="00543811"/>
    <w:rsid w:val="00545586"/>
    <w:rsid w:val="00554C01"/>
    <w:rsid w:val="00564E36"/>
    <w:rsid w:val="00572DB1"/>
    <w:rsid w:val="005770AC"/>
    <w:rsid w:val="00577790"/>
    <w:rsid w:val="00577838"/>
    <w:rsid w:val="005778CA"/>
    <w:rsid w:val="0059212C"/>
    <w:rsid w:val="00594D65"/>
    <w:rsid w:val="005A2847"/>
    <w:rsid w:val="005B6F7C"/>
    <w:rsid w:val="005C0996"/>
    <w:rsid w:val="005C3B56"/>
    <w:rsid w:val="005C7395"/>
    <w:rsid w:val="005D133C"/>
    <w:rsid w:val="005E0BDC"/>
    <w:rsid w:val="005E0F27"/>
    <w:rsid w:val="005F10D6"/>
    <w:rsid w:val="005F79FD"/>
    <w:rsid w:val="0060497D"/>
    <w:rsid w:val="006061B3"/>
    <w:rsid w:val="0060721F"/>
    <w:rsid w:val="0061544D"/>
    <w:rsid w:val="00641B6E"/>
    <w:rsid w:val="00644468"/>
    <w:rsid w:val="0064716B"/>
    <w:rsid w:val="006473ED"/>
    <w:rsid w:val="00653866"/>
    <w:rsid w:val="006672C9"/>
    <w:rsid w:val="00673AFF"/>
    <w:rsid w:val="00694846"/>
    <w:rsid w:val="00694DEB"/>
    <w:rsid w:val="00697AB6"/>
    <w:rsid w:val="00697D11"/>
    <w:rsid w:val="006A0820"/>
    <w:rsid w:val="006A432A"/>
    <w:rsid w:val="006A6A92"/>
    <w:rsid w:val="006A76DB"/>
    <w:rsid w:val="006B1F08"/>
    <w:rsid w:val="006C2E44"/>
    <w:rsid w:val="006C4404"/>
    <w:rsid w:val="006C4674"/>
    <w:rsid w:val="006D53D6"/>
    <w:rsid w:val="006E538C"/>
    <w:rsid w:val="006F23F9"/>
    <w:rsid w:val="00700C3E"/>
    <w:rsid w:val="007116B4"/>
    <w:rsid w:val="00712E74"/>
    <w:rsid w:val="007202FD"/>
    <w:rsid w:val="00724042"/>
    <w:rsid w:val="00724721"/>
    <w:rsid w:val="007410F9"/>
    <w:rsid w:val="00741889"/>
    <w:rsid w:val="0074720A"/>
    <w:rsid w:val="007502B4"/>
    <w:rsid w:val="00751A31"/>
    <w:rsid w:val="0075219E"/>
    <w:rsid w:val="00756C57"/>
    <w:rsid w:val="00757743"/>
    <w:rsid w:val="00763F32"/>
    <w:rsid w:val="00775A4E"/>
    <w:rsid w:val="00777058"/>
    <w:rsid w:val="00782E4D"/>
    <w:rsid w:val="00783160"/>
    <w:rsid w:val="00786F82"/>
    <w:rsid w:val="00792943"/>
    <w:rsid w:val="00793F2F"/>
    <w:rsid w:val="00794A0E"/>
    <w:rsid w:val="00795D93"/>
    <w:rsid w:val="007A0354"/>
    <w:rsid w:val="007A0EB8"/>
    <w:rsid w:val="007A2F59"/>
    <w:rsid w:val="007A5403"/>
    <w:rsid w:val="007B3C9D"/>
    <w:rsid w:val="007B43AA"/>
    <w:rsid w:val="007B6231"/>
    <w:rsid w:val="007B6F0B"/>
    <w:rsid w:val="007C0D37"/>
    <w:rsid w:val="007C3C83"/>
    <w:rsid w:val="007C5E8E"/>
    <w:rsid w:val="007C7E2C"/>
    <w:rsid w:val="007D34F7"/>
    <w:rsid w:val="007E01EE"/>
    <w:rsid w:val="007E5D6E"/>
    <w:rsid w:val="007F2D7C"/>
    <w:rsid w:val="007F55F8"/>
    <w:rsid w:val="0080391A"/>
    <w:rsid w:val="00806108"/>
    <w:rsid w:val="008063B1"/>
    <w:rsid w:val="00814760"/>
    <w:rsid w:val="00821256"/>
    <w:rsid w:val="008230DC"/>
    <w:rsid w:val="008231F3"/>
    <w:rsid w:val="008338CD"/>
    <w:rsid w:val="00834518"/>
    <w:rsid w:val="008379BA"/>
    <w:rsid w:val="00843188"/>
    <w:rsid w:val="00852FCF"/>
    <w:rsid w:val="00865076"/>
    <w:rsid w:val="00866E95"/>
    <w:rsid w:val="00871D6C"/>
    <w:rsid w:val="0087493A"/>
    <w:rsid w:val="00880089"/>
    <w:rsid w:val="00881765"/>
    <w:rsid w:val="0088321E"/>
    <w:rsid w:val="00885CAC"/>
    <w:rsid w:val="00892683"/>
    <w:rsid w:val="00893EC1"/>
    <w:rsid w:val="00895D9E"/>
    <w:rsid w:val="008A7416"/>
    <w:rsid w:val="008A7692"/>
    <w:rsid w:val="008B1066"/>
    <w:rsid w:val="008B19B7"/>
    <w:rsid w:val="008C2ACB"/>
    <w:rsid w:val="008C7824"/>
    <w:rsid w:val="008D55BE"/>
    <w:rsid w:val="008E5F0B"/>
    <w:rsid w:val="008F6F3D"/>
    <w:rsid w:val="008F70B9"/>
    <w:rsid w:val="00910E1D"/>
    <w:rsid w:val="009141F0"/>
    <w:rsid w:val="00922B62"/>
    <w:rsid w:val="00924177"/>
    <w:rsid w:val="009333AE"/>
    <w:rsid w:val="00934FB6"/>
    <w:rsid w:val="00935DF5"/>
    <w:rsid w:val="009360E6"/>
    <w:rsid w:val="0094301B"/>
    <w:rsid w:val="00951D56"/>
    <w:rsid w:val="00956FFF"/>
    <w:rsid w:val="00960A12"/>
    <w:rsid w:val="00972F0C"/>
    <w:rsid w:val="009745C0"/>
    <w:rsid w:val="00974C7E"/>
    <w:rsid w:val="0097578D"/>
    <w:rsid w:val="00990053"/>
    <w:rsid w:val="00990CB2"/>
    <w:rsid w:val="009948E6"/>
    <w:rsid w:val="009967DB"/>
    <w:rsid w:val="00997A3A"/>
    <w:rsid w:val="009A533C"/>
    <w:rsid w:val="009B1455"/>
    <w:rsid w:val="009B42CF"/>
    <w:rsid w:val="009E463C"/>
    <w:rsid w:val="009E6371"/>
    <w:rsid w:val="009E7FD0"/>
    <w:rsid w:val="00A03FB6"/>
    <w:rsid w:val="00A066AD"/>
    <w:rsid w:val="00A123AB"/>
    <w:rsid w:val="00A158FB"/>
    <w:rsid w:val="00A2070E"/>
    <w:rsid w:val="00A30238"/>
    <w:rsid w:val="00A3794A"/>
    <w:rsid w:val="00A41A30"/>
    <w:rsid w:val="00A43B3A"/>
    <w:rsid w:val="00A45BED"/>
    <w:rsid w:val="00A46660"/>
    <w:rsid w:val="00A46E53"/>
    <w:rsid w:val="00A54D05"/>
    <w:rsid w:val="00A610ED"/>
    <w:rsid w:val="00A73E4F"/>
    <w:rsid w:val="00A7660A"/>
    <w:rsid w:val="00A7763A"/>
    <w:rsid w:val="00A87E29"/>
    <w:rsid w:val="00A93FA9"/>
    <w:rsid w:val="00AA2130"/>
    <w:rsid w:val="00AA248D"/>
    <w:rsid w:val="00AA5561"/>
    <w:rsid w:val="00AA5F2F"/>
    <w:rsid w:val="00AA7538"/>
    <w:rsid w:val="00AB0871"/>
    <w:rsid w:val="00AB2634"/>
    <w:rsid w:val="00AB43FB"/>
    <w:rsid w:val="00AB612B"/>
    <w:rsid w:val="00AB691F"/>
    <w:rsid w:val="00AC09C3"/>
    <w:rsid w:val="00AC0F4A"/>
    <w:rsid w:val="00AC2FE5"/>
    <w:rsid w:val="00AC4961"/>
    <w:rsid w:val="00AC7BCF"/>
    <w:rsid w:val="00AD7B5D"/>
    <w:rsid w:val="00AF1D5B"/>
    <w:rsid w:val="00AF3F10"/>
    <w:rsid w:val="00AF423F"/>
    <w:rsid w:val="00B168C9"/>
    <w:rsid w:val="00B20B86"/>
    <w:rsid w:val="00B30D25"/>
    <w:rsid w:val="00B3434F"/>
    <w:rsid w:val="00B40646"/>
    <w:rsid w:val="00B42444"/>
    <w:rsid w:val="00B447A2"/>
    <w:rsid w:val="00B5443C"/>
    <w:rsid w:val="00B55D64"/>
    <w:rsid w:val="00B6168F"/>
    <w:rsid w:val="00B62943"/>
    <w:rsid w:val="00B631B8"/>
    <w:rsid w:val="00B74090"/>
    <w:rsid w:val="00B758A9"/>
    <w:rsid w:val="00B77759"/>
    <w:rsid w:val="00B85A68"/>
    <w:rsid w:val="00BA1798"/>
    <w:rsid w:val="00BA24E2"/>
    <w:rsid w:val="00BA54E0"/>
    <w:rsid w:val="00BC09F7"/>
    <w:rsid w:val="00BC53D7"/>
    <w:rsid w:val="00BD380F"/>
    <w:rsid w:val="00BE78A3"/>
    <w:rsid w:val="00BF1F29"/>
    <w:rsid w:val="00BF30D4"/>
    <w:rsid w:val="00C01141"/>
    <w:rsid w:val="00C06133"/>
    <w:rsid w:val="00C201A3"/>
    <w:rsid w:val="00C24426"/>
    <w:rsid w:val="00C33D76"/>
    <w:rsid w:val="00C710C9"/>
    <w:rsid w:val="00C81D26"/>
    <w:rsid w:val="00C91C47"/>
    <w:rsid w:val="00C92EF5"/>
    <w:rsid w:val="00C92FC9"/>
    <w:rsid w:val="00CA5C1C"/>
    <w:rsid w:val="00CB4623"/>
    <w:rsid w:val="00CB6DA1"/>
    <w:rsid w:val="00CD09CB"/>
    <w:rsid w:val="00CE21FA"/>
    <w:rsid w:val="00CE59A3"/>
    <w:rsid w:val="00CE6EBA"/>
    <w:rsid w:val="00CF013C"/>
    <w:rsid w:val="00CF1796"/>
    <w:rsid w:val="00D07EB9"/>
    <w:rsid w:val="00D12DA9"/>
    <w:rsid w:val="00D17857"/>
    <w:rsid w:val="00D2051A"/>
    <w:rsid w:val="00D25590"/>
    <w:rsid w:val="00D27294"/>
    <w:rsid w:val="00D278C3"/>
    <w:rsid w:val="00D34466"/>
    <w:rsid w:val="00D42212"/>
    <w:rsid w:val="00D429B3"/>
    <w:rsid w:val="00D430F5"/>
    <w:rsid w:val="00D452E9"/>
    <w:rsid w:val="00D4661B"/>
    <w:rsid w:val="00D46E88"/>
    <w:rsid w:val="00D53E50"/>
    <w:rsid w:val="00D552FF"/>
    <w:rsid w:val="00D64C93"/>
    <w:rsid w:val="00D73550"/>
    <w:rsid w:val="00D76C19"/>
    <w:rsid w:val="00D823B9"/>
    <w:rsid w:val="00D85560"/>
    <w:rsid w:val="00D87152"/>
    <w:rsid w:val="00D92CA8"/>
    <w:rsid w:val="00D96122"/>
    <w:rsid w:val="00DA17F6"/>
    <w:rsid w:val="00DA7352"/>
    <w:rsid w:val="00DB2FCF"/>
    <w:rsid w:val="00DB38C3"/>
    <w:rsid w:val="00DB5588"/>
    <w:rsid w:val="00DC1E90"/>
    <w:rsid w:val="00DC2854"/>
    <w:rsid w:val="00DC28ED"/>
    <w:rsid w:val="00DD61F3"/>
    <w:rsid w:val="00DF5817"/>
    <w:rsid w:val="00DF7571"/>
    <w:rsid w:val="00E0013D"/>
    <w:rsid w:val="00E03597"/>
    <w:rsid w:val="00E04566"/>
    <w:rsid w:val="00E04A1C"/>
    <w:rsid w:val="00E12D3D"/>
    <w:rsid w:val="00E15BDD"/>
    <w:rsid w:val="00E24E87"/>
    <w:rsid w:val="00E31708"/>
    <w:rsid w:val="00E33962"/>
    <w:rsid w:val="00E34061"/>
    <w:rsid w:val="00E34A03"/>
    <w:rsid w:val="00E45A7D"/>
    <w:rsid w:val="00E46392"/>
    <w:rsid w:val="00E5437F"/>
    <w:rsid w:val="00E57683"/>
    <w:rsid w:val="00E57CFF"/>
    <w:rsid w:val="00E829E9"/>
    <w:rsid w:val="00E84FF8"/>
    <w:rsid w:val="00E878DE"/>
    <w:rsid w:val="00EA1126"/>
    <w:rsid w:val="00EA3262"/>
    <w:rsid w:val="00EA4138"/>
    <w:rsid w:val="00EA7075"/>
    <w:rsid w:val="00EA7725"/>
    <w:rsid w:val="00EC2CEA"/>
    <w:rsid w:val="00ED42A9"/>
    <w:rsid w:val="00ED5A47"/>
    <w:rsid w:val="00ED689E"/>
    <w:rsid w:val="00ED6E55"/>
    <w:rsid w:val="00ED7FE6"/>
    <w:rsid w:val="00EF2088"/>
    <w:rsid w:val="00EF3A75"/>
    <w:rsid w:val="00EF3E46"/>
    <w:rsid w:val="00EF5304"/>
    <w:rsid w:val="00EF73B3"/>
    <w:rsid w:val="00EF7685"/>
    <w:rsid w:val="00EF7FDE"/>
    <w:rsid w:val="00F02DF6"/>
    <w:rsid w:val="00F03429"/>
    <w:rsid w:val="00F03E46"/>
    <w:rsid w:val="00F05C59"/>
    <w:rsid w:val="00F123E0"/>
    <w:rsid w:val="00F137B7"/>
    <w:rsid w:val="00F207DF"/>
    <w:rsid w:val="00F21EAA"/>
    <w:rsid w:val="00F22EA7"/>
    <w:rsid w:val="00F31C26"/>
    <w:rsid w:val="00F34C1D"/>
    <w:rsid w:val="00F45641"/>
    <w:rsid w:val="00F5130F"/>
    <w:rsid w:val="00F54D48"/>
    <w:rsid w:val="00F54F79"/>
    <w:rsid w:val="00F64D1F"/>
    <w:rsid w:val="00F70A97"/>
    <w:rsid w:val="00F77C1B"/>
    <w:rsid w:val="00F811F3"/>
    <w:rsid w:val="00F83DC3"/>
    <w:rsid w:val="00F84F85"/>
    <w:rsid w:val="00F856CD"/>
    <w:rsid w:val="00F95B8F"/>
    <w:rsid w:val="00FA6553"/>
    <w:rsid w:val="00FB1D84"/>
    <w:rsid w:val="00FC136F"/>
    <w:rsid w:val="00FC546F"/>
    <w:rsid w:val="00FD7A2B"/>
    <w:rsid w:val="00FE3B1D"/>
    <w:rsid w:val="00FE559E"/>
    <w:rsid w:val="00FE5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D4B61"/>
  <w14:defaultImageDpi w14:val="300"/>
  <w15:docId w15:val="{78AC8A17-CEB5-6841-9423-6910BE5C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F6"/>
    <w:pPr>
      <w:ind w:left="720"/>
      <w:contextualSpacing/>
    </w:pPr>
  </w:style>
  <w:style w:type="character" w:styleId="CommentReference">
    <w:name w:val="annotation reference"/>
    <w:basedOn w:val="DefaultParagraphFont"/>
    <w:uiPriority w:val="99"/>
    <w:semiHidden/>
    <w:unhideWhenUsed/>
    <w:rsid w:val="003705F6"/>
    <w:rPr>
      <w:sz w:val="18"/>
      <w:szCs w:val="18"/>
    </w:rPr>
  </w:style>
  <w:style w:type="paragraph" w:styleId="CommentText">
    <w:name w:val="annotation text"/>
    <w:basedOn w:val="Normal"/>
    <w:link w:val="CommentTextChar"/>
    <w:uiPriority w:val="99"/>
    <w:semiHidden/>
    <w:unhideWhenUsed/>
    <w:rsid w:val="003705F6"/>
  </w:style>
  <w:style w:type="character" w:customStyle="1" w:styleId="CommentTextChar">
    <w:name w:val="Comment Text Char"/>
    <w:basedOn w:val="DefaultParagraphFont"/>
    <w:link w:val="CommentText"/>
    <w:uiPriority w:val="99"/>
    <w:semiHidden/>
    <w:rsid w:val="003705F6"/>
  </w:style>
  <w:style w:type="paragraph" w:styleId="CommentSubject">
    <w:name w:val="annotation subject"/>
    <w:basedOn w:val="CommentText"/>
    <w:next w:val="CommentText"/>
    <w:link w:val="CommentSubjectChar"/>
    <w:uiPriority w:val="99"/>
    <w:semiHidden/>
    <w:unhideWhenUsed/>
    <w:rsid w:val="003705F6"/>
    <w:rPr>
      <w:b/>
      <w:bCs/>
      <w:sz w:val="20"/>
      <w:szCs w:val="20"/>
    </w:rPr>
  </w:style>
  <w:style w:type="character" w:customStyle="1" w:styleId="CommentSubjectChar">
    <w:name w:val="Comment Subject Char"/>
    <w:basedOn w:val="CommentTextChar"/>
    <w:link w:val="CommentSubject"/>
    <w:uiPriority w:val="99"/>
    <w:semiHidden/>
    <w:rsid w:val="003705F6"/>
    <w:rPr>
      <w:b/>
      <w:bCs/>
      <w:sz w:val="20"/>
      <w:szCs w:val="20"/>
    </w:rPr>
  </w:style>
  <w:style w:type="paragraph" w:styleId="BalloonText">
    <w:name w:val="Balloon Text"/>
    <w:basedOn w:val="Normal"/>
    <w:link w:val="BalloonTextChar"/>
    <w:uiPriority w:val="99"/>
    <w:semiHidden/>
    <w:unhideWhenUsed/>
    <w:rsid w:val="00370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5F6"/>
    <w:rPr>
      <w:rFonts w:ascii="Lucida Grande" w:hAnsi="Lucida Grande" w:cs="Lucida Grande"/>
      <w:sz w:val="18"/>
      <w:szCs w:val="18"/>
    </w:rPr>
  </w:style>
  <w:style w:type="paragraph" w:styleId="Footer">
    <w:name w:val="footer"/>
    <w:basedOn w:val="Normal"/>
    <w:link w:val="FooterChar"/>
    <w:uiPriority w:val="99"/>
    <w:unhideWhenUsed/>
    <w:rsid w:val="00BC09F7"/>
    <w:pPr>
      <w:tabs>
        <w:tab w:val="center" w:pos="4320"/>
        <w:tab w:val="right" w:pos="8640"/>
      </w:tabs>
    </w:pPr>
  </w:style>
  <w:style w:type="character" w:customStyle="1" w:styleId="FooterChar">
    <w:name w:val="Footer Char"/>
    <w:basedOn w:val="DefaultParagraphFont"/>
    <w:link w:val="Footer"/>
    <w:uiPriority w:val="99"/>
    <w:rsid w:val="00BC09F7"/>
  </w:style>
  <w:style w:type="character" w:styleId="PageNumber">
    <w:name w:val="page number"/>
    <w:basedOn w:val="DefaultParagraphFont"/>
    <w:uiPriority w:val="99"/>
    <w:semiHidden/>
    <w:unhideWhenUsed/>
    <w:rsid w:val="00BC09F7"/>
  </w:style>
  <w:style w:type="paragraph" w:styleId="Header">
    <w:name w:val="header"/>
    <w:basedOn w:val="Normal"/>
    <w:link w:val="HeaderChar"/>
    <w:uiPriority w:val="99"/>
    <w:unhideWhenUsed/>
    <w:rsid w:val="00AB2634"/>
    <w:pPr>
      <w:tabs>
        <w:tab w:val="center" w:pos="4320"/>
        <w:tab w:val="right" w:pos="8640"/>
      </w:tabs>
    </w:pPr>
  </w:style>
  <w:style w:type="character" w:customStyle="1" w:styleId="HeaderChar">
    <w:name w:val="Header Char"/>
    <w:basedOn w:val="DefaultParagraphFont"/>
    <w:link w:val="Header"/>
    <w:uiPriority w:val="99"/>
    <w:rsid w:val="00AB2634"/>
  </w:style>
  <w:style w:type="character" w:styleId="Hyperlink">
    <w:name w:val="Hyperlink"/>
    <w:basedOn w:val="DefaultParagraphFont"/>
    <w:uiPriority w:val="99"/>
    <w:unhideWhenUsed/>
    <w:rsid w:val="00AB2634"/>
    <w:rPr>
      <w:color w:val="0000FF"/>
      <w:u w:val="single"/>
    </w:rPr>
  </w:style>
  <w:style w:type="paragraph" w:customStyle="1" w:styleId="NoteLevel11">
    <w:name w:val="Note Level 11"/>
    <w:basedOn w:val="Normal"/>
    <w:uiPriority w:val="99"/>
    <w:unhideWhenUsed/>
    <w:rsid w:val="00AB2634"/>
    <w:pPr>
      <w:keepNext/>
      <w:tabs>
        <w:tab w:val="num" w:pos="0"/>
      </w:tabs>
      <w:contextualSpacing/>
      <w:outlineLvl w:val="0"/>
    </w:pPr>
    <w:rPr>
      <w:rFonts w:ascii="Verdana" w:hAnsi="Verdana"/>
    </w:rPr>
  </w:style>
  <w:style w:type="paragraph" w:styleId="NormalWeb">
    <w:name w:val="Normal (Web)"/>
    <w:basedOn w:val="Normal"/>
    <w:uiPriority w:val="99"/>
    <w:semiHidden/>
    <w:unhideWhenUsed/>
    <w:rsid w:val="0074188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D2051A"/>
    <w:rPr>
      <w:color w:val="605E5C"/>
      <w:shd w:val="clear" w:color="auto" w:fill="E1DFDD"/>
    </w:rPr>
  </w:style>
  <w:style w:type="paragraph" w:styleId="Revision">
    <w:name w:val="Revision"/>
    <w:hidden/>
    <w:uiPriority w:val="99"/>
    <w:semiHidden/>
    <w:rsid w:val="005319FC"/>
  </w:style>
  <w:style w:type="character" w:styleId="UnresolvedMention">
    <w:name w:val="Unresolved Mention"/>
    <w:basedOn w:val="DefaultParagraphFont"/>
    <w:uiPriority w:val="99"/>
    <w:semiHidden/>
    <w:unhideWhenUsed/>
    <w:rsid w:val="00501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1240">
      <w:bodyDiv w:val="1"/>
      <w:marLeft w:val="0"/>
      <w:marRight w:val="0"/>
      <w:marTop w:val="0"/>
      <w:marBottom w:val="0"/>
      <w:divBdr>
        <w:top w:val="none" w:sz="0" w:space="0" w:color="auto"/>
        <w:left w:val="none" w:sz="0" w:space="0" w:color="auto"/>
        <w:bottom w:val="none" w:sz="0" w:space="0" w:color="auto"/>
        <w:right w:val="none" w:sz="0" w:space="0" w:color="auto"/>
      </w:divBdr>
    </w:div>
    <w:div w:id="141894481">
      <w:bodyDiv w:val="1"/>
      <w:marLeft w:val="0"/>
      <w:marRight w:val="0"/>
      <w:marTop w:val="0"/>
      <w:marBottom w:val="0"/>
      <w:divBdr>
        <w:top w:val="none" w:sz="0" w:space="0" w:color="auto"/>
        <w:left w:val="none" w:sz="0" w:space="0" w:color="auto"/>
        <w:bottom w:val="none" w:sz="0" w:space="0" w:color="auto"/>
        <w:right w:val="none" w:sz="0" w:space="0" w:color="auto"/>
      </w:divBdr>
    </w:div>
    <w:div w:id="161816877">
      <w:bodyDiv w:val="1"/>
      <w:marLeft w:val="0"/>
      <w:marRight w:val="0"/>
      <w:marTop w:val="0"/>
      <w:marBottom w:val="0"/>
      <w:divBdr>
        <w:top w:val="none" w:sz="0" w:space="0" w:color="auto"/>
        <w:left w:val="none" w:sz="0" w:space="0" w:color="auto"/>
        <w:bottom w:val="none" w:sz="0" w:space="0" w:color="auto"/>
        <w:right w:val="none" w:sz="0" w:space="0" w:color="auto"/>
      </w:divBdr>
    </w:div>
    <w:div w:id="421610397">
      <w:bodyDiv w:val="1"/>
      <w:marLeft w:val="0"/>
      <w:marRight w:val="0"/>
      <w:marTop w:val="0"/>
      <w:marBottom w:val="0"/>
      <w:divBdr>
        <w:top w:val="none" w:sz="0" w:space="0" w:color="auto"/>
        <w:left w:val="none" w:sz="0" w:space="0" w:color="auto"/>
        <w:bottom w:val="none" w:sz="0" w:space="0" w:color="auto"/>
        <w:right w:val="none" w:sz="0" w:space="0" w:color="auto"/>
      </w:divBdr>
    </w:div>
    <w:div w:id="535703842">
      <w:bodyDiv w:val="1"/>
      <w:marLeft w:val="0"/>
      <w:marRight w:val="0"/>
      <w:marTop w:val="0"/>
      <w:marBottom w:val="0"/>
      <w:divBdr>
        <w:top w:val="none" w:sz="0" w:space="0" w:color="auto"/>
        <w:left w:val="none" w:sz="0" w:space="0" w:color="auto"/>
        <w:bottom w:val="none" w:sz="0" w:space="0" w:color="auto"/>
        <w:right w:val="none" w:sz="0" w:space="0" w:color="auto"/>
      </w:divBdr>
    </w:div>
    <w:div w:id="557981419">
      <w:bodyDiv w:val="1"/>
      <w:marLeft w:val="0"/>
      <w:marRight w:val="0"/>
      <w:marTop w:val="0"/>
      <w:marBottom w:val="0"/>
      <w:divBdr>
        <w:top w:val="none" w:sz="0" w:space="0" w:color="auto"/>
        <w:left w:val="none" w:sz="0" w:space="0" w:color="auto"/>
        <w:bottom w:val="none" w:sz="0" w:space="0" w:color="auto"/>
        <w:right w:val="none" w:sz="0" w:space="0" w:color="auto"/>
      </w:divBdr>
    </w:div>
    <w:div w:id="835801542">
      <w:bodyDiv w:val="1"/>
      <w:marLeft w:val="0"/>
      <w:marRight w:val="0"/>
      <w:marTop w:val="0"/>
      <w:marBottom w:val="0"/>
      <w:divBdr>
        <w:top w:val="none" w:sz="0" w:space="0" w:color="auto"/>
        <w:left w:val="none" w:sz="0" w:space="0" w:color="auto"/>
        <w:bottom w:val="none" w:sz="0" w:space="0" w:color="auto"/>
        <w:right w:val="none" w:sz="0" w:space="0" w:color="auto"/>
      </w:divBdr>
    </w:div>
    <w:div w:id="1163935513">
      <w:bodyDiv w:val="1"/>
      <w:marLeft w:val="0"/>
      <w:marRight w:val="0"/>
      <w:marTop w:val="0"/>
      <w:marBottom w:val="0"/>
      <w:divBdr>
        <w:top w:val="none" w:sz="0" w:space="0" w:color="auto"/>
        <w:left w:val="none" w:sz="0" w:space="0" w:color="auto"/>
        <w:bottom w:val="none" w:sz="0" w:space="0" w:color="auto"/>
        <w:right w:val="none" w:sz="0" w:space="0" w:color="auto"/>
      </w:divBdr>
    </w:div>
    <w:div w:id="1260872383">
      <w:bodyDiv w:val="1"/>
      <w:marLeft w:val="0"/>
      <w:marRight w:val="0"/>
      <w:marTop w:val="0"/>
      <w:marBottom w:val="0"/>
      <w:divBdr>
        <w:top w:val="none" w:sz="0" w:space="0" w:color="auto"/>
        <w:left w:val="none" w:sz="0" w:space="0" w:color="auto"/>
        <w:bottom w:val="none" w:sz="0" w:space="0" w:color="auto"/>
        <w:right w:val="none" w:sz="0" w:space="0" w:color="auto"/>
      </w:divBdr>
    </w:div>
    <w:div w:id="1274048870">
      <w:bodyDiv w:val="1"/>
      <w:marLeft w:val="0"/>
      <w:marRight w:val="0"/>
      <w:marTop w:val="0"/>
      <w:marBottom w:val="0"/>
      <w:divBdr>
        <w:top w:val="none" w:sz="0" w:space="0" w:color="auto"/>
        <w:left w:val="none" w:sz="0" w:space="0" w:color="auto"/>
        <w:bottom w:val="none" w:sz="0" w:space="0" w:color="auto"/>
        <w:right w:val="none" w:sz="0" w:space="0" w:color="auto"/>
      </w:divBdr>
    </w:div>
    <w:div w:id="1510633886">
      <w:bodyDiv w:val="1"/>
      <w:marLeft w:val="0"/>
      <w:marRight w:val="0"/>
      <w:marTop w:val="0"/>
      <w:marBottom w:val="0"/>
      <w:divBdr>
        <w:top w:val="none" w:sz="0" w:space="0" w:color="auto"/>
        <w:left w:val="none" w:sz="0" w:space="0" w:color="auto"/>
        <w:bottom w:val="none" w:sz="0" w:space="0" w:color="auto"/>
        <w:right w:val="none" w:sz="0" w:space="0" w:color="auto"/>
      </w:divBdr>
    </w:div>
    <w:div w:id="1595824561">
      <w:bodyDiv w:val="1"/>
      <w:marLeft w:val="0"/>
      <w:marRight w:val="0"/>
      <w:marTop w:val="0"/>
      <w:marBottom w:val="0"/>
      <w:divBdr>
        <w:top w:val="none" w:sz="0" w:space="0" w:color="auto"/>
        <w:left w:val="none" w:sz="0" w:space="0" w:color="auto"/>
        <w:bottom w:val="none" w:sz="0" w:space="0" w:color="auto"/>
        <w:right w:val="none" w:sz="0" w:space="0" w:color="auto"/>
      </w:divBdr>
    </w:div>
    <w:div w:id="1890720899">
      <w:bodyDiv w:val="1"/>
      <w:marLeft w:val="0"/>
      <w:marRight w:val="0"/>
      <w:marTop w:val="0"/>
      <w:marBottom w:val="0"/>
      <w:divBdr>
        <w:top w:val="none" w:sz="0" w:space="0" w:color="auto"/>
        <w:left w:val="none" w:sz="0" w:space="0" w:color="auto"/>
        <w:bottom w:val="none" w:sz="0" w:space="0" w:color="auto"/>
        <w:right w:val="none" w:sz="0" w:space="0" w:color="auto"/>
      </w:divBdr>
    </w:div>
    <w:div w:id="1959945261">
      <w:bodyDiv w:val="1"/>
      <w:marLeft w:val="0"/>
      <w:marRight w:val="0"/>
      <w:marTop w:val="0"/>
      <w:marBottom w:val="0"/>
      <w:divBdr>
        <w:top w:val="none" w:sz="0" w:space="0" w:color="auto"/>
        <w:left w:val="none" w:sz="0" w:space="0" w:color="auto"/>
        <w:bottom w:val="none" w:sz="0" w:space="0" w:color="auto"/>
        <w:right w:val="none" w:sz="0" w:space="0" w:color="auto"/>
      </w:divBdr>
    </w:div>
    <w:div w:id="2031491136">
      <w:bodyDiv w:val="1"/>
      <w:marLeft w:val="0"/>
      <w:marRight w:val="0"/>
      <w:marTop w:val="0"/>
      <w:marBottom w:val="0"/>
      <w:divBdr>
        <w:top w:val="none" w:sz="0" w:space="0" w:color="auto"/>
        <w:left w:val="none" w:sz="0" w:space="0" w:color="auto"/>
        <w:bottom w:val="none" w:sz="0" w:space="0" w:color="auto"/>
        <w:right w:val="none" w:sz="0" w:space="0" w:color="auto"/>
      </w:divBdr>
    </w:div>
    <w:div w:id="2137478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ad.ihrig@clearesult.com" TargetMode="External"/><Relationship Id="rId18" Type="http://schemas.openxmlformats.org/officeDocument/2006/relationships/hyperlink" Target="mailto:mborgeson@nrdc.org" TargetMode="External"/><Relationship Id="rId26" Type="http://schemas.openxmlformats.org/officeDocument/2006/relationships/hyperlink" Target="mailto:cyin@yinsight.net" TargetMode="External"/><Relationship Id="rId39" Type="http://schemas.openxmlformats.org/officeDocument/2006/relationships/hyperlink" Target="mailto:hernesman@whpa-inc.org" TargetMode="External"/><Relationship Id="rId21" Type="http://schemas.openxmlformats.org/officeDocument/2006/relationships/hyperlink" Target="mailto:a8s8@pge.com" TargetMode="External"/><Relationship Id="rId34" Type="http://schemas.openxmlformats.org/officeDocument/2006/relationships/hyperlink" Target="mailto:LMedina@isd.lacounty.gov" TargetMode="External"/><Relationship Id="rId42" Type="http://schemas.openxmlformats.org/officeDocument/2006/relationships/hyperlink" Target="mailto:christina.torok@cpuc.ca.gov" TargetMode="External"/><Relationship Id="rId47" Type="http://schemas.openxmlformats.org/officeDocument/2006/relationships/hyperlink" Target="mailto:meredith@concurinc.net"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kisch@energy-solution.com" TargetMode="External"/><Relationship Id="rId29" Type="http://schemas.openxmlformats.org/officeDocument/2006/relationships/hyperlink" Target="mailto:abesa@semprautilities.com" TargetMode="External"/><Relationship Id="rId11" Type="http://schemas.openxmlformats.org/officeDocument/2006/relationships/hyperlink" Target="mailto:beckie.menten@energycenter.org" TargetMode="External"/><Relationship Id="rId24" Type="http://schemas.openxmlformats.org/officeDocument/2006/relationships/hyperlink" Target="mailto:jesse.feinberg@sce.com" TargetMode="External"/><Relationship Id="rId32" Type="http://schemas.openxmlformats.org/officeDocument/2006/relationships/hyperlink" Target="mailto:epbrooks@semprautilities.com" TargetMode="External"/><Relationship Id="rId37" Type="http://schemas.openxmlformats.org/officeDocument/2006/relationships/hyperlink" Target="mailto:hayley@turn.org" TargetMode="External"/><Relationship Id="rId40" Type="http://schemas.openxmlformats.org/officeDocument/2006/relationships/hyperlink" Target="mailto:jharris@neea.org" TargetMode="External"/><Relationship Id="rId45" Type="http://schemas.openxmlformats.org/officeDocument/2006/relationships/hyperlink" Target="mailto:nicholas.janusch@energy.ca.gov"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sappel@bluegreenalliance.org" TargetMode="External"/><Relationship Id="rId19" Type="http://schemas.openxmlformats.org/officeDocument/2006/relationships/hyperlink" Target="mailto:daniel.buch@cpuc.ca.gov" TargetMode="External"/><Relationship Id="rId31" Type="http://schemas.openxmlformats.org/officeDocument/2006/relationships/hyperlink" Target="mailto:ivan@utilityadvocates.org" TargetMode="External"/><Relationship Id="rId44" Type="http://schemas.openxmlformats.org/officeDocument/2006/relationships/hyperlink" Target="mailto:brian.samuelson@energy.ca.go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mccenergy@gmail.com" TargetMode="External"/><Relationship Id="rId14" Type="http://schemas.openxmlformats.org/officeDocument/2006/relationships/hyperlink" Target="mailto:dan.suyeyasu@codecycle.com" TargetMode="External"/><Relationship Id="rId22" Type="http://schemas.openxmlformats.org/officeDocument/2006/relationships/hyperlink" Target="mailto:yesmgardner@gmail.com" TargetMode="External"/><Relationship Id="rId27" Type="http://schemas.openxmlformats.org/officeDocument/2006/relationships/hyperlink" Target="mailto:rmurali@semprautilities.com" TargetMode="External"/><Relationship Id="rId30" Type="http://schemas.openxmlformats.org/officeDocument/2006/relationships/hyperlink" Target="mailto:daved@smw104.org" TargetMode="External"/><Relationship Id="rId35" Type="http://schemas.openxmlformats.org/officeDocument/2006/relationships/hyperlink" Target="mailto:MSkolnik@isd.lacounty.gov" TargetMode="External"/><Relationship Id="rId43" Type="http://schemas.openxmlformats.org/officeDocument/2006/relationships/hyperlink" Target="mailto:Hal.Kane@cpuc.ca.gov" TargetMode="External"/><Relationship Id="rId48" Type="http://schemas.openxmlformats.org/officeDocument/2006/relationships/hyperlink" Target="mailto:ezuckerman@gmail.com" TargetMode="External"/><Relationship Id="rId8" Type="http://schemas.openxmlformats.org/officeDocument/2006/relationships/hyperlink" Target="mailto:ah@cedmc.org"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stephen.gunther@energycenter.org" TargetMode="External"/><Relationship Id="rId17" Type="http://schemas.openxmlformats.org/officeDocument/2006/relationships/hyperlink" Target="mailto:lettenson@nrdc.org" TargetMode="External"/><Relationship Id="rId25" Type="http://schemas.openxmlformats.org/officeDocument/2006/relationships/hyperlink" Target="mailto:kevin.m.thompson@sce.com" TargetMode="External"/><Relationship Id="rId33" Type="http://schemas.openxmlformats.org/officeDocument/2006/relationships/hyperlink" Target="mailto:ebgomez@semprautilities.com" TargetMode="External"/><Relationship Id="rId38" Type="http://schemas.openxmlformats.org/officeDocument/2006/relationships/hyperlink" Target="mailto:galawish@whpa-inc.org" TargetMode="External"/><Relationship Id="rId46" Type="http://schemas.openxmlformats.org/officeDocument/2006/relationships/hyperlink" Target="mailto:raab@raabassociates.org" TargetMode="External"/><Relationship Id="rId20" Type="http://schemas.openxmlformats.org/officeDocument/2006/relationships/hyperlink" Target="mailto:alexander.cole@cpuc.ca.gov" TargetMode="External"/><Relationship Id="rId41" Type="http://schemas.openxmlformats.org/officeDocument/2006/relationships/hyperlink" Target="mailto:DMoran@nee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Barnacle@energy-solution.com" TargetMode="External"/><Relationship Id="rId23" Type="http://schemas.openxmlformats.org/officeDocument/2006/relationships/hyperlink" Target="mailto:derek.okada@sce.com" TargetMode="External"/><Relationship Id="rId28" Type="http://schemas.openxmlformats.org/officeDocument/2006/relationships/hyperlink" Target="mailto:jemge@semprautilities.com" TargetMode="External"/><Relationship Id="rId36" Type="http://schemas.openxmlformats.org/officeDocument/2006/relationships/hyperlink" Target="mailto:mcosta@energycoalition.org"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454F-AB24-5148-8A75-D7424736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Cowart</dc:creator>
  <cp:keywords/>
  <dc:description/>
  <cp:lastModifiedBy>Susan Rivo</cp:lastModifiedBy>
  <cp:revision>2</cp:revision>
  <cp:lastPrinted>2019-01-17T07:42:00Z</cp:lastPrinted>
  <dcterms:created xsi:type="dcterms:W3CDTF">2019-03-27T01:27:00Z</dcterms:created>
  <dcterms:modified xsi:type="dcterms:W3CDTF">2019-03-27T01:27:00Z</dcterms:modified>
</cp:coreProperties>
</file>