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EB15C" w14:textId="2A7D9AFE" w:rsidR="00712C0F" w:rsidRPr="00AF70A4" w:rsidRDefault="00E15BC8" w:rsidP="00712C0F">
      <w:pPr>
        <w:pStyle w:val="Title"/>
        <w:rPr>
          <w:rFonts w:ascii="Calibri" w:eastAsia="Times New Roman" w:hAnsi="Calibri" w:cs="Calibri"/>
        </w:rPr>
      </w:pPr>
      <w:r w:rsidRPr="00AF70A4">
        <w:rPr>
          <w:rFonts w:ascii="Calibri" w:eastAsia="Times New Roman" w:hAnsi="Calibri" w:cs="Calibri"/>
        </w:rPr>
        <w:t xml:space="preserve">CPUC </w:t>
      </w:r>
      <w:r w:rsidR="00712C0F" w:rsidRPr="00AF70A4">
        <w:rPr>
          <w:rFonts w:ascii="Calibri" w:eastAsia="Times New Roman" w:hAnsi="Calibri" w:cs="Calibri"/>
        </w:rPr>
        <w:t>HTR Definitions</w:t>
      </w:r>
      <w:r w:rsidRPr="00AF70A4">
        <w:rPr>
          <w:rFonts w:ascii="Calibri" w:eastAsia="Times New Roman" w:hAnsi="Calibri" w:cs="Calibri"/>
        </w:rPr>
        <w:t xml:space="preserve"> and Context for CAEECC UWG</w:t>
      </w:r>
    </w:p>
    <w:p w14:paraId="0867DF04" w14:textId="264D9F41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 </w:t>
      </w:r>
      <w:r w:rsidR="00712C0F" w:rsidRPr="00AF70A4">
        <w:rPr>
          <w:rFonts w:ascii="Calibri" w:eastAsia="Times New Roman" w:hAnsi="Calibri" w:cs="Calibri"/>
          <w:color w:val="000000"/>
        </w:rPr>
        <w:t>10.20.2020</w:t>
      </w:r>
    </w:p>
    <w:p w14:paraId="757CC839" w14:textId="79FD6628" w:rsidR="00712C0F" w:rsidRPr="00AF70A4" w:rsidRDefault="00712C0F" w:rsidP="00712C0F">
      <w:pPr>
        <w:pStyle w:val="Heading1"/>
        <w:rPr>
          <w:rFonts w:ascii="Calibri" w:eastAsia="Times New Roman" w:hAnsi="Calibri" w:cs="Calibri"/>
        </w:rPr>
      </w:pPr>
      <w:r w:rsidRPr="00AF70A4">
        <w:rPr>
          <w:rFonts w:ascii="Calibri" w:eastAsia="Times New Roman" w:hAnsi="Calibri" w:cs="Calibri"/>
        </w:rPr>
        <w:t>Context</w:t>
      </w:r>
    </w:p>
    <w:p w14:paraId="439AC389" w14:textId="38701241" w:rsidR="00712C0F" w:rsidRPr="00AF70A4" w:rsidRDefault="00712C0F" w:rsidP="00680144">
      <w:pPr>
        <w:shd w:val="clear" w:color="auto" w:fill="FFFFFF"/>
        <w:rPr>
          <w:rFonts w:ascii="Calibri" w:hAnsi="Calibri" w:cs="Calibri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This document, based on an email from Nils Strindberg, Senior Policy Analyst at the CPUC, to the CAEECC Facilitators in October 2020, expounds</w:t>
      </w:r>
      <w:r w:rsidR="00680144" w:rsidRPr="00AF70A4">
        <w:rPr>
          <w:rFonts w:ascii="Calibri" w:eastAsia="Times New Roman" w:hAnsi="Calibri" w:cs="Calibri"/>
          <w:color w:val="000000"/>
        </w:rPr>
        <w:t xml:space="preserve"> </w:t>
      </w:r>
      <w:r w:rsidR="00FD514F">
        <w:rPr>
          <w:rFonts w:ascii="Calibri" w:eastAsia="Times New Roman" w:hAnsi="Calibri" w:cs="Calibri"/>
          <w:color w:val="000000"/>
        </w:rPr>
        <w:t xml:space="preserve">on </w:t>
      </w:r>
      <w:r w:rsidR="00680144" w:rsidRPr="00AF70A4">
        <w:rPr>
          <w:rFonts w:ascii="Calibri" w:eastAsia="Times New Roman" w:hAnsi="Calibri" w:cs="Calibri"/>
          <w:color w:val="000000"/>
        </w:rPr>
        <w:t>how the CPUC’s approved definition of HTR has evolved over time. </w:t>
      </w:r>
      <w:r w:rsidRPr="00AF70A4">
        <w:rPr>
          <w:rFonts w:ascii="Calibri" w:eastAsia="Times New Roman" w:hAnsi="Calibri" w:cs="Calibri"/>
          <w:color w:val="000000"/>
        </w:rPr>
        <w:t>The HTR definition is relevant to the Underserved Working Gro</w:t>
      </w:r>
      <w:r w:rsidR="00FD514F">
        <w:rPr>
          <w:rFonts w:ascii="Calibri" w:eastAsia="Times New Roman" w:hAnsi="Calibri" w:cs="Calibri"/>
          <w:color w:val="000000"/>
        </w:rPr>
        <w:t>up</w:t>
      </w:r>
      <w:r w:rsidRPr="00AF70A4">
        <w:rPr>
          <w:rFonts w:ascii="Calibri" w:eastAsia="Times New Roman" w:hAnsi="Calibri" w:cs="Calibri"/>
          <w:color w:val="000000"/>
        </w:rPr>
        <w:t xml:space="preserve"> because the CPUC has suggested that</w:t>
      </w:r>
      <w:r w:rsidRPr="00AF70A4">
        <w:rPr>
          <w:rFonts w:ascii="Calibri" w:hAnsi="Calibri" w:cs="Calibri"/>
          <w:sz w:val="22"/>
          <w:szCs w:val="22"/>
        </w:rPr>
        <w:t xml:space="preserve"> the appropriate regulatory approach after the Working Group has come up with a new definition would be to submit a motion to the </w:t>
      </w:r>
      <w:r w:rsidR="00A5115E" w:rsidRPr="00A5115E">
        <w:rPr>
          <w:rFonts w:ascii="Calibri" w:hAnsi="Calibri" w:cs="Calibri"/>
          <w:sz w:val="22"/>
          <w:szCs w:val="22"/>
        </w:rPr>
        <w:t>P</w:t>
      </w:r>
      <w:r w:rsidRPr="00A5115E">
        <w:rPr>
          <w:rFonts w:ascii="Calibri" w:hAnsi="Calibri" w:cs="Calibri"/>
          <w:sz w:val="22"/>
          <w:szCs w:val="22"/>
        </w:rPr>
        <w:t>roceeding</w:t>
      </w:r>
      <w:r w:rsidRPr="00AF70A4">
        <w:rPr>
          <w:rFonts w:ascii="Calibri" w:hAnsi="Calibri" w:cs="Calibri"/>
          <w:sz w:val="22"/>
          <w:szCs w:val="22"/>
        </w:rPr>
        <w:t xml:space="preserve"> to change the definition of HTR as adopted in Decision 18-05-041or a motion with a definition for underserved. </w:t>
      </w:r>
    </w:p>
    <w:p w14:paraId="13A361F2" w14:textId="38D57C51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</w:rPr>
      </w:pPr>
      <w:r w:rsidRPr="00AF70A4">
        <w:rPr>
          <w:rFonts w:ascii="Calibri" w:eastAsia="Times New Roman" w:hAnsi="Calibri" w:cs="Calibri"/>
          <w:color w:val="000000"/>
        </w:rPr>
        <w:t> </w:t>
      </w:r>
    </w:p>
    <w:p w14:paraId="710F1015" w14:textId="4475F057" w:rsidR="00712C0F" w:rsidRPr="00AF70A4" w:rsidRDefault="00712C0F" w:rsidP="00712C0F">
      <w:pPr>
        <w:pStyle w:val="Heading1"/>
        <w:rPr>
          <w:rFonts w:ascii="Calibri" w:eastAsia="Times New Roman" w:hAnsi="Calibri" w:cs="Calibri"/>
          <w:sz w:val="22"/>
          <w:szCs w:val="22"/>
        </w:rPr>
      </w:pPr>
      <w:r w:rsidRPr="00AF70A4">
        <w:rPr>
          <w:rFonts w:ascii="Calibri" w:eastAsia="Times New Roman" w:hAnsi="Calibri" w:cs="Calibri"/>
        </w:rPr>
        <w:t>Definitions</w:t>
      </w:r>
    </w:p>
    <w:p w14:paraId="7DF13596" w14:textId="77777777" w:rsidR="00680144" w:rsidRPr="00AF70A4" w:rsidRDefault="00680144" w:rsidP="00712C0F">
      <w:pPr>
        <w:pStyle w:val="Heading2"/>
        <w:rPr>
          <w:rFonts w:ascii="Calibri" w:eastAsia="Times New Roman" w:hAnsi="Calibri" w:cs="Calibri"/>
          <w:sz w:val="22"/>
          <w:szCs w:val="22"/>
        </w:rPr>
      </w:pPr>
      <w:r w:rsidRPr="00AF70A4">
        <w:rPr>
          <w:rFonts w:ascii="Calibri" w:eastAsia="Times New Roman" w:hAnsi="Calibri" w:cs="Calibri"/>
        </w:rPr>
        <w:t>Original Definition from</w:t>
      </w:r>
      <w:r w:rsidRPr="00AF70A4">
        <w:rPr>
          <w:rFonts w:ascii="Calibri" w:eastAsia="Times New Roman" w:hAnsi="Calibri" w:cs="Calibri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</w:rPr>
        <w:t xml:space="preserve">Attachment 1 (first EE Policy Manual </w:t>
      </w:r>
      <w:proofErr w:type="spellStart"/>
      <w:r w:rsidRPr="00AF70A4">
        <w:rPr>
          <w:rFonts w:ascii="Calibri" w:eastAsia="Times New Roman" w:hAnsi="Calibri" w:cs="Calibri"/>
        </w:rPr>
        <w:t>pg</w:t>
      </w:r>
      <w:proofErr w:type="spellEnd"/>
      <w:r w:rsidRPr="00AF70A4">
        <w:rPr>
          <w:rFonts w:ascii="Calibri" w:eastAsia="Times New Roman" w:hAnsi="Calibri" w:cs="Calibri"/>
        </w:rPr>
        <w:t xml:space="preserve"> 12-13)</w:t>
      </w:r>
      <w:r w:rsidRPr="00AF70A4">
        <w:rPr>
          <w:rFonts w:ascii="Calibri" w:eastAsia="Times New Roman" w:hAnsi="Calibri" w:cs="Calibri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</w:rPr>
        <w:t>D.01-11-066, the assumption was just one criteria had</w:t>
      </w:r>
      <w:r w:rsidRPr="00AF70A4">
        <w:rPr>
          <w:rFonts w:ascii="Calibri" w:eastAsia="Times New Roman" w:hAnsi="Calibri" w:cs="Calibri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</w:rPr>
        <w:t>be met: </w:t>
      </w:r>
    </w:p>
    <w:p w14:paraId="29A1AFEF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b/>
          <w:bCs/>
          <w:color w:val="000000"/>
        </w:rPr>
        <w:t> </w:t>
      </w:r>
      <w:r w:rsidRPr="00AF70A4">
        <w:rPr>
          <w:rFonts w:ascii="Calibri" w:eastAsia="Times New Roman" w:hAnsi="Calibri" w:cs="Calibri"/>
          <w:color w:val="000000"/>
        </w:rPr>
        <w:t> </w:t>
      </w:r>
    </w:p>
    <w:p w14:paraId="3AE721CA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b/>
          <w:bCs/>
          <w:color w:val="000000"/>
        </w:rPr>
        <w:t>Residential</w:t>
      </w:r>
      <w:r w:rsidRPr="00AF70A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 Hard</w:t>
      </w:r>
      <w:r w:rsidRPr="00AF70A4">
        <w:rPr>
          <w:rFonts w:ascii="Calibri" w:eastAsia="Times New Roman" w:hAnsi="Calibri" w:cs="Calibri"/>
          <w:b/>
          <w:bCs/>
          <w:color w:val="000000"/>
        </w:rPr>
        <w:t>-</w:t>
      </w:r>
      <w:r w:rsidRPr="00AF70A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to</w:t>
      </w:r>
      <w:r w:rsidRPr="00AF70A4">
        <w:rPr>
          <w:rFonts w:ascii="Calibri" w:eastAsia="Times New Roman" w:hAnsi="Calibri" w:cs="Calibri"/>
          <w:b/>
          <w:bCs/>
          <w:color w:val="000000"/>
        </w:rPr>
        <w:t>-</w:t>
      </w:r>
      <w:r w:rsidRPr="00AF70A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Reach</w:t>
      </w:r>
      <w:r w:rsidRPr="00AF70A4">
        <w:rPr>
          <w:rFonts w:ascii="Calibri" w:eastAsia="Times New Roman" w:hAnsi="Calibri" w:cs="Calibri"/>
          <w:color w:val="000000"/>
        </w:rPr>
        <w:t>:  Those customers who do not have easy access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program information or generally do not participate in energy efficiency programs due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a language, income, housing type, geographic, or home ownership (split incentives) barrier.  These barriers are defined as: </w:t>
      </w:r>
    </w:p>
    <w:p w14:paraId="5008248A" w14:textId="77777777" w:rsidR="00680144" w:rsidRPr="00AF70A4" w:rsidRDefault="00680144" w:rsidP="00680144">
      <w:pPr>
        <w:numPr>
          <w:ilvl w:val="0"/>
          <w:numId w:val="1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Language – Primary language spoken is other than English, and/or</w:t>
      </w:r>
      <w:r w:rsidRPr="00AF70A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36E9A06" w14:textId="77777777" w:rsidR="00680144" w:rsidRPr="00AF70A4" w:rsidRDefault="00680144" w:rsidP="00680144">
      <w:pPr>
        <w:numPr>
          <w:ilvl w:val="0"/>
          <w:numId w:val="2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Income – Those customers who fall into the moderate income level (income levels less than 400% of federal poverty guidelines), and/or</w:t>
      </w:r>
      <w:r w:rsidRPr="00AF70A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2517B47E" w14:textId="77777777" w:rsidR="00680144" w:rsidRPr="00AF70A4" w:rsidRDefault="00680144" w:rsidP="00680144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Housing Type – Multi-Family and Mobile Home Tenants, and/or</w:t>
      </w:r>
      <w:r w:rsidRPr="00AF70A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9741739" w14:textId="77777777" w:rsidR="00680144" w:rsidRPr="00AF70A4" w:rsidRDefault="00680144" w:rsidP="00680144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Geographic – Residents of areas other than the San Francisco Bay Area, San Diego area, Los Angeles Basin or Sacramento, and/or</w:t>
      </w:r>
      <w:r w:rsidRPr="00AF70A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15ABAA32" w14:textId="77777777" w:rsidR="00680144" w:rsidRPr="00AF70A4" w:rsidRDefault="00680144" w:rsidP="00680144">
      <w:pPr>
        <w:numPr>
          <w:ilvl w:val="0"/>
          <w:numId w:val="3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Homeownership – Renters</w:t>
      </w:r>
      <w:r w:rsidRPr="00AF70A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75ACF463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b/>
          <w:bCs/>
          <w:color w:val="000000"/>
        </w:rPr>
        <w:t> </w:t>
      </w:r>
      <w:r w:rsidRPr="00AF70A4">
        <w:rPr>
          <w:rFonts w:ascii="Calibri" w:eastAsia="Times New Roman" w:hAnsi="Calibri" w:cs="Calibri"/>
          <w:color w:val="000000"/>
        </w:rPr>
        <w:t> </w:t>
      </w:r>
    </w:p>
    <w:p w14:paraId="07286AF6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b/>
          <w:bCs/>
          <w:color w:val="000000"/>
        </w:rPr>
        <w:t>Nonresidential</w:t>
      </w:r>
      <w:r w:rsidRPr="00AF70A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 Hard</w:t>
      </w:r>
      <w:r w:rsidRPr="00AF70A4">
        <w:rPr>
          <w:rFonts w:ascii="Calibri" w:eastAsia="Times New Roman" w:hAnsi="Calibri" w:cs="Calibri"/>
          <w:b/>
          <w:bCs/>
          <w:color w:val="000000"/>
        </w:rPr>
        <w:t>-</w:t>
      </w:r>
      <w:r w:rsidRPr="00AF70A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to</w:t>
      </w:r>
      <w:r w:rsidRPr="00AF70A4">
        <w:rPr>
          <w:rFonts w:ascii="Calibri" w:eastAsia="Times New Roman" w:hAnsi="Calibri" w:cs="Calibri"/>
          <w:b/>
          <w:bCs/>
          <w:color w:val="000000"/>
        </w:rPr>
        <w:t>-</w:t>
      </w:r>
      <w:r w:rsidRPr="00AF70A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Reach</w:t>
      </w:r>
      <w:r w:rsidRPr="00AF70A4">
        <w:rPr>
          <w:rFonts w:ascii="Calibri" w:eastAsia="Times New Roman" w:hAnsi="Calibri" w:cs="Calibri"/>
          <w:b/>
          <w:bCs/>
          <w:color w:val="000000"/>
        </w:rPr>
        <w:t>: </w:t>
      </w:r>
      <w:r w:rsidRPr="00AF70A4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color w:val="000000"/>
        </w:rPr>
        <w:t>Those customers who do not have easy access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program information or generally do not participate in energy efficiency programs due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a language, business size, geographic, or lease (split incentive) barrier.  These barriers are defined as: </w:t>
      </w:r>
    </w:p>
    <w:p w14:paraId="349C0F8C" w14:textId="77777777" w:rsidR="00680144" w:rsidRPr="00AF70A4" w:rsidRDefault="00680144" w:rsidP="00680144">
      <w:pPr>
        <w:numPr>
          <w:ilvl w:val="0"/>
          <w:numId w:val="4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Language – Primary language spoken is other than English, and/or</w:t>
      </w:r>
      <w:r w:rsidRPr="00AF70A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20D3FD4" w14:textId="77777777" w:rsidR="00680144" w:rsidRPr="00AF70A4" w:rsidRDefault="00680144" w:rsidP="00680144">
      <w:pPr>
        <w:numPr>
          <w:ilvl w:val="0"/>
          <w:numId w:val="5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Business Size – Less than ten employees and/or classified as Very Small (as defined above), and/or</w:t>
      </w:r>
      <w:r w:rsidRPr="00AF70A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31569D48" w14:textId="77777777" w:rsidR="00680144" w:rsidRPr="00AF70A4" w:rsidRDefault="00680144" w:rsidP="00680144">
      <w:pPr>
        <w:numPr>
          <w:ilvl w:val="0"/>
          <w:numId w:val="6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Geographic – Businesses in areas other than the San Francisco Bay Area, San Diego area, Los Angeles Basin or Sacramento, and/or</w:t>
      </w:r>
      <w:r w:rsidRPr="00AF70A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62DC90E5" w14:textId="77777777" w:rsidR="00680144" w:rsidRPr="00AF70A4" w:rsidRDefault="00680144" w:rsidP="00680144">
      <w:pPr>
        <w:numPr>
          <w:ilvl w:val="0"/>
          <w:numId w:val="7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Lease – Investments in improvements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the building benefit the business only during the lease period; landlords benefit longer. </w:t>
      </w:r>
      <w:r w:rsidRPr="00AF70A4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42AF94CE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  </w:t>
      </w:r>
    </w:p>
    <w:p w14:paraId="64EC8717" w14:textId="77777777" w:rsidR="00680144" w:rsidRPr="00AF70A4" w:rsidRDefault="00680144" w:rsidP="00712C0F">
      <w:pPr>
        <w:pStyle w:val="Heading2"/>
        <w:rPr>
          <w:rFonts w:ascii="Calibri" w:eastAsia="Times New Roman" w:hAnsi="Calibri" w:cs="Calibri"/>
          <w:sz w:val="22"/>
          <w:szCs w:val="22"/>
        </w:rPr>
      </w:pPr>
      <w:r w:rsidRPr="00AF70A4">
        <w:rPr>
          <w:rFonts w:ascii="Calibri" w:eastAsia="Times New Roman" w:hAnsi="Calibri" w:cs="Calibri"/>
        </w:rPr>
        <w:lastRenderedPageBreak/>
        <w:t xml:space="preserve">From DEER resolution G-3497 </w:t>
      </w:r>
      <w:proofErr w:type="spellStart"/>
      <w:r w:rsidRPr="00AF70A4">
        <w:rPr>
          <w:rFonts w:ascii="Calibri" w:eastAsia="Times New Roman" w:hAnsi="Calibri" w:cs="Calibri"/>
        </w:rPr>
        <w:t>pgs</w:t>
      </w:r>
      <w:proofErr w:type="spellEnd"/>
      <w:r w:rsidRPr="00AF70A4">
        <w:rPr>
          <w:rFonts w:ascii="Calibri" w:eastAsia="Times New Roman" w:hAnsi="Calibri" w:cs="Calibri"/>
        </w:rPr>
        <w:t xml:space="preserve"> 63-64: </w:t>
      </w:r>
    </w:p>
    <w:p w14:paraId="6107588B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  </w:t>
      </w:r>
    </w:p>
    <w:p w14:paraId="71DCA881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Specific criteria were developed by staff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be used in classifying a customer as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hard</w:t>
      </w:r>
      <w:r w:rsidRPr="00AF70A4">
        <w:rPr>
          <w:rFonts w:ascii="Calibri" w:eastAsia="Times New Roman" w:hAnsi="Calibri" w:cs="Calibri"/>
          <w:color w:val="000000"/>
        </w:rPr>
        <w:t>-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to</w:t>
      </w:r>
      <w:r w:rsidRPr="00AF70A4">
        <w:rPr>
          <w:rFonts w:ascii="Calibri" w:eastAsia="Times New Roman" w:hAnsi="Calibri" w:cs="Calibri"/>
          <w:color w:val="000000"/>
        </w:rPr>
        <w:t>-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reach</w:t>
      </w:r>
      <w:r w:rsidRPr="00AF70A4">
        <w:rPr>
          <w:rFonts w:ascii="Calibri" w:eastAsia="Times New Roman" w:hAnsi="Calibri" w:cs="Calibri"/>
          <w:color w:val="000000"/>
          <w:shd w:val="clear" w:color="auto" w:fill="FFFFFF"/>
        </w:rPr>
        <w:t>. </w:t>
      </w:r>
      <w:r w:rsidRPr="00AF70A4">
        <w:rPr>
          <w:rFonts w:ascii="Calibri" w:eastAsia="Times New Roman" w:hAnsi="Calibri" w:cs="Calibri"/>
          <w:color w:val="000000"/>
          <w:u w:val="single"/>
          <w:shd w:val="clear" w:color="auto" w:fill="FFFFFF"/>
        </w:rPr>
        <w:t>Two criteria are considered sufficient if one of the criteria met is the geographic criteria defined below.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color w:val="000000"/>
        </w:rPr>
        <w:t>There are common as well as separate criteria when defining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hard</w:t>
      </w:r>
      <w:r w:rsidRPr="00AF70A4">
        <w:rPr>
          <w:rFonts w:ascii="Calibri" w:eastAsia="Times New Roman" w:hAnsi="Calibri" w:cs="Calibri"/>
          <w:color w:val="000000"/>
        </w:rPr>
        <w:t>-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to</w:t>
      </w:r>
      <w:r w:rsidRPr="00AF70A4">
        <w:rPr>
          <w:rFonts w:ascii="Calibri" w:eastAsia="Times New Roman" w:hAnsi="Calibri" w:cs="Calibri"/>
          <w:color w:val="000000"/>
        </w:rPr>
        <w:t>-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reach </w:t>
      </w:r>
      <w:r w:rsidRPr="00AF70A4">
        <w:rPr>
          <w:rFonts w:ascii="Calibri" w:eastAsia="Times New Roman" w:hAnsi="Calibri" w:cs="Calibri"/>
          <w:color w:val="000000"/>
        </w:rPr>
        <w:t>for residential versus small business customers. The barriers common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both include: </w:t>
      </w:r>
    </w:p>
    <w:p w14:paraId="39395F2A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 </w:t>
      </w:r>
    </w:p>
    <w:p w14:paraId="6904A34D" w14:textId="77777777" w:rsidR="00680144" w:rsidRPr="00AF70A4" w:rsidRDefault="00680144" w:rsidP="00680144">
      <w:pPr>
        <w:numPr>
          <w:ilvl w:val="1"/>
          <w:numId w:val="8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Those customers who do not have easy access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program information or generally do not participate in energy efficiency programs due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a combination of language, business size, geographic, and lease (split incentive) barriers. These barriers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consider include:</w:t>
      </w:r>
      <w:r w:rsidRPr="00AF70A4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14:paraId="71F9A107" w14:textId="77777777" w:rsidR="00680144" w:rsidRPr="00AF70A4" w:rsidRDefault="00680144" w:rsidP="00680144">
      <w:pPr>
        <w:numPr>
          <w:ilvl w:val="2"/>
          <w:numId w:val="8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Language</w:t>
      </w:r>
      <w:r w:rsidRPr="00AF70A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i/>
          <w:iCs/>
          <w:color w:val="000000"/>
        </w:rPr>
        <w:t>–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color w:val="000000"/>
        </w:rPr>
        <w:t>Primary language spoken is other than English, and/or</w:t>
      </w:r>
      <w:r w:rsidRPr="00AF70A4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14:paraId="10A38481" w14:textId="77777777" w:rsidR="00680144" w:rsidRPr="00AF70A4" w:rsidRDefault="00680144" w:rsidP="00680144">
      <w:pPr>
        <w:numPr>
          <w:ilvl w:val="2"/>
          <w:numId w:val="8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Geographic</w:t>
      </w:r>
      <w:r w:rsidRPr="00AF70A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i/>
          <w:iCs/>
          <w:color w:val="000000"/>
        </w:rPr>
        <w:t>–</w:t>
      </w:r>
      <w:r w:rsidRPr="00AF70A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color w:val="000000"/>
        </w:rPr>
        <w:t xml:space="preserve">Businesses or homes in areas other than the United States Office of Management and Budget Combined Statistical Areas of the San Francisco Bay Area, the Greater Los Angeles </w:t>
      </w:r>
      <w:proofErr w:type="gramStart"/>
      <w:r w:rsidRPr="00AF70A4">
        <w:rPr>
          <w:rFonts w:ascii="Calibri" w:eastAsia="Times New Roman" w:hAnsi="Calibri" w:cs="Calibri"/>
          <w:color w:val="000000"/>
        </w:rPr>
        <w:t>Area  and</w:t>
      </w:r>
      <w:proofErr w:type="gramEnd"/>
      <w:r w:rsidRPr="00AF70A4">
        <w:rPr>
          <w:rFonts w:ascii="Calibri" w:eastAsia="Times New Roman" w:hAnsi="Calibri" w:cs="Calibri"/>
          <w:color w:val="000000"/>
        </w:rPr>
        <w:t xml:space="preserve"> the Greater Sacramento Area or the Office of Management and Budget metropolitan statistical areas of San Diego County.</w:t>
      </w:r>
      <w:r w:rsidRPr="00AF70A4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14:paraId="6C1EFF2F" w14:textId="77777777" w:rsidR="00680144" w:rsidRPr="00AF70A4" w:rsidRDefault="00680144" w:rsidP="00680144">
      <w:pPr>
        <w:numPr>
          <w:ilvl w:val="1"/>
          <w:numId w:val="8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For small business added criteria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the above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consider:</w:t>
      </w:r>
      <w:r w:rsidRPr="00AF70A4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14:paraId="7C30A25C" w14:textId="77777777" w:rsidR="00680144" w:rsidRPr="00AF70A4" w:rsidRDefault="00680144" w:rsidP="00680144">
      <w:pPr>
        <w:numPr>
          <w:ilvl w:val="2"/>
          <w:numId w:val="8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Business Size</w:t>
      </w:r>
      <w:r w:rsidRPr="00AF70A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i/>
          <w:iCs/>
          <w:color w:val="000000"/>
        </w:rPr>
        <w:t>–</w:t>
      </w:r>
      <w:r w:rsidRPr="00AF70A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color w:val="000000"/>
        </w:rPr>
        <w:t>Less than ten employees and/or classified as Very Small (Customers whose annual electric demand is less than 20kW, or whose annual gas consumption is less than 10,000 therm, or both</w:t>
      </w:r>
      <w:proofErr w:type="gramStart"/>
      <w:r w:rsidRPr="00AF70A4">
        <w:rPr>
          <w:rFonts w:ascii="Calibri" w:eastAsia="Times New Roman" w:hAnsi="Calibri" w:cs="Calibri"/>
          <w:color w:val="000000"/>
        </w:rPr>
        <w:t>) ,</w:t>
      </w:r>
      <w:proofErr w:type="gramEnd"/>
      <w:r w:rsidRPr="00AF70A4">
        <w:rPr>
          <w:rFonts w:ascii="Calibri" w:eastAsia="Times New Roman" w:hAnsi="Calibri" w:cs="Calibri"/>
          <w:color w:val="000000"/>
        </w:rPr>
        <w:t xml:space="preserve"> and/or</w:t>
      </w:r>
      <w:r w:rsidRPr="00AF70A4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14:paraId="70D1A006" w14:textId="77777777" w:rsidR="00680144" w:rsidRPr="00AF70A4" w:rsidRDefault="00680144" w:rsidP="00680144">
      <w:pPr>
        <w:numPr>
          <w:ilvl w:val="2"/>
          <w:numId w:val="8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Leased or Rented Facilities</w:t>
      </w:r>
      <w:r w:rsidRPr="00AF70A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i/>
          <w:iCs/>
          <w:color w:val="000000"/>
        </w:rPr>
        <w:t>–</w:t>
      </w:r>
      <w:r w:rsidRPr="00AF70A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color w:val="000000"/>
        </w:rPr>
        <w:t>Investments in improvements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a facility rented or leased by a participating business customer</w:t>
      </w:r>
      <w:r w:rsidRPr="00AF70A4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14:paraId="34F50915" w14:textId="77777777" w:rsidR="00680144" w:rsidRPr="00AF70A4" w:rsidRDefault="00680144" w:rsidP="00680144">
      <w:pPr>
        <w:numPr>
          <w:ilvl w:val="1"/>
          <w:numId w:val="8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For residential added criteria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the above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consider:</w:t>
      </w:r>
      <w:r w:rsidRPr="00AF70A4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14:paraId="376A2AB2" w14:textId="77777777" w:rsidR="00680144" w:rsidRPr="00AF70A4" w:rsidRDefault="00680144" w:rsidP="00680144">
      <w:pPr>
        <w:numPr>
          <w:ilvl w:val="2"/>
          <w:numId w:val="8"/>
        </w:num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Income</w:t>
      </w:r>
      <w:r w:rsidRPr="00AF70A4">
        <w:rPr>
          <w:rFonts w:ascii="Calibri" w:eastAsia="Times New Roman" w:hAnsi="Calibri" w:cs="Calibri"/>
          <w:i/>
          <w:iCs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i/>
          <w:iCs/>
          <w:color w:val="000000"/>
        </w:rPr>
        <w:t>–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  <w:r w:rsidRPr="00AF70A4">
        <w:rPr>
          <w:rFonts w:ascii="Calibri" w:eastAsia="Times New Roman" w:hAnsi="Calibri" w:cs="Calibri"/>
          <w:color w:val="000000"/>
        </w:rPr>
        <w:t>Those customers who qualify for the California Alternative Rates for Energy (CARE) or the Family Electric Rate Assistance Program (FERA), and/or</w:t>
      </w:r>
      <w:r w:rsidRPr="00AF70A4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14:paraId="7EF4ADC0" w14:textId="77777777" w:rsidR="00680144" w:rsidRPr="00AF70A4" w:rsidRDefault="00680144" w:rsidP="00680144">
      <w:pPr>
        <w:shd w:val="clear" w:color="auto" w:fill="FFFFFF"/>
        <w:ind w:left="2160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14:paraId="0BBA9CB5" w14:textId="77777777" w:rsidR="00680144" w:rsidRPr="00AF70A4" w:rsidRDefault="00680144" w:rsidP="00712C0F">
      <w:pPr>
        <w:pStyle w:val="Heading2"/>
        <w:rPr>
          <w:rFonts w:ascii="Calibri" w:eastAsia="Times New Roman" w:hAnsi="Calibri" w:cs="Calibri"/>
          <w:sz w:val="22"/>
          <w:szCs w:val="22"/>
        </w:rPr>
      </w:pPr>
      <w:r w:rsidRPr="00AF70A4">
        <w:rPr>
          <w:rFonts w:ascii="Calibri" w:eastAsia="Times New Roman" w:hAnsi="Calibri" w:cs="Calibri"/>
        </w:rPr>
        <w:t>From page 48 of D.18-05-041: </w:t>
      </w:r>
    </w:p>
    <w:p w14:paraId="111A8C45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  </w:t>
      </w:r>
    </w:p>
    <w:p w14:paraId="4283F59A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In response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comments on the proposed decision, we acknowledge the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hard</w:t>
      </w:r>
      <w:r w:rsidRPr="00AF70A4">
        <w:rPr>
          <w:rFonts w:ascii="Calibri" w:eastAsia="Times New Roman" w:hAnsi="Calibri" w:cs="Calibri"/>
          <w:color w:val="000000"/>
        </w:rPr>
        <w:t>-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to</w:t>
      </w:r>
      <w:r w:rsidRPr="00AF70A4">
        <w:rPr>
          <w:rFonts w:ascii="Calibri" w:eastAsia="Times New Roman" w:hAnsi="Calibri" w:cs="Calibri"/>
          <w:color w:val="000000"/>
        </w:rPr>
        <w:t>-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reach </w:t>
      </w:r>
      <w:r w:rsidRPr="00AF70A4">
        <w:rPr>
          <w:rFonts w:ascii="Calibri" w:eastAsia="Times New Roman" w:hAnsi="Calibri" w:cs="Calibri"/>
          <w:color w:val="000000"/>
        </w:rPr>
        <w:t>definition in Resolution G-3497 may be overly narrow, although we maintain that the definition in the Policy Manual is overly broad.  A party comment on the PD was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to </w:t>
      </w:r>
      <w:r w:rsidRPr="00AF70A4">
        <w:rPr>
          <w:rFonts w:ascii="Calibri" w:eastAsia="Times New Roman" w:hAnsi="Calibri" w:cs="Calibri"/>
          <w:color w:val="000000"/>
        </w:rPr>
        <w:t>include disadvantaged communities (as designated by CalEPA) in the geographic criteria or</w:t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 hard</w:t>
      </w:r>
      <w:r w:rsidRPr="00AF70A4">
        <w:rPr>
          <w:rFonts w:ascii="Calibri" w:eastAsia="Times New Roman" w:hAnsi="Calibri" w:cs="Calibri"/>
          <w:color w:val="000000"/>
        </w:rPr>
        <w:noBreakHyphen/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to</w:t>
      </w:r>
      <w:r w:rsidRPr="00AF70A4">
        <w:rPr>
          <w:rFonts w:ascii="Calibri" w:eastAsia="Times New Roman" w:hAnsi="Calibri" w:cs="Calibri"/>
          <w:color w:val="000000"/>
        </w:rPr>
        <w:noBreakHyphen/>
      </w:r>
      <w:r w:rsidRPr="00AF70A4">
        <w:rPr>
          <w:rFonts w:ascii="Calibri" w:eastAsia="Times New Roman" w:hAnsi="Calibri" w:cs="Calibri"/>
          <w:color w:val="000000"/>
          <w:bdr w:val="none" w:sz="0" w:space="0" w:color="auto" w:frame="1"/>
        </w:rPr>
        <w:t>reach </w:t>
      </w:r>
      <w:r w:rsidRPr="00AF70A4">
        <w:rPr>
          <w:rFonts w:ascii="Calibri" w:eastAsia="Times New Roman" w:hAnsi="Calibri" w:cs="Calibri"/>
          <w:color w:val="000000"/>
        </w:rPr>
        <w:t>customers.  Given the overlap in socioeconomic characteristics of both classifications and their closely related policy objectives, the Commission found it reasonable to adopt the recommended modification. </w:t>
      </w:r>
    </w:p>
    <w:p w14:paraId="5B71FA2C" w14:textId="77777777" w:rsidR="00680144" w:rsidRPr="00AF70A4" w:rsidRDefault="00680144" w:rsidP="00680144">
      <w:pPr>
        <w:shd w:val="clear" w:color="auto" w:fill="FFFFFF"/>
        <w:rPr>
          <w:rFonts w:ascii="Calibri" w:eastAsia="Times New Roman" w:hAnsi="Calibri" w:cs="Calibri"/>
          <w:color w:val="000000"/>
          <w:sz w:val="22"/>
          <w:szCs w:val="22"/>
        </w:rPr>
      </w:pPr>
      <w:r w:rsidRPr="00AF70A4">
        <w:rPr>
          <w:rFonts w:ascii="Calibri" w:eastAsia="Times New Roman" w:hAnsi="Calibri" w:cs="Calibri"/>
          <w:color w:val="000000"/>
        </w:rPr>
        <w:t> </w:t>
      </w:r>
    </w:p>
    <w:p w14:paraId="3562065A" w14:textId="77777777" w:rsidR="00086F36" w:rsidRPr="00AF70A4" w:rsidRDefault="00086F36">
      <w:pPr>
        <w:rPr>
          <w:rFonts w:ascii="Calibri" w:hAnsi="Calibri" w:cs="Calibri"/>
        </w:rPr>
      </w:pPr>
    </w:p>
    <w:sectPr w:rsidR="00086F36" w:rsidRPr="00AF70A4" w:rsidSect="00DE1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00CD4"/>
    <w:multiLevelType w:val="multilevel"/>
    <w:tmpl w:val="8FCA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E23F7A"/>
    <w:multiLevelType w:val="multilevel"/>
    <w:tmpl w:val="FA68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BA2F6E"/>
    <w:multiLevelType w:val="multilevel"/>
    <w:tmpl w:val="8088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EC5D17"/>
    <w:multiLevelType w:val="multilevel"/>
    <w:tmpl w:val="F018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783BBF"/>
    <w:multiLevelType w:val="multilevel"/>
    <w:tmpl w:val="85B4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E600DF"/>
    <w:multiLevelType w:val="multilevel"/>
    <w:tmpl w:val="53BC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405549"/>
    <w:multiLevelType w:val="multilevel"/>
    <w:tmpl w:val="4F04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B386870"/>
    <w:multiLevelType w:val="multilevel"/>
    <w:tmpl w:val="BF887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44"/>
    <w:rsid w:val="00086F36"/>
    <w:rsid w:val="00680144"/>
    <w:rsid w:val="00712C0F"/>
    <w:rsid w:val="00A5115E"/>
    <w:rsid w:val="00AF70A4"/>
    <w:rsid w:val="00DE1689"/>
    <w:rsid w:val="00E15BC8"/>
    <w:rsid w:val="00F44E8F"/>
    <w:rsid w:val="00FD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02E89B9"/>
  <w15:docId w15:val="{B20EDCF1-E4CE-9A44-B54C-B04B3BDF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C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C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0144"/>
  </w:style>
  <w:style w:type="paragraph" w:styleId="Title">
    <w:name w:val="Title"/>
    <w:basedOn w:val="Normal"/>
    <w:next w:val="Normal"/>
    <w:link w:val="TitleChar"/>
    <w:uiPriority w:val="10"/>
    <w:qFormat/>
    <w:rsid w:val="00712C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C0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0F"/>
    <w:rPr>
      <w:rFonts w:ascii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12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12C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D514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1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14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14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1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98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Mckeague Abrams</dc:creator>
  <cp:keywords/>
  <dc:description/>
  <cp:lastModifiedBy>Katherine Mckeague Abrams</cp:lastModifiedBy>
  <cp:revision>3</cp:revision>
  <dcterms:created xsi:type="dcterms:W3CDTF">2020-10-20T20:59:00Z</dcterms:created>
  <dcterms:modified xsi:type="dcterms:W3CDTF">2020-10-20T21:17:00Z</dcterms:modified>
</cp:coreProperties>
</file>