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2DDA" w14:textId="73EA9506" w:rsidR="006F7A9B" w:rsidRPr="00886EAC" w:rsidRDefault="00886EAC">
      <w:pPr>
        <w:rPr>
          <w:b/>
          <w:bCs/>
          <w:sz w:val="28"/>
          <w:szCs w:val="28"/>
        </w:rPr>
      </w:pPr>
      <w:r w:rsidRPr="00886EAC">
        <w:rPr>
          <w:b/>
          <w:bCs/>
          <w:sz w:val="28"/>
          <w:szCs w:val="28"/>
        </w:rPr>
        <w:t>Explanation for SBUA Recommended Market Support Objective and Metric</w:t>
      </w:r>
    </w:p>
    <w:p w14:paraId="676D3005" w14:textId="62D82E5E" w:rsidR="00886EAC" w:rsidRDefault="00886EAC"/>
    <w:p w14:paraId="1A77C456" w14:textId="7FB3D834" w:rsidR="00886EAC" w:rsidRDefault="00886EAC"/>
    <w:p w14:paraId="317A2F3D" w14:textId="06F76A80" w:rsidR="00886EAC" w:rsidRDefault="00886EAC">
      <w:r>
        <w:t xml:space="preserve">Small Business Utility Advocates (SBUA) generally supports the </w:t>
      </w:r>
      <w:proofErr w:type="spellStart"/>
      <w:r>
        <w:t>CalPA</w:t>
      </w:r>
      <w:proofErr w:type="spellEnd"/>
      <w:r>
        <w:t xml:space="preserve"> proposed objectives and metrics, contingent upon modifications to those objectives and metrics as discussed in the first Market Support WG meeting.</w:t>
      </w:r>
    </w:p>
    <w:p w14:paraId="5B684459" w14:textId="4A12ECCA" w:rsidR="00886EAC" w:rsidRDefault="00886EAC"/>
    <w:p w14:paraId="5312CEC8" w14:textId="27136FFB" w:rsidR="00886EAC" w:rsidRDefault="00886EAC">
      <w:r>
        <w:t xml:space="preserve">SBUA </w:t>
      </w:r>
      <w:r w:rsidRPr="00BA54D5">
        <w:t>recommends adding an additional objective and metric:</w:t>
      </w:r>
    </w:p>
    <w:p w14:paraId="2FBBB9FD" w14:textId="4FDAF587" w:rsidR="00886EAC" w:rsidRDefault="00886EAC"/>
    <w:p w14:paraId="1E0A14FC" w14:textId="469FA0CC" w:rsidR="00886EAC" w:rsidRDefault="00886EAC">
      <w:r w:rsidRPr="00820CAA">
        <w:rPr>
          <w:b/>
          <w:bCs/>
        </w:rPr>
        <w:t>Objective:</w:t>
      </w:r>
      <w:r>
        <w:t xml:space="preserve"> A</w:t>
      </w:r>
      <w:r w:rsidRPr="00886EAC">
        <w:t>chieving energy efficiency savings for customers in relative proportion to which they value those energy efficiency savings</w:t>
      </w:r>
    </w:p>
    <w:p w14:paraId="74E896A9" w14:textId="19E8C875" w:rsidR="00886EAC" w:rsidRDefault="00886EAC"/>
    <w:p w14:paraId="19147FCB" w14:textId="04DBD50F" w:rsidR="00886EAC" w:rsidRDefault="00886EAC">
      <w:r w:rsidRPr="00820CAA">
        <w:rPr>
          <w:b/>
          <w:bCs/>
        </w:rPr>
        <w:t>Metric:</w:t>
      </w:r>
      <w:r>
        <w:t xml:space="preserve"> A</w:t>
      </w:r>
      <w:r w:rsidRPr="00886EAC">
        <w:t xml:space="preserve">chieve EE savings in </w:t>
      </w:r>
      <w:r w:rsidR="00605CFB">
        <w:t xml:space="preserve">a </w:t>
      </w:r>
      <w:r w:rsidRPr="00886EAC">
        <w:t>customer sub-sector in same proportion as</w:t>
      </w:r>
      <w:r w:rsidR="00820CAA">
        <w:t xml:space="preserve"> the</w:t>
      </w:r>
      <w:r w:rsidRPr="00886EAC">
        <w:t xml:space="preserve"> sub-sector </w:t>
      </w:r>
      <w:r>
        <w:t>Net to Gross (</w:t>
      </w:r>
      <w:r w:rsidRPr="00886EAC">
        <w:t>NTG</w:t>
      </w:r>
      <w:r>
        <w:t>)</w:t>
      </w:r>
      <w:r w:rsidRPr="00886EAC">
        <w:t xml:space="preserve"> Ratio relative to average customer sector NTG ratio</w:t>
      </w:r>
      <w:r>
        <w:t xml:space="preserve">.  For example, for HTR/DAC customers in the </w:t>
      </w:r>
      <w:r w:rsidR="00605CFB">
        <w:t>c</w:t>
      </w:r>
      <w:r>
        <w:t xml:space="preserve">ommercial sector, the NTG is .85, and the average </w:t>
      </w:r>
      <w:r w:rsidR="00605CFB">
        <w:t>c</w:t>
      </w:r>
      <w:r>
        <w:t>ommercial sector customer NTG is .60. The relative value that HTR</w:t>
      </w:r>
      <w:r w:rsidR="0072437A">
        <w:t>/</w:t>
      </w:r>
      <w:proofErr w:type="gramStart"/>
      <w:r w:rsidR="0072437A">
        <w:t xml:space="preserve">DAC </w:t>
      </w:r>
      <w:r>
        <w:t xml:space="preserve"> </w:t>
      </w:r>
      <w:r w:rsidR="00605CFB">
        <w:t>c</w:t>
      </w:r>
      <w:r>
        <w:t>ommercial</w:t>
      </w:r>
      <w:proofErr w:type="gramEnd"/>
      <w:r>
        <w:t xml:space="preserve"> customers place on EE savings vis a vis the average </w:t>
      </w:r>
      <w:r w:rsidR="00605CFB">
        <w:t>c</w:t>
      </w:r>
      <w:r>
        <w:t>ommercial customers is 1.4 times greater (.85/.60 = 1.4).</w:t>
      </w:r>
      <w:r w:rsidR="00820CAA">
        <w:t xml:space="preserve"> In this example, the metric would be to achieve EE </w:t>
      </w:r>
      <w:proofErr w:type="gramStart"/>
      <w:r w:rsidR="00820CAA">
        <w:t>savings  for</w:t>
      </w:r>
      <w:proofErr w:type="gramEnd"/>
      <w:r w:rsidR="00820CAA">
        <w:t xml:space="preserve"> HTR/DAC commercial customers</w:t>
      </w:r>
    </w:p>
    <w:p w14:paraId="78E0508B" w14:textId="507ED33D" w:rsidR="00AD6567" w:rsidRDefault="00AD6567"/>
    <w:p w14:paraId="2C7AB6FC" w14:textId="5CC6DA67" w:rsidR="00AD6567" w:rsidRDefault="00AD6567">
      <w:r>
        <w:t>CPUC currently calculates HTR</w:t>
      </w:r>
      <w:r w:rsidR="0072437A">
        <w:t>/DAC</w:t>
      </w:r>
      <w:r>
        <w:t xml:space="preserve"> NTG values for only residential and commercial customers</w:t>
      </w:r>
      <w:r w:rsidR="00085E78">
        <w:t>, and consequently this objective and metric might only be applied for residential and commercial HTR</w:t>
      </w:r>
      <w:r w:rsidR="0072437A">
        <w:t>/DAC</w:t>
      </w:r>
      <w:r w:rsidR="00085E78">
        <w:t xml:space="preserve"> customers.</w:t>
      </w:r>
    </w:p>
    <w:p w14:paraId="3CCB4C84" w14:textId="5E433C97" w:rsidR="00605CFB" w:rsidRDefault="00605CFB"/>
    <w:p w14:paraId="5478687C" w14:textId="65FAA1E6" w:rsidR="00605CFB" w:rsidRDefault="00085E78">
      <w:r>
        <w:t>However, s</w:t>
      </w:r>
      <w:r w:rsidR="00605CFB">
        <w:t xml:space="preserve">imilar </w:t>
      </w:r>
      <w:r>
        <w:t xml:space="preserve">NTG </w:t>
      </w:r>
      <w:r w:rsidR="00605CFB">
        <w:t xml:space="preserve">metrics </w:t>
      </w:r>
      <w:r>
        <w:t>might</w:t>
      </w:r>
      <w:r w:rsidR="00605CFB">
        <w:t xml:space="preserve"> be determined for other customer sectors, including:</w:t>
      </w:r>
    </w:p>
    <w:p w14:paraId="6614E4A9" w14:textId="7227D8E0" w:rsidR="00085E78" w:rsidRDefault="00085E78"/>
    <w:p w14:paraId="7DB7EE9A" w14:textId="6655DDDD" w:rsidR="00121C85" w:rsidRDefault="00121C85">
      <w:r>
        <w:t xml:space="preserve">Environmental Social Justice (ESJ) Communities </w:t>
      </w:r>
    </w:p>
    <w:p w14:paraId="5A19323C" w14:textId="6925B16F" w:rsidR="00605CFB" w:rsidRDefault="00605CFB">
      <w:r>
        <w:t>Industrial</w:t>
      </w:r>
    </w:p>
    <w:p w14:paraId="1DEE9C78" w14:textId="6E347AE0" w:rsidR="00605CFB" w:rsidRDefault="00605CFB">
      <w:r>
        <w:t>Public</w:t>
      </w:r>
    </w:p>
    <w:p w14:paraId="6E5AD20B" w14:textId="5E1A70C4" w:rsidR="00605CFB" w:rsidRDefault="00605CFB">
      <w:r>
        <w:t>Agriculture</w:t>
      </w:r>
    </w:p>
    <w:p w14:paraId="24D190CB" w14:textId="77777777" w:rsidR="00121C85" w:rsidRDefault="00AD6567">
      <w:r>
        <w:t xml:space="preserve">Schools </w:t>
      </w:r>
    </w:p>
    <w:p w14:paraId="3764F9D4" w14:textId="16AC7C43" w:rsidR="00AD6567" w:rsidRDefault="00121C85">
      <w:r>
        <w:t>Transmission-, Distribution-, or Generation-</w:t>
      </w:r>
      <w:r w:rsidR="00AD6567">
        <w:t xml:space="preserve">Constrained Areas </w:t>
      </w:r>
    </w:p>
    <w:p w14:paraId="2062D92C" w14:textId="74DE461B" w:rsidR="00AD6567" w:rsidRDefault="00AD6567">
      <w:r>
        <w:t>Water-Energy Measures</w:t>
      </w:r>
    </w:p>
    <w:p w14:paraId="0E346A81" w14:textId="0BE69189" w:rsidR="00085E78" w:rsidRDefault="00085E78"/>
    <w:p w14:paraId="2769F0DD" w14:textId="0F04E182" w:rsidR="00085E78" w:rsidRDefault="00085E78">
      <w:r>
        <w:t xml:space="preserve">Also, residential customers </w:t>
      </w:r>
      <w:r w:rsidR="00F04E5F">
        <w:t xml:space="preserve">metrics </w:t>
      </w:r>
      <w:r>
        <w:t>could be further refined to single-family versus multi-family NTG ratios, and commercial</w:t>
      </w:r>
      <w:r w:rsidR="00F04E5F">
        <w:t xml:space="preserve"> metrics</w:t>
      </w:r>
      <w:r>
        <w:t xml:space="preserve"> can be further refined to small, medium, and large NTG ratios.</w:t>
      </w:r>
    </w:p>
    <w:p w14:paraId="75A75D07" w14:textId="30A8BDEB" w:rsidR="00651736" w:rsidRDefault="00651736"/>
    <w:p w14:paraId="548ABB42" w14:textId="5A51616D" w:rsidR="00651736" w:rsidRDefault="00651736">
      <w:r>
        <w:t xml:space="preserve">Furthermore, residential </w:t>
      </w:r>
      <w:r w:rsidR="00121C85">
        <w:t xml:space="preserve">sector </w:t>
      </w:r>
      <w:r>
        <w:t>could be refined into end use NTG ratios, such as:</w:t>
      </w:r>
    </w:p>
    <w:p w14:paraId="44BDBBF2" w14:textId="181494F4" w:rsidR="00651736" w:rsidRDefault="00651736">
      <w:r>
        <w:t>*</w:t>
      </w:r>
      <w:r w:rsidR="0072437A">
        <w:t xml:space="preserve"> </w:t>
      </w:r>
      <w:r>
        <w:t>Lighting</w:t>
      </w:r>
    </w:p>
    <w:p w14:paraId="1184CD9B" w14:textId="07051C35" w:rsidR="00651736" w:rsidRDefault="00651736">
      <w:r>
        <w:t>* Appliances</w:t>
      </w:r>
    </w:p>
    <w:p w14:paraId="6A17DB71" w14:textId="7C55179B" w:rsidR="00651736" w:rsidRDefault="00651736">
      <w:r>
        <w:t>* Central AC</w:t>
      </w:r>
    </w:p>
    <w:p w14:paraId="67778F84" w14:textId="14847303" w:rsidR="00651736" w:rsidRDefault="00651736">
      <w:r>
        <w:t>* New Construction</w:t>
      </w:r>
    </w:p>
    <w:p w14:paraId="383CE6E6" w14:textId="1372D0DC" w:rsidR="00651736" w:rsidRDefault="00651736"/>
    <w:p w14:paraId="36C35074" w14:textId="29EE8204" w:rsidR="00651736" w:rsidRDefault="00651736">
      <w:r>
        <w:lastRenderedPageBreak/>
        <w:t xml:space="preserve">Commercial </w:t>
      </w:r>
      <w:r w:rsidR="00121C85">
        <w:t xml:space="preserve">sector </w:t>
      </w:r>
      <w:r>
        <w:t>could be refined into end use NTG ratios, such as:</w:t>
      </w:r>
    </w:p>
    <w:p w14:paraId="0BEE0EE5" w14:textId="46BE12CD" w:rsidR="00651736" w:rsidRDefault="00651736"/>
    <w:p w14:paraId="04E41160" w14:textId="3AA36569" w:rsidR="00651736" w:rsidRDefault="00651736">
      <w:r>
        <w:t>* Lighting</w:t>
      </w:r>
    </w:p>
    <w:p w14:paraId="7A0AFA97" w14:textId="7FC8D3D4" w:rsidR="00651736" w:rsidRDefault="00651736">
      <w:r>
        <w:t>* HVAC</w:t>
      </w:r>
    </w:p>
    <w:p w14:paraId="56737642" w14:textId="35DFA053" w:rsidR="00651736" w:rsidRDefault="00651736">
      <w:r>
        <w:t>* Refrigeration</w:t>
      </w:r>
    </w:p>
    <w:p w14:paraId="5F164EB7" w14:textId="78AF4EDB" w:rsidR="00651736" w:rsidRDefault="00651736">
      <w:r>
        <w:t>* New Construction</w:t>
      </w:r>
    </w:p>
    <w:p w14:paraId="78711B9F" w14:textId="671CAA8B" w:rsidR="00651736" w:rsidRDefault="00651736"/>
    <w:p w14:paraId="51C79520" w14:textId="132750DD" w:rsidR="00D926CE" w:rsidRDefault="00D926CE">
      <w:r>
        <w:t>However, to facilitate the implementation of this objective, it is recommended that the initial focus start with residential HTR/DAC customers and small commercial HTR/DAC customers</w:t>
      </w:r>
      <w:r w:rsidR="00121C85">
        <w:t xml:space="preserve">, as well ESJ communities. </w:t>
      </w:r>
      <w:r>
        <w:t>Extending the objective and metrics to other customer segments could be subsequently evaluated and considered.</w:t>
      </w:r>
    </w:p>
    <w:p w14:paraId="566168A8" w14:textId="71F8C9FF" w:rsidR="00D926CE" w:rsidRDefault="00D926CE"/>
    <w:p w14:paraId="706A3B16" w14:textId="77777777" w:rsidR="00D926CE" w:rsidRDefault="00D926CE"/>
    <w:p w14:paraId="2AF364C3" w14:textId="494BF1D9" w:rsidR="00605CFB" w:rsidRDefault="00605CFB"/>
    <w:p w14:paraId="2707A808" w14:textId="2DC7585F" w:rsidR="0072437A" w:rsidRPr="0072437A" w:rsidRDefault="0072437A" w:rsidP="0072437A"/>
    <w:tbl>
      <w:tblPr>
        <w:tblW w:w="7275" w:type="dxa"/>
        <w:tblCellMar>
          <w:left w:w="0" w:type="dxa"/>
          <w:right w:w="0" w:type="dxa"/>
        </w:tblCellMar>
        <w:tblLook w:val="04A0" w:firstRow="1" w:lastRow="0" w:firstColumn="1" w:lastColumn="0" w:noHBand="0" w:noVBand="1"/>
      </w:tblPr>
      <w:tblGrid>
        <w:gridCol w:w="309"/>
        <w:gridCol w:w="28"/>
        <w:gridCol w:w="6938"/>
      </w:tblGrid>
      <w:tr w:rsidR="0072437A" w:rsidRPr="0072437A" w14:paraId="09AEC9B9" w14:textId="77777777" w:rsidTr="0072437A">
        <w:tc>
          <w:tcPr>
            <w:tcW w:w="0" w:type="auto"/>
            <w:shd w:val="clear" w:color="auto" w:fill="auto"/>
            <w:tcMar>
              <w:top w:w="0" w:type="dxa"/>
              <w:left w:w="0" w:type="dxa"/>
              <w:bottom w:w="0" w:type="dxa"/>
              <w:right w:w="150" w:type="dxa"/>
            </w:tcMar>
            <w:hideMark/>
          </w:tcPr>
          <w:p w14:paraId="6BC608E7" w14:textId="77777777" w:rsidR="0072437A" w:rsidRPr="0072437A" w:rsidRDefault="0072437A" w:rsidP="0072437A">
            <w:pPr>
              <w:rPr>
                <w:rFonts w:ascii="Roboto" w:eastAsia="Times New Roman" w:hAnsi="Roboto" w:cs="Times New Roman"/>
                <w:sz w:val="23"/>
                <w:szCs w:val="23"/>
              </w:rPr>
            </w:pPr>
          </w:p>
        </w:tc>
        <w:tc>
          <w:tcPr>
            <w:tcW w:w="0" w:type="auto"/>
            <w:tcBorders>
              <w:right w:val="single" w:sz="6" w:space="0" w:color="45668E"/>
            </w:tcBorders>
            <w:shd w:val="clear" w:color="auto" w:fill="auto"/>
            <w:hideMark/>
          </w:tcPr>
          <w:p w14:paraId="2750897E" w14:textId="77777777" w:rsidR="0072437A" w:rsidRPr="0072437A" w:rsidRDefault="0072437A" w:rsidP="0072437A">
            <w:pPr>
              <w:rPr>
                <w:rFonts w:ascii="Roboto" w:eastAsia="Times New Roman" w:hAnsi="Roboto" w:cs="Times New Roman"/>
                <w:sz w:val="23"/>
                <w:szCs w:val="23"/>
              </w:rPr>
            </w:pPr>
          </w:p>
        </w:tc>
        <w:tc>
          <w:tcPr>
            <w:tcW w:w="0" w:type="auto"/>
            <w:shd w:val="clear" w:color="auto" w:fill="auto"/>
            <w:tcMar>
              <w:top w:w="0" w:type="dxa"/>
              <w:left w:w="15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199"/>
            </w:tblGrid>
            <w:tr w:rsidR="0072437A" w:rsidRPr="0072437A" w14:paraId="35945B4B" w14:textId="77777777">
              <w:tc>
                <w:tcPr>
                  <w:tcW w:w="0" w:type="auto"/>
                  <w:shd w:val="clear" w:color="auto" w:fill="auto"/>
                  <w:vAlign w:val="center"/>
                  <w:hideMark/>
                </w:tcPr>
                <w:p w14:paraId="2B95ABF7" w14:textId="77777777" w:rsidR="0072437A" w:rsidRDefault="0072437A" w:rsidP="0072437A">
                  <w:pPr>
                    <w:rPr>
                      <w:rFonts w:ascii="Arial" w:eastAsia="Times New Roman" w:hAnsi="Arial" w:cs="Arial"/>
                      <w:sz w:val="18"/>
                      <w:szCs w:val="18"/>
                    </w:rPr>
                  </w:pPr>
                  <w:r w:rsidRPr="0072437A">
                    <w:rPr>
                      <w:rFonts w:ascii="Arial" w:eastAsia="Times New Roman" w:hAnsi="Arial" w:cs="Arial"/>
                      <w:b/>
                      <w:bCs/>
                      <w:sz w:val="18"/>
                      <w:szCs w:val="18"/>
                    </w:rPr>
                    <w:t>Ted Howard</w:t>
                  </w:r>
                  <w:r w:rsidRPr="0072437A">
                    <w:rPr>
                      <w:rFonts w:ascii="Arial" w:eastAsia="Times New Roman" w:hAnsi="Arial" w:cs="Arial"/>
                      <w:sz w:val="18"/>
                      <w:szCs w:val="18"/>
                    </w:rPr>
                    <w:br/>
                    <w:t>Senior Energy Policy Analyst</w:t>
                  </w:r>
                </w:p>
                <w:p w14:paraId="57B77F1D" w14:textId="2EB696E3" w:rsidR="0072437A" w:rsidRPr="0072437A" w:rsidRDefault="0072437A" w:rsidP="0072437A">
                  <w:r>
                    <w:t>Small Business Utility Advocates</w:t>
                  </w:r>
                </w:p>
              </w:tc>
            </w:tr>
            <w:tr w:rsidR="0072437A" w:rsidRPr="0072437A" w14:paraId="04AE229D" w14:textId="77777777">
              <w:tc>
                <w:tcPr>
                  <w:tcW w:w="0" w:type="auto"/>
                  <w:shd w:val="clear" w:color="auto" w:fill="auto"/>
                  <w:tcMar>
                    <w:top w:w="75" w:type="dxa"/>
                    <w:left w:w="0" w:type="dxa"/>
                    <w:bottom w:w="0" w:type="dxa"/>
                    <w:right w:w="0" w:type="dxa"/>
                  </w:tcMar>
                  <w:vAlign w:val="center"/>
                  <w:hideMark/>
                </w:tcPr>
                <w:p w14:paraId="177F2B55" w14:textId="77777777" w:rsidR="0072437A" w:rsidRPr="0072437A" w:rsidRDefault="0072437A" w:rsidP="0072437A">
                  <w:pPr>
                    <w:rPr>
                      <w:rFonts w:ascii="Arial" w:eastAsia="Times New Roman" w:hAnsi="Arial" w:cs="Arial"/>
                      <w:sz w:val="18"/>
                      <w:szCs w:val="18"/>
                    </w:rPr>
                  </w:pPr>
                  <w:r w:rsidRPr="0072437A">
                    <w:rPr>
                      <w:rFonts w:ascii="Arial" w:eastAsia="Times New Roman" w:hAnsi="Arial" w:cs="Arial"/>
                      <w:color w:val="8D8D8D"/>
                      <w:sz w:val="18"/>
                      <w:szCs w:val="18"/>
                    </w:rPr>
                    <w:t>650-430-4800</w:t>
                  </w:r>
                  <w:r w:rsidRPr="0072437A">
                    <w:rPr>
                      <w:rFonts w:ascii="Arial" w:eastAsia="Times New Roman" w:hAnsi="Arial" w:cs="Arial"/>
                      <w:color w:val="45668E"/>
                      <w:sz w:val="18"/>
                      <w:szCs w:val="18"/>
                    </w:rPr>
                    <w:t>|</w:t>
                  </w:r>
                  <w:r w:rsidRPr="0072437A">
                    <w:rPr>
                      <w:rFonts w:ascii="Arial" w:eastAsia="Times New Roman" w:hAnsi="Arial" w:cs="Arial"/>
                      <w:color w:val="8D8D8D"/>
                      <w:sz w:val="18"/>
                      <w:szCs w:val="18"/>
                    </w:rPr>
                    <w:t> </w:t>
                  </w:r>
                  <w:hyperlink r:id="rId6" w:tgtFrame="_blank" w:history="1">
                    <w:r w:rsidRPr="0072437A">
                      <w:rPr>
                        <w:rFonts w:ascii="Arial" w:eastAsia="Times New Roman" w:hAnsi="Arial" w:cs="Arial"/>
                        <w:color w:val="8D8D8D"/>
                        <w:sz w:val="18"/>
                        <w:szCs w:val="18"/>
                        <w:u w:val="single"/>
                      </w:rPr>
                      <w:t>www.utilityadvocates.org</w:t>
                    </w:r>
                  </w:hyperlink>
                </w:p>
              </w:tc>
            </w:tr>
            <w:tr w:rsidR="0072437A" w:rsidRPr="0072437A" w14:paraId="42F4AAE6" w14:textId="77777777">
              <w:tc>
                <w:tcPr>
                  <w:tcW w:w="0" w:type="auto"/>
                  <w:shd w:val="clear" w:color="auto" w:fill="auto"/>
                  <w:tcMar>
                    <w:top w:w="75"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6"/>
                  </w:tblGrid>
                  <w:tr w:rsidR="0072437A" w:rsidRPr="0072437A" w14:paraId="746A1838" w14:textId="77777777">
                    <w:tc>
                      <w:tcPr>
                        <w:tcW w:w="0" w:type="auto"/>
                        <w:shd w:val="clear" w:color="auto" w:fill="auto"/>
                        <w:tcMar>
                          <w:top w:w="150" w:type="dxa"/>
                          <w:left w:w="0" w:type="dxa"/>
                          <w:bottom w:w="0" w:type="dxa"/>
                          <w:right w:w="0" w:type="dxa"/>
                        </w:tcMar>
                        <w:vAlign w:val="center"/>
                        <w:hideMark/>
                      </w:tcPr>
                      <w:p w14:paraId="2772A67F" w14:textId="77777777" w:rsidR="0072437A" w:rsidRPr="0072437A" w:rsidRDefault="0072437A" w:rsidP="0072437A">
                        <w:pPr>
                          <w:rPr>
                            <w:rFonts w:ascii="Arial" w:eastAsia="Times New Roman" w:hAnsi="Arial" w:cs="Arial"/>
                            <w:sz w:val="18"/>
                            <w:szCs w:val="18"/>
                          </w:rPr>
                        </w:pPr>
                      </w:p>
                    </w:tc>
                  </w:tr>
                </w:tbl>
                <w:p w14:paraId="2530247E" w14:textId="77777777" w:rsidR="0072437A" w:rsidRPr="0072437A" w:rsidRDefault="0072437A" w:rsidP="0072437A">
                  <w:pPr>
                    <w:rPr>
                      <w:rFonts w:ascii="Roboto" w:eastAsia="Times New Roman" w:hAnsi="Roboto" w:cs="Times New Roman"/>
                      <w:sz w:val="18"/>
                      <w:szCs w:val="18"/>
                    </w:rPr>
                  </w:pPr>
                </w:p>
              </w:tc>
            </w:tr>
          </w:tbl>
          <w:p w14:paraId="3F4D0B14" w14:textId="77777777" w:rsidR="0072437A" w:rsidRPr="0072437A" w:rsidRDefault="00B91F6B" w:rsidP="0072437A">
            <w:pPr>
              <w:rPr>
                <w:rFonts w:ascii="Arial" w:eastAsia="Times New Roman" w:hAnsi="Arial" w:cs="Arial"/>
                <w:color w:val="646464"/>
              </w:rPr>
            </w:pPr>
            <w:hyperlink r:id="rId7" w:tgtFrame="_blank" w:history="1">
              <w:r w:rsidR="0072437A" w:rsidRPr="0072437A">
                <w:rPr>
                  <w:rFonts w:ascii="Arial" w:eastAsia="Times New Roman" w:hAnsi="Arial" w:cs="Arial"/>
                  <w:color w:val="1155CC"/>
                  <w:u w:val="single"/>
                </w:rPr>
                <w:t>ted@utilityadvocates.org</w:t>
              </w:r>
            </w:hyperlink>
            <w:r w:rsidR="0072437A" w:rsidRPr="0072437A">
              <w:rPr>
                <w:rFonts w:ascii="Arial" w:eastAsia="Times New Roman" w:hAnsi="Arial" w:cs="Arial"/>
                <w:color w:val="646464"/>
              </w:rPr>
              <w:t> </w:t>
            </w:r>
          </w:p>
        </w:tc>
      </w:tr>
    </w:tbl>
    <w:p w14:paraId="117D6E50" w14:textId="77777777" w:rsidR="0072437A" w:rsidRPr="0072437A" w:rsidRDefault="0072437A" w:rsidP="0072437A">
      <w:pPr>
        <w:shd w:val="clear" w:color="auto" w:fill="FFFFFF"/>
        <w:rPr>
          <w:rFonts w:ascii="Helvetica" w:eastAsia="Times New Roman" w:hAnsi="Helvetica" w:cs="Times New Roman"/>
          <w:color w:val="808080"/>
          <w:sz w:val="20"/>
          <w:szCs w:val="20"/>
        </w:rPr>
      </w:pPr>
      <w:r w:rsidRPr="0072437A">
        <w:rPr>
          <w:rFonts w:ascii="Helvetica" w:eastAsia="Times New Roman" w:hAnsi="Helvetica" w:cs="Times New Roman"/>
          <w:color w:val="808080"/>
          <w:sz w:val="15"/>
          <w:szCs w:val="15"/>
        </w:rPr>
        <w:t>PRIVILEGE AND CONFIDENTIALITY NOTICE. The contents of this email and any attachments are confidential. They are intended for the named recipient(s) only. If you have received this email by mistake, please notify the sender immediately and destroy the message and all copies and attachments.</w:t>
      </w:r>
    </w:p>
    <w:p w14:paraId="6AC8AA84" w14:textId="77777777" w:rsidR="0072437A" w:rsidRDefault="0072437A"/>
    <w:p w14:paraId="7FE82846" w14:textId="77777777" w:rsidR="00F04E5F" w:rsidRDefault="00F04E5F"/>
    <w:p w14:paraId="3960088E" w14:textId="01BD40C9" w:rsidR="00605CFB" w:rsidRDefault="00605CFB"/>
    <w:sectPr w:rsidR="00605CFB" w:rsidSect="002D5746">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FA98" w14:textId="77777777" w:rsidR="00B91F6B" w:rsidRDefault="00B91F6B" w:rsidP="0072437A">
      <w:r>
        <w:separator/>
      </w:r>
    </w:p>
  </w:endnote>
  <w:endnote w:type="continuationSeparator" w:id="0">
    <w:p w14:paraId="586C9B06" w14:textId="77777777" w:rsidR="00B91F6B" w:rsidRDefault="00B91F6B" w:rsidP="0072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6857555"/>
      <w:docPartObj>
        <w:docPartGallery w:val="Page Numbers (Bottom of Page)"/>
        <w:docPartUnique/>
      </w:docPartObj>
    </w:sdtPr>
    <w:sdtEndPr>
      <w:rPr>
        <w:rStyle w:val="PageNumber"/>
      </w:rPr>
    </w:sdtEndPr>
    <w:sdtContent>
      <w:p w14:paraId="49F69FA6" w14:textId="59D015F2" w:rsidR="0072437A" w:rsidRDefault="0072437A" w:rsidP="00E65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33C8C" w14:textId="77777777" w:rsidR="0072437A" w:rsidRDefault="0072437A" w:rsidP="00724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338880"/>
      <w:docPartObj>
        <w:docPartGallery w:val="Page Numbers (Bottom of Page)"/>
        <w:docPartUnique/>
      </w:docPartObj>
    </w:sdtPr>
    <w:sdtEndPr>
      <w:rPr>
        <w:rStyle w:val="PageNumber"/>
      </w:rPr>
    </w:sdtEndPr>
    <w:sdtContent>
      <w:p w14:paraId="7067242A" w14:textId="43225B47" w:rsidR="0072437A" w:rsidRDefault="0072437A" w:rsidP="00E65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56A791" w14:textId="77777777" w:rsidR="0072437A" w:rsidRDefault="0072437A" w:rsidP="007243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03BA8" w14:textId="77777777" w:rsidR="00B91F6B" w:rsidRDefault="00B91F6B" w:rsidP="0072437A">
      <w:r>
        <w:separator/>
      </w:r>
    </w:p>
  </w:footnote>
  <w:footnote w:type="continuationSeparator" w:id="0">
    <w:p w14:paraId="7BB987B6" w14:textId="77777777" w:rsidR="00B91F6B" w:rsidRDefault="00B91F6B" w:rsidP="0072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AC"/>
    <w:rsid w:val="00085E78"/>
    <w:rsid w:val="001056A0"/>
    <w:rsid w:val="00121C85"/>
    <w:rsid w:val="002D5746"/>
    <w:rsid w:val="003362A9"/>
    <w:rsid w:val="0043520E"/>
    <w:rsid w:val="004D2DDA"/>
    <w:rsid w:val="00605CFB"/>
    <w:rsid w:val="0062610C"/>
    <w:rsid w:val="00651736"/>
    <w:rsid w:val="0072437A"/>
    <w:rsid w:val="00820CAA"/>
    <w:rsid w:val="00886EAC"/>
    <w:rsid w:val="008E62E4"/>
    <w:rsid w:val="00A22685"/>
    <w:rsid w:val="00AC2EB1"/>
    <w:rsid w:val="00AD6567"/>
    <w:rsid w:val="00B91F6B"/>
    <w:rsid w:val="00BA54D5"/>
    <w:rsid w:val="00D926CE"/>
    <w:rsid w:val="00ED2769"/>
    <w:rsid w:val="00ED6F04"/>
    <w:rsid w:val="00F04E5F"/>
    <w:rsid w:val="00F7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094B6"/>
  <w14:defaultImageDpi w14:val="32767"/>
  <w15:chartTrackingRefBased/>
  <w15:docId w15:val="{1A389CB5-8EBE-EC4B-A8E3-EBCD5238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37A"/>
    <w:rPr>
      <w:color w:val="0000FF"/>
      <w:u w:val="single"/>
    </w:rPr>
  </w:style>
  <w:style w:type="paragraph" w:styleId="Footer">
    <w:name w:val="footer"/>
    <w:basedOn w:val="Normal"/>
    <w:link w:val="FooterChar"/>
    <w:uiPriority w:val="99"/>
    <w:unhideWhenUsed/>
    <w:rsid w:val="0072437A"/>
    <w:pPr>
      <w:tabs>
        <w:tab w:val="center" w:pos="4680"/>
        <w:tab w:val="right" w:pos="9360"/>
      </w:tabs>
    </w:pPr>
  </w:style>
  <w:style w:type="character" w:customStyle="1" w:styleId="FooterChar">
    <w:name w:val="Footer Char"/>
    <w:basedOn w:val="DefaultParagraphFont"/>
    <w:link w:val="Footer"/>
    <w:uiPriority w:val="99"/>
    <w:rsid w:val="0072437A"/>
  </w:style>
  <w:style w:type="character" w:styleId="PageNumber">
    <w:name w:val="page number"/>
    <w:basedOn w:val="DefaultParagraphFont"/>
    <w:uiPriority w:val="99"/>
    <w:semiHidden/>
    <w:unhideWhenUsed/>
    <w:rsid w:val="0072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3496">
      <w:bodyDiv w:val="1"/>
      <w:marLeft w:val="0"/>
      <w:marRight w:val="0"/>
      <w:marTop w:val="0"/>
      <w:marBottom w:val="0"/>
      <w:divBdr>
        <w:top w:val="none" w:sz="0" w:space="0" w:color="auto"/>
        <w:left w:val="none" w:sz="0" w:space="0" w:color="auto"/>
        <w:bottom w:val="none" w:sz="0" w:space="0" w:color="auto"/>
        <w:right w:val="none" w:sz="0" w:space="0" w:color="auto"/>
      </w:divBdr>
      <w:divsChild>
        <w:div w:id="738135258">
          <w:marLeft w:val="0"/>
          <w:marRight w:val="0"/>
          <w:marTop w:val="0"/>
          <w:marBottom w:val="0"/>
          <w:divBdr>
            <w:top w:val="none" w:sz="0" w:space="0" w:color="auto"/>
            <w:left w:val="none" w:sz="0" w:space="0" w:color="auto"/>
            <w:bottom w:val="none" w:sz="0" w:space="0" w:color="auto"/>
            <w:right w:val="none" w:sz="0" w:space="0" w:color="auto"/>
          </w:divBdr>
        </w:div>
        <w:div w:id="935475928">
          <w:marLeft w:val="0"/>
          <w:marRight w:val="120"/>
          <w:marTop w:val="120"/>
          <w:marBottom w:val="0"/>
          <w:divBdr>
            <w:top w:val="single" w:sz="6" w:space="0" w:color="808080"/>
            <w:left w:val="none" w:sz="0" w:space="0" w:color="auto"/>
            <w:bottom w:val="none" w:sz="0" w:space="0" w:color="auto"/>
            <w:right w:val="none" w:sz="0" w:space="0" w:color="auto"/>
          </w:divBdr>
          <w:divsChild>
            <w:div w:id="4197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ed@utilityadvocat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ilityadvocat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Howard</dc:creator>
  <cp:keywords/>
  <dc:description/>
  <cp:lastModifiedBy>Jonathan Raab</cp:lastModifiedBy>
  <cp:revision>3</cp:revision>
  <dcterms:created xsi:type="dcterms:W3CDTF">2021-07-28T19:48:00Z</dcterms:created>
  <dcterms:modified xsi:type="dcterms:W3CDTF">2021-07-28T19:49:00Z</dcterms:modified>
</cp:coreProperties>
</file>