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54679" w14:textId="77777777" w:rsidR="006D53E1" w:rsidRDefault="006D53E1" w:rsidP="00FE6916">
      <w:pPr>
        <w:rPr>
          <w:color w:val="000000"/>
        </w:rPr>
      </w:pPr>
      <w:bookmarkStart w:id="0" w:name="_GoBack"/>
      <w:bookmarkEnd w:id="0"/>
    </w:p>
    <w:p w14:paraId="28E93F1A" w14:textId="26A33DA8" w:rsidR="001F5D85" w:rsidRPr="0037624A" w:rsidRDefault="00290438" w:rsidP="00290438">
      <w:pPr>
        <w:rPr>
          <w:color w:val="000000"/>
        </w:rPr>
      </w:pPr>
      <w:r>
        <w:rPr>
          <w:color w:val="000000"/>
        </w:rPr>
        <w:t xml:space="preserve">September </w:t>
      </w:r>
      <w:r w:rsidR="00F45A0B">
        <w:rPr>
          <w:color w:val="000000"/>
        </w:rPr>
        <w:t>3</w:t>
      </w:r>
      <w:r w:rsidR="00361352">
        <w:rPr>
          <w:color w:val="000000"/>
        </w:rPr>
        <w:t>, 201</w:t>
      </w:r>
      <w:r w:rsidR="00F45A0B">
        <w:rPr>
          <w:color w:val="000000"/>
        </w:rPr>
        <w:t>9</w:t>
      </w:r>
    </w:p>
    <w:p w14:paraId="17267FF8" w14:textId="77777777" w:rsidR="001F5D85" w:rsidRPr="0037624A" w:rsidRDefault="00505F2C" w:rsidP="00FE6916">
      <w:pPr>
        <w:tabs>
          <w:tab w:val="left" w:pos="8250"/>
        </w:tabs>
        <w:rPr>
          <w:color w:val="000000"/>
        </w:rPr>
      </w:pPr>
      <w:r>
        <w:rPr>
          <w:color w:val="000000"/>
        </w:rPr>
        <w:tab/>
      </w:r>
    </w:p>
    <w:p w14:paraId="22C24B17" w14:textId="52A3C09A" w:rsidR="001F5D85" w:rsidRPr="0037624A" w:rsidRDefault="001F5D85" w:rsidP="00FE6916">
      <w:pPr>
        <w:rPr>
          <w:color w:val="000000"/>
          <w:sz w:val="22"/>
        </w:rPr>
      </w:pPr>
      <w:r w:rsidRPr="0037624A">
        <w:rPr>
          <w:b/>
          <w:color w:val="000000"/>
        </w:rPr>
        <w:t>Adv</w:t>
      </w:r>
      <w:r w:rsidRPr="00FC0F8C">
        <w:rPr>
          <w:b/>
          <w:color w:val="000000"/>
        </w:rPr>
        <w:t>ic</w:t>
      </w:r>
      <w:r w:rsidRPr="00FC0F8C">
        <w:rPr>
          <w:b/>
        </w:rPr>
        <w:t xml:space="preserve">e </w:t>
      </w:r>
      <w:r w:rsidR="00F45A0B">
        <w:rPr>
          <w:b/>
        </w:rPr>
        <w:t>XXXX</w:t>
      </w:r>
      <w:r w:rsidR="002C1A6E" w:rsidRPr="002C1A6E">
        <w:rPr>
          <w:b/>
        </w:rPr>
        <w:t>-G/</w:t>
      </w:r>
      <w:r w:rsidR="00F45A0B">
        <w:rPr>
          <w:b/>
        </w:rPr>
        <w:t>XXXX</w:t>
      </w:r>
      <w:r w:rsidR="002C1A6E" w:rsidRPr="002C1A6E">
        <w:rPr>
          <w:b/>
        </w:rPr>
        <w:t>-E</w:t>
      </w:r>
      <w:r w:rsidR="002C1A6E" w:rsidRPr="002C1A6E" w:rsidDel="002C1A6E">
        <w:rPr>
          <w:b/>
        </w:rPr>
        <w:t xml:space="preserve"> </w:t>
      </w:r>
      <w:r w:rsidRPr="0037624A">
        <w:rPr>
          <w:color w:val="000000"/>
          <w:sz w:val="22"/>
        </w:rPr>
        <w:t>(</w:t>
      </w:r>
      <w:r w:rsidR="009D58FB" w:rsidRPr="0037624A">
        <w:rPr>
          <w:color w:val="000000"/>
          <w:sz w:val="22"/>
        </w:rPr>
        <w:t>Pacific Gas a</w:t>
      </w:r>
      <w:r w:rsidR="0000663C">
        <w:rPr>
          <w:color w:val="000000"/>
          <w:sz w:val="22"/>
        </w:rPr>
        <w:t xml:space="preserve">nd Electric Company ID U 39 </w:t>
      </w:r>
      <w:r w:rsidR="009D58FB" w:rsidRPr="0037624A">
        <w:rPr>
          <w:color w:val="000000"/>
          <w:sz w:val="22"/>
        </w:rPr>
        <w:t>M</w:t>
      </w:r>
      <w:r w:rsidRPr="0037624A">
        <w:rPr>
          <w:color w:val="000000"/>
          <w:sz w:val="22"/>
        </w:rPr>
        <w:t>)</w:t>
      </w:r>
    </w:p>
    <w:p w14:paraId="405AF229" w14:textId="77777777" w:rsidR="001F5D85" w:rsidRPr="0037624A" w:rsidRDefault="001F5D85" w:rsidP="00FE6916">
      <w:pPr>
        <w:rPr>
          <w:color w:val="000000"/>
        </w:rPr>
      </w:pPr>
    </w:p>
    <w:p w14:paraId="7C08DC4B" w14:textId="77777777" w:rsidR="001F10C7" w:rsidRPr="0037624A" w:rsidRDefault="001F10C7" w:rsidP="00FE6916">
      <w:pPr>
        <w:rPr>
          <w:color w:val="000000"/>
        </w:rPr>
      </w:pPr>
    </w:p>
    <w:p w14:paraId="7AF81B6F" w14:textId="77777777" w:rsidR="001F10C7" w:rsidRPr="0037624A" w:rsidRDefault="001F10C7" w:rsidP="00FE6916">
      <w:pPr>
        <w:rPr>
          <w:color w:val="000000"/>
        </w:rPr>
      </w:pPr>
      <w:r w:rsidRPr="0037624A">
        <w:rPr>
          <w:color w:val="000000"/>
        </w:rPr>
        <w:t>Public Utilities Commission of the State of California</w:t>
      </w:r>
    </w:p>
    <w:p w14:paraId="1B416AA3" w14:textId="77777777" w:rsidR="001F10C7" w:rsidRPr="0037624A" w:rsidRDefault="001F10C7" w:rsidP="00FE6916">
      <w:pPr>
        <w:rPr>
          <w:color w:val="000000"/>
        </w:rPr>
      </w:pPr>
    </w:p>
    <w:p w14:paraId="37A4A5B0" w14:textId="4B66320A" w:rsidR="001F5D85" w:rsidRPr="00FC0F8C" w:rsidRDefault="001F5D85" w:rsidP="00145380">
      <w:pPr>
        <w:ind w:left="1440" w:hanging="1440"/>
        <w:jc w:val="both"/>
        <w:rPr>
          <w:color w:val="000000"/>
        </w:rPr>
      </w:pPr>
      <w:r w:rsidRPr="0037624A">
        <w:rPr>
          <w:b/>
          <w:color w:val="000000"/>
          <w:u w:val="single"/>
        </w:rPr>
        <w:t>Subject:</w:t>
      </w:r>
      <w:r w:rsidR="00B65395" w:rsidRPr="0037624A">
        <w:rPr>
          <w:color w:val="000000"/>
        </w:rPr>
        <w:tab/>
      </w:r>
      <w:r w:rsidR="00FF4F38" w:rsidRPr="00FC0F8C">
        <w:rPr>
          <w:b/>
          <w:color w:val="000000"/>
        </w:rPr>
        <w:t>PG&amp;</w:t>
      </w:r>
      <w:r w:rsidR="00290438">
        <w:rPr>
          <w:b/>
          <w:color w:val="000000"/>
        </w:rPr>
        <w:t>E’s 20</w:t>
      </w:r>
      <w:r w:rsidR="00277866">
        <w:rPr>
          <w:b/>
          <w:color w:val="000000"/>
        </w:rPr>
        <w:t>2</w:t>
      </w:r>
      <w:r w:rsidR="00F45A0B">
        <w:rPr>
          <w:b/>
          <w:color w:val="000000"/>
        </w:rPr>
        <w:t>0</w:t>
      </w:r>
      <w:r w:rsidR="00FF4F38" w:rsidRPr="00FC0F8C">
        <w:rPr>
          <w:b/>
          <w:color w:val="000000"/>
        </w:rPr>
        <w:t xml:space="preserve"> Energy Efficiency </w:t>
      </w:r>
      <w:r w:rsidR="00373F78" w:rsidRPr="00FC0F8C">
        <w:rPr>
          <w:b/>
          <w:color w:val="000000"/>
        </w:rPr>
        <w:t xml:space="preserve">Annual Budget </w:t>
      </w:r>
      <w:r w:rsidR="00FF4F38" w:rsidRPr="00FC0F8C">
        <w:rPr>
          <w:b/>
          <w:color w:val="000000"/>
        </w:rPr>
        <w:t>Advice Letter</w:t>
      </w:r>
      <w:r w:rsidR="00AF7F4A" w:rsidRPr="00FC0F8C">
        <w:rPr>
          <w:b/>
          <w:color w:val="000000"/>
        </w:rPr>
        <w:t xml:space="preserve"> </w:t>
      </w:r>
      <w:r w:rsidR="00096C8C" w:rsidRPr="00FC0F8C">
        <w:rPr>
          <w:b/>
          <w:color w:val="000000"/>
        </w:rPr>
        <w:t>in Compliance w</w:t>
      </w:r>
      <w:r w:rsidR="00FF4F38" w:rsidRPr="00FC0F8C">
        <w:rPr>
          <w:b/>
          <w:color w:val="000000"/>
        </w:rPr>
        <w:t>ith Decision</w:t>
      </w:r>
      <w:r w:rsidR="00CC735F">
        <w:rPr>
          <w:b/>
          <w:color w:val="000000"/>
        </w:rPr>
        <w:t>s 15-10-028 and</w:t>
      </w:r>
      <w:r w:rsidR="00FF4F38" w:rsidRPr="00FC0F8C">
        <w:rPr>
          <w:b/>
          <w:color w:val="000000"/>
        </w:rPr>
        <w:t xml:space="preserve"> 1</w:t>
      </w:r>
      <w:r w:rsidR="00290438">
        <w:rPr>
          <w:b/>
          <w:color w:val="000000"/>
        </w:rPr>
        <w:t>8-05</w:t>
      </w:r>
      <w:r w:rsidR="00FF4F38" w:rsidRPr="00FC0F8C">
        <w:rPr>
          <w:b/>
          <w:color w:val="000000"/>
        </w:rPr>
        <w:t>-0</w:t>
      </w:r>
      <w:r w:rsidR="00290438">
        <w:rPr>
          <w:b/>
          <w:color w:val="000000"/>
        </w:rPr>
        <w:t>41</w:t>
      </w:r>
    </w:p>
    <w:p w14:paraId="430E1BA0" w14:textId="77777777" w:rsidR="00B83694" w:rsidRPr="00FC0F8C" w:rsidRDefault="00B83694" w:rsidP="00FE6916">
      <w:pPr>
        <w:rPr>
          <w:color w:val="000000"/>
        </w:rPr>
      </w:pPr>
    </w:p>
    <w:p w14:paraId="2444827A" w14:textId="20E910D2" w:rsidR="001F5D85" w:rsidRPr="00FC0F8C" w:rsidRDefault="00A656A3" w:rsidP="00FE6916">
      <w:pPr>
        <w:pStyle w:val="Heading1"/>
        <w:rPr>
          <w:color w:val="000000"/>
          <w:u w:val="none"/>
        </w:rPr>
      </w:pPr>
      <w:r w:rsidRPr="00FC0F8C">
        <w:rPr>
          <w:color w:val="000000"/>
          <w:u w:val="none"/>
        </w:rPr>
        <w:t>I.</w:t>
      </w:r>
      <w:r w:rsidRPr="00FC0F8C">
        <w:rPr>
          <w:color w:val="000000"/>
          <w:u w:val="none"/>
        </w:rPr>
        <w:tab/>
      </w:r>
      <w:r w:rsidR="001F5D85" w:rsidRPr="00FC0F8C">
        <w:rPr>
          <w:color w:val="000000"/>
          <w:u w:val="none"/>
        </w:rPr>
        <w:t>Purpose</w:t>
      </w:r>
    </w:p>
    <w:p w14:paraId="17EA0D6C" w14:textId="77777777" w:rsidR="00E62EDE" w:rsidRPr="00FC0F8C" w:rsidRDefault="00E62EDE" w:rsidP="00FE6916"/>
    <w:p w14:paraId="02958945" w14:textId="470E745A" w:rsidR="00E96728" w:rsidRPr="009F2500" w:rsidRDefault="00E96728" w:rsidP="00260E01">
      <w:pPr>
        <w:jc w:val="both"/>
      </w:pPr>
      <w:r w:rsidRPr="00FC0F8C">
        <w:rPr>
          <w:color w:val="000000"/>
        </w:rPr>
        <w:t>Pacific Gas and Electric Company (PG&amp;E) hereby submits</w:t>
      </w:r>
      <w:r w:rsidR="00290438">
        <w:rPr>
          <w:color w:val="000000"/>
        </w:rPr>
        <w:t xml:space="preserve"> its 20</w:t>
      </w:r>
      <w:r w:rsidR="00F45A0B">
        <w:rPr>
          <w:color w:val="000000"/>
        </w:rPr>
        <w:t>20</w:t>
      </w:r>
      <w:r w:rsidRPr="00FC0F8C">
        <w:rPr>
          <w:color w:val="000000"/>
        </w:rPr>
        <w:t xml:space="preserve"> energy efficiency </w:t>
      </w:r>
      <w:r w:rsidR="00BE7EE2">
        <w:rPr>
          <w:color w:val="000000"/>
        </w:rPr>
        <w:t xml:space="preserve">(EE) </w:t>
      </w:r>
      <w:r w:rsidR="00290438">
        <w:rPr>
          <w:color w:val="000000"/>
        </w:rPr>
        <w:t>portfolio budget (20</w:t>
      </w:r>
      <w:r w:rsidR="00F45A0B">
        <w:rPr>
          <w:color w:val="000000"/>
        </w:rPr>
        <w:t>20</w:t>
      </w:r>
      <w:r w:rsidRPr="00FC0F8C">
        <w:rPr>
          <w:color w:val="000000"/>
        </w:rPr>
        <w:t xml:space="preserve"> EE Budget) by Tier 2 advice letter in compliance with</w:t>
      </w:r>
      <w:r w:rsidR="00926096">
        <w:rPr>
          <w:color w:val="000000"/>
        </w:rPr>
        <w:t xml:space="preserve"> </w:t>
      </w:r>
      <w:r w:rsidR="00926096" w:rsidRPr="00FC0F8C">
        <w:rPr>
          <w:color w:val="000000"/>
        </w:rPr>
        <w:t>the</w:t>
      </w:r>
      <w:r w:rsidR="00926096" w:rsidRPr="00FC0F8C">
        <w:rPr>
          <w:i/>
          <w:color w:val="000000"/>
        </w:rPr>
        <w:t xml:space="preserve"> Decision Re Energy Efficiency Goals for 2016 and Beyond and Energy Efficiency Rolling Portfolio Mechanics,</w:t>
      </w:r>
      <w:r w:rsidR="00926096" w:rsidRPr="00FC0F8C">
        <w:rPr>
          <w:color w:val="000000"/>
        </w:rPr>
        <w:t xml:space="preserve"> the “Rolling Portfolio</w:t>
      </w:r>
      <w:r w:rsidR="00926096">
        <w:rPr>
          <w:color w:val="000000"/>
        </w:rPr>
        <w:t xml:space="preserve"> </w:t>
      </w:r>
      <w:r w:rsidR="00CC735F">
        <w:rPr>
          <w:color w:val="000000"/>
        </w:rPr>
        <w:t>D</w:t>
      </w:r>
      <w:r w:rsidR="00926096">
        <w:rPr>
          <w:color w:val="000000"/>
        </w:rPr>
        <w:t>ecision</w:t>
      </w:r>
      <w:r w:rsidR="00926096" w:rsidRPr="00FC0F8C">
        <w:rPr>
          <w:color w:val="000000"/>
        </w:rPr>
        <w:t>”</w:t>
      </w:r>
      <w:r w:rsidR="00926096">
        <w:rPr>
          <w:color w:val="000000"/>
        </w:rPr>
        <w:t xml:space="preserve"> </w:t>
      </w:r>
      <w:r w:rsidR="00926096" w:rsidRPr="00FC0F8C">
        <w:rPr>
          <w:color w:val="000000"/>
        </w:rPr>
        <w:t>(D.15-10-028)</w:t>
      </w:r>
      <w:r w:rsidR="007E4BE2">
        <w:rPr>
          <w:color w:val="000000"/>
        </w:rPr>
        <w:t>,</w:t>
      </w:r>
      <w:r w:rsidR="00926096" w:rsidRPr="00FC0F8C">
        <w:rPr>
          <w:rStyle w:val="FootnoteReference"/>
          <w:color w:val="000000"/>
        </w:rPr>
        <w:footnoteReference w:id="2"/>
      </w:r>
      <w:r w:rsidR="00926096" w:rsidRPr="00FC0F8C">
        <w:rPr>
          <w:color w:val="000000"/>
        </w:rPr>
        <w:t xml:space="preserve"> </w:t>
      </w:r>
      <w:r w:rsidRPr="00FC0F8C">
        <w:rPr>
          <w:color w:val="000000"/>
        </w:rPr>
        <w:t>the</w:t>
      </w:r>
      <w:r w:rsidR="007D128F">
        <w:rPr>
          <w:color w:val="000000"/>
        </w:rPr>
        <w:t xml:space="preserve"> </w:t>
      </w:r>
      <w:r w:rsidR="007D128F">
        <w:rPr>
          <w:i/>
          <w:color w:val="000000"/>
        </w:rPr>
        <w:t xml:space="preserve">Decision </w:t>
      </w:r>
      <w:r w:rsidR="007D128F" w:rsidRPr="009F2500">
        <w:rPr>
          <w:i/>
          <w:color w:val="000000"/>
        </w:rPr>
        <w:t xml:space="preserve">Addressing Energy Efficiency </w:t>
      </w:r>
      <w:r w:rsidR="00675406" w:rsidRPr="009F2500">
        <w:rPr>
          <w:i/>
          <w:color w:val="000000"/>
        </w:rPr>
        <w:t>Business Plans</w:t>
      </w:r>
      <w:r w:rsidR="0007452D" w:rsidRPr="009F2500">
        <w:rPr>
          <w:color w:val="000000"/>
        </w:rPr>
        <w:t xml:space="preserve"> </w:t>
      </w:r>
      <w:r w:rsidR="00290438" w:rsidRPr="009F2500">
        <w:rPr>
          <w:color w:val="000000"/>
        </w:rPr>
        <w:t>(D.18-05-041</w:t>
      </w:r>
      <w:r w:rsidRPr="009F2500">
        <w:rPr>
          <w:color w:val="000000"/>
        </w:rPr>
        <w:t>)</w:t>
      </w:r>
      <w:r w:rsidR="007E4BE2" w:rsidRPr="009F2500">
        <w:rPr>
          <w:color w:val="000000"/>
        </w:rPr>
        <w:t>,</w:t>
      </w:r>
      <w:r w:rsidRPr="009F2500">
        <w:rPr>
          <w:rStyle w:val="FootnoteReference"/>
          <w:color w:val="000000"/>
        </w:rPr>
        <w:footnoteReference w:id="3"/>
      </w:r>
      <w:r w:rsidRPr="009F2500">
        <w:rPr>
          <w:color w:val="000000"/>
        </w:rPr>
        <w:t xml:space="preserve"> and guidance from the California Public Utilities Commission (CPUC or Commission) Energy Division </w:t>
      </w:r>
      <w:r w:rsidR="00944D95" w:rsidRPr="009F2500">
        <w:rPr>
          <w:color w:val="000000"/>
        </w:rPr>
        <w:t>(ED)</w:t>
      </w:r>
      <w:r w:rsidRPr="009F2500">
        <w:rPr>
          <w:color w:val="000000"/>
        </w:rPr>
        <w:t xml:space="preserve"> staff (Staff</w:t>
      </w:r>
      <w:r w:rsidR="007D128F" w:rsidRPr="009F2500">
        <w:t>).</w:t>
      </w:r>
      <w:r w:rsidRPr="009F2500">
        <w:rPr>
          <w:color w:val="000000"/>
        </w:rPr>
        <w:t xml:space="preserve"> </w:t>
      </w:r>
    </w:p>
    <w:p w14:paraId="3DBFBDDC" w14:textId="77777777" w:rsidR="00E96728" w:rsidRPr="009F2500" w:rsidRDefault="00E96728" w:rsidP="00260E01">
      <w:pPr>
        <w:jc w:val="both"/>
      </w:pPr>
    </w:p>
    <w:p w14:paraId="266EA77D" w14:textId="03035E08" w:rsidR="006C0888" w:rsidRDefault="00E96728" w:rsidP="00260E01">
      <w:pPr>
        <w:jc w:val="both"/>
        <w:rPr>
          <w:color w:val="000000"/>
        </w:rPr>
      </w:pPr>
      <w:r w:rsidRPr="009F2500">
        <w:rPr>
          <w:color w:val="000000"/>
        </w:rPr>
        <w:t>PG&amp;E requests that the Co</w:t>
      </w:r>
      <w:r w:rsidR="00290438" w:rsidRPr="009F2500">
        <w:rPr>
          <w:color w:val="000000"/>
        </w:rPr>
        <w:t>mmission approve its 20</w:t>
      </w:r>
      <w:r w:rsidR="00F45A0B" w:rsidRPr="009F2500">
        <w:rPr>
          <w:color w:val="000000"/>
        </w:rPr>
        <w:t>20</w:t>
      </w:r>
      <w:r w:rsidRPr="009F2500">
        <w:rPr>
          <w:color w:val="000000"/>
        </w:rPr>
        <w:t xml:space="preserve"> EE Budget</w:t>
      </w:r>
      <w:r w:rsidR="00441279" w:rsidRPr="009F2500">
        <w:rPr>
          <w:color w:val="000000"/>
        </w:rPr>
        <w:t xml:space="preserve"> </w:t>
      </w:r>
      <w:r w:rsidR="00441279" w:rsidRPr="009F2500">
        <w:rPr>
          <w:rFonts w:eastAsia="Arial" w:cs="Arial"/>
          <w:color w:val="000000"/>
        </w:rPr>
        <w:t>of $</w:t>
      </w:r>
      <w:r w:rsidR="00F75E5B" w:rsidRPr="009F2500">
        <w:t>256,727,072</w:t>
      </w:r>
      <w:r w:rsidR="00283BB6" w:rsidRPr="009F2500">
        <w:t xml:space="preserve"> </w:t>
      </w:r>
      <w:r w:rsidRPr="009F2500">
        <w:rPr>
          <w:color w:val="000000"/>
        </w:rPr>
        <w:t>effective as of</w:t>
      </w:r>
      <w:r w:rsidR="00290438" w:rsidRPr="009F2500">
        <w:rPr>
          <w:color w:val="000000"/>
        </w:rPr>
        <w:t xml:space="preserve"> January 1, 20</w:t>
      </w:r>
      <w:r w:rsidR="00F45A0B" w:rsidRPr="009F2500">
        <w:rPr>
          <w:color w:val="000000"/>
        </w:rPr>
        <w:t>20</w:t>
      </w:r>
      <w:r w:rsidR="00E2492F" w:rsidRPr="009F2500">
        <w:rPr>
          <w:color w:val="000000"/>
        </w:rPr>
        <w:t>,</w:t>
      </w:r>
      <w:r w:rsidR="00281C35" w:rsidRPr="009F2500">
        <w:rPr>
          <w:color w:val="000000"/>
        </w:rPr>
        <w:t xml:space="preserve"> for PG&amp;E's </w:t>
      </w:r>
      <w:r w:rsidRPr="009F2500">
        <w:rPr>
          <w:color w:val="000000"/>
        </w:rPr>
        <w:t>approved EE programs.</w:t>
      </w:r>
    </w:p>
    <w:p w14:paraId="045AB9FF" w14:textId="279E1812" w:rsidR="00842650" w:rsidRDefault="00842650" w:rsidP="00260E01">
      <w:pPr>
        <w:jc w:val="both"/>
        <w:rPr>
          <w:color w:val="000000"/>
        </w:rPr>
      </w:pPr>
    </w:p>
    <w:p w14:paraId="050AC77D" w14:textId="77777777" w:rsidR="00842650" w:rsidRDefault="00842650" w:rsidP="00260E01">
      <w:pPr>
        <w:jc w:val="both"/>
        <w:rPr>
          <w:color w:val="000000"/>
        </w:rPr>
      </w:pPr>
    </w:p>
    <w:p w14:paraId="7213991D" w14:textId="77777777" w:rsidR="00CC75AD" w:rsidRDefault="00CC75AD" w:rsidP="0000663C">
      <w:pPr>
        <w:jc w:val="both"/>
        <w:rPr>
          <w:color w:val="000000"/>
        </w:rPr>
      </w:pPr>
    </w:p>
    <w:p w14:paraId="1AF3DEC8" w14:textId="282A4BC2" w:rsidR="001F5D85" w:rsidRPr="0037624A" w:rsidRDefault="00A656A3" w:rsidP="0000663C">
      <w:pPr>
        <w:pStyle w:val="Heading1"/>
        <w:jc w:val="both"/>
        <w:rPr>
          <w:color w:val="000000"/>
        </w:rPr>
      </w:pPr>
      <w:r w:rsidRPr="00733FE8">
        <w:rPr>
          <w:color w:val="000000"/>
          <w:u w:val="none"/>
        </w:rPr>
        <w:t>II.</w:t>
      </w:r>
      <w:r w:rsidRPr="00733FE8">
        <w:rPr>
          <w:color w:val="000000"/>
          <w:u w:val="none"/>
        </w:rPr>
        <w:tab/>
      </w:r>
      <w:r w:rsidR="00C3387E">
        <w:rPr>
          <w:color w:val="000000"/>
          <w:u w:val="none"/>
        </w:rPr>
        <w:t xml:space="preserve">Background </w:t>
      </w:r>
    </w:p>
    <w:p w14:paraId="6A47B154" w14:textId="77777777" w:rsidR="00E3716D" w:rsidRPr="00567C4C" w:rsidRDefault="00E3716D" w:rsidP="00567C4C"/>
    <w:p w14:paraId="40BBCB02" w14:textId="26CCC29B" w:rsidR="00506644" w:rsidRPr="00FD3BF8" w:rsidRDefault="00506644" w:rsidP="0092145B">
      <w:pPr>
        <w:pStyle w:val="Heading2"/>
        <w:numPr>
          <w:ilvl w:val="0"/>
          <w:numId w:val="6"/>
        </w:numPr>
        <w:rPr>
          <w:color w:val="000000"/>
        </w:rPr>
      </w:pPr>
      <w:r w:rsidRPr="00FD3BF8">
        <w:t>Regulatory Requirements</w:t>
      </w:r>
    </w:p>
    <w:p w14:paraId="221BEA13" w14:textId="1671D17C" w:rsidR="00601D72" w:rsidRDefault="00601D72" w:rsidP="00601D72">
      <w:pPr>
        <w:overflowPunct/>
        <w:jc w:val="both"/>
        <w:textAlignment w:val="auto"/>
        <w:rPr>
          <w:rFonts w:cs="Arial"/>
          <w:color w:val="000000"/>
          <w:szCs w:val="24"/>
        </w:rPr>
      </w:pPr>
    </w:p>
    <w:p w14:paraId="5FA3FE0C" w14:textId="47E91A68" w:rsidR="00116C19" w:rsidRPr="00A164EF" w:rsidRDefault="00D4707E" w:rsidP="00601D72">
      <w:pPr>
        <w:overflowPunct/>
        <w:jc w:val="both"/>
        <w:textAlignment w:val="auto"/>
      </w:pPr>
      <w:r w:rsidRPr="00A164EF">
        <w:rPr>
          <w:rFonts w:cs="Arial"/>
          <w:color w:val="000000"/>
          <w:szCs w:val="24"/>
        </w:rPr>
        <w:t>The Rolling Portfolio Decision</w:t>
      </w:r>
      <w:r w:rsidR="00277866">
        <w:rPr>
          <w:rFonts w:cs="Arial"/>
          <w:color w:val="000000"/>
          <w:szCs w:val="24"/>
        </w:rPr>
        <w:t xml:space="preserve"> (D.)15-10-028</w:t>
      </w:r>
      <w:r w:rsidRPr="00A164EF">
        <w:rPr>
          <w:rFonts w:cs="Arial"/>
          <w:color w:val="000000"/>
          <w:szCs w:val="24"/>
        </w:rPr>
        <w:t xml:space="preserve"> </w:t>
      </w:r>
      <w:r w:rsidR="007E4BE2" w:rsidRPr="00A164EF">
        <w:rPr>
          <w:rFonts w:cs="Arial"/>
          <w:color w:val="000000"/>
          <w:szCs w:val="24"/>
        </w:rPr>
        <w:t>require</w:t>
      </w:r>
      <w:r w:rsidR="007E4BE2">
        <w:rPr>
          <w:rFonts w:cs="Arial"/>
          <w:color w:val="000000"/>
          <w:szCs w:val="24"/>
        </w:rPr>
        <w:t>s</w:t>
      </w:r>
      <w:r w:rsidR="007E4BE2" w:rsidRPr="00A164EF">
        <w:rPr>
          <w:rFonts w:cs="Arial"/>
          <w:color w:val="000000"/>
          <w:szCs w:val="24"/>
        </w:rPr>
        <w:t xml:space="preserve"> </w:t>
      </w:r>
      <w:r w:rsidR="00956EB6" w:rsidRPr="0044476C">
        <w:rPr>
          <w:rFonts w:eastAsia="Arial" w:cs="Arial"/>
          <w:color w:val="000000"/>
        </w:rPr>
        <w:t xml:space="preserve">each </w:t>
      </w:r>
      <w:r w:rsidR="5FA3FE0C" w:rsidRPr="0044476C">
        <w:rPr>
          <w:rFonts w:eastAsia="Arial" w:cs="Arial"/>
          <w:color w:val="000000"/>
        </w:rPr>
        <w:t xml:space="preserve">EE </w:t>
      </w:r>
      <w:r w:rsidR="00956EB6" w:rsidRPr="0044476C">
        <w:rPr>
          <w:rFonts w:eastAsia="Arial" w:cs="Arial"/>
          <w:color w:val="000000"/>
        </w:rPr>
        <w:t>program administrator</w:t>
      </w:r>
      <w:r w:rsidR="00956EB6">
        <w:rPr>
          <w:rFonts w:eastAsia="Arial" w:cs="Arial"/>
          <w:color w:val="000000"/>
        </w:rPr>
        <w:t xml:space="preserve"> </w:t>
      </w:r>
      <w:r w:rsidR="00EA7EF6">
        <w:rPr>
          <w:rFonts w:eastAsia="Arial" w:cs="Arial"/>
          <w:color w:val="000000"/>
        </w:rPr>
        <w:t>(PA)</w:t>
      </w:r>
      <w:r w:rsidR="00956EB6" w:rsidRPr="0044476C">
        <w:rPr>
          <w:rFonts w:eastAsia="Arial" w:cs="Arial"/>
          <w:color w:val="000000"/>
        </w:rPr>
        <w:t xml:space="preserve"> </w:t>
      </w:r>
      <w:r w:rsidRPr="00A164EF">
        <w:rPr>
          <w:rFonts w:cs="Arial"/>
          <w:color w:val="000000"/>
          <w:szCs w:val="24"/>
        </w:rPr>
        <w:t>to file an advice letter</w:t>
      </w:r>
      <w:r w:rsidR="006174EC" w:rsidRPr="00A164EF">
        <w:t xml:space="preserve"> </w:t>
      </w:r>
      <w:r w:rsidR="00F8053B" w:rsidRPr="00A164EF">
        <w:t>with</w:t>
      </w:r>
      <w:r w:rsidR="006174EC" w:rsidRPr="00A164EF">
        <w:t xml:space="preserve"> a budget for the next calendar year’s </w:t>
      </w:r>
      <w:r w:rsidR="00635E66" w:rsidRPr="00A164EF">
        <w:t>EE</w:t>
      </w:r>
      <w:r w:rsidR="006174EC" w:rsidRPr="00A164EF">
        <w:t xml:space="preserve"> portfolio</w:t>
      </w:r>
      <w:r w:rsidRPr="00A164EF">
        <w:t xml:space="preserve"> </w:t>
      </w:r>
      <w:r w:rsidR="006174EC" w:rsidRPr="00A164EF">
        <w:rPr>
          <w:rFonts w:cs="Arial"/>
          <w:color w:val="000000"/>
          <w:szCs w:val="24"/>
        </w:rPr>
        <w:t>by the first business day of September each year</w:t>
      </w:r>
      <w:r w:rsidR="0082700C" w:rsidRPr="00A164EF">
        <w:rPr>
          <w:rFonts w:cs="Arial"/>
          <w:color w:val="000000"/>
          <w:szCs w:val="24"/>
        </w:rPr>
        <w:t>.</w:t>
      </w:r>
      <w:r w:rsidR="0082700C" w:rsidRPr="00A164EF">
        <w:rPr>
          <w:rStyle w:val="FootnoteReference"/>
          <w:rFonts w:cs="Arial"/>
          <w:color w:val="000000"/>
          <w:szCs w:val="24"/>
        </w:rPr>
        <w:footnoteReference w:id="4"/>
      </w:r>
      <w:r w:rsidR="00323F13" w:rsidRPr="00A164EF">
        <w:rPr>
          <w:rFonts w:cs="Arial"/>
          <w:color w:val="000000"/>
          <w:szCs w:val="24"/>
        </w:rPr>
        <w:t xml:space="preserve"> </w:t>
      </w:r>
    </w:p>
    <w:p w14:paraId="6564AD62" w14:textId="1BFC0AD7" w:rsidR="0086687B" w:rsidRDefault="0086687B">
      <w:pPr>
        <w:overflowPunct/>
        <w:jc w:val="both"/>
        <w:textAlignment w:val="auto"/>
      </w:pPr>
    </w:p>
    <w:p w14:paraId="4B1D9DC9" w14:textId="1E042945" w:rsidR="00CC5879" w:rsidRDefault="5FA3FE0C" w:rsidP="0000663C">
      <w:pPr>
        <w:overflowPunct/>
        <w:jc w:val="both"/>
        <w:textAlignment w:val="auto"/>
        <w:rPr>
          <w:color w:val="000000" w:themeColor="text1"/>
        </w:rPr>
        <w:sectPr w:rsidR="00CC5879" w:rsidSect="00A619A4">
          <w:headerReference w:type="even" r:id="rId11"/>
          <w:headerReference w:type="default" r:id="rId12"/>
          <w:headerReference w:type="first" r:id="rId13"/>
          <w:pgSz w:w="12240" w:h="15840" w:code="1"/>
          <w:pgMar w:top="1440" w:right="1440" w:bottom="1440" w:left="1440" w:header="1008" w:footer="720" w:gutter="0"/>
          <w:cols w:space="720"/>
          <w:titlePg/>
          <w:docGrid w:linePitch="326"/>
        </w:sectPr>
      </w:pPr>
      <w:r>
        <w:t xml:space="preserve">Subsequently, the Commission issued the </w:t>
      </w:r>
      <w:r w:rsidRPr="0044476C">
        <w:rPr>
          <w:i/>
          <w:iCs/>
          <w:color w:val="000000" w:themeColor="text1"/>
        </w:rPr>
        <w:t xml:space="preserve">Decision Addressing Energy Efficiency </w:t>
      </w:r>
      <w:r w:rsidR="00675406">
        <w:rPr>
          <w:i/>
          <w:iCs/>
          <w:color w:val="000000" w:themeColor="text1"/>
        </w:rPr>
        <w:t>Business Plans</w:t>
      </w:r>
      <w:r w:rsidRPr="0044476C">
        <w:rPr>
          <w:color w:val="000000" w:themeColor="text1"/>
        </w:rPr>
        <w:t xml:space="preserve"> D.18-05-041, which </w:t>
      </w:r>
      <w:r w:rsidR="00441279">
        <w:rPr>
          <w:color w:val="000000" w:themeColor="text1"/>
        </w:rPr>
        <w:t xml:space="preserve">established September </w:t>
      </w:r>
      <w:r w:rsidR="00F45A0B">
        <w:rPr>
          <w:color w:val="000000" w:themeColor="text1"/>
        </w:rPr>
        <w:t>3</w:t>
      </w:r>
      <w:r w:rsidR="00441279">
        <w:rPr>
          <w:color w:val="000000" w:themeColor="text1"/>
        </w:rPr>
        <w:t>, 201</w:t>
      </w:r>
      <w:r w:rsidR="00F45A0B">
        <w:rPr>
          <w:color w:val="000000" w:themeColor="text1"/>
        </w:rPr>
        <w:t>9</w:t>
      </w:r>
      <w:r w:rsidR="00E2492F">
        <w:rPr>
          <w:color w:val="000000" w:themeColor="text1"/>
        </w:rPr>
        <w:t>,</w:t>
      </w:r>
      <w:r w:rsidR="00441279">
        <w:rPr>
          <w:color w:val="000000" w:themeColor="text1"/>
        </w:rPr>
        <w:t xml:space="preserve"> as the deadline for </w:t>
      </w:r>
      <w:r w:rsidR="00E2492F">
        <w:rPr>
          <w:color w:val="000000" w:themeColor="text1"/>
        </w:rPr>
        <w:t xml:space="preserve">the </w:t>
      </w:r>
      <w:r w:rsidR="00F45A0B">
        <w:rPr>
          <w:color w:val="000000" w:themeColor="text1"/>
        </w:rPr>
        <w:t>2020</w:t>
      </w:r>
      <w:r w:rsidR="00441279">
        <w:rPr>
          <w:color w:val="000000" w:themeColor="text1"/>
        </w:rPr>
        <w:t xml:space="preserve"> </w:t>
      </w:r>
      <w:r w:rsidR="00E2492F">
        <w:rPr>
          <w:color w:val="000000" w:themeColor="text1"/>
        </w:rPr>
        <w:t>Annual Budget Advice Letter (</w:t>
      </w:r>
      <w:r w:rsidR="00441279">
        <w:rPr>
          <w:color w:val="000000" w:themeColor="text1"/>
        </w:rPr>
        <w:t>ABAL</w:t>
      </w:r>
      <w:r w:rsidR="00E2492F">
        <w:rPr>
          <w:color w:val="000000" w:themeColor="text1"/>
        </w:rPr>
        <w:t>)</w:t>
      </w:r>
      <w:r w:rsidR="00441279">
        <w:rPr>
          <w:color w:val="000000" w:themeColor="text1"/>
        </w:rPr>
        <w:t xml:space="preserve">. The decision also </w:t>
      </w:r>
      <w:r w:rsidRPr="0044476C">
        <w:rPr>
          <w:color w:val="000000" w:themeColor="text1"/>
        </w:rPr>
        <w:t xml:space="preserve">adopted the budgets set forth in the </w:t>
      </w:r>
      <w:r w:rsidR="00675406">
        <w:rPr>
          <w:color w:val="000000" w:themeColor="text1"/>
        </w:rPr>
        <w:t>Business Plans</w:t>
      </w:r>
      <w:r w:rsidRPr="0044476C">
        <w:rPr>
          <w:color w:val="000000" w:themeColor="text1"/>
        </w:rPr>
        <w:t xml:space="preserve"> </w:t>
      </w:r>
      <w:r w:rsidR="00E2492F">
        <w:rPr>
          <w:color w:val="000000" w:themeColor="text1"/>
        </w:rPr>
        <w:t>for</w:t>
      </w:r>
      <w:r w:rsidR="00E2492F" w:rsidRPr="0044476C">
        <w:rPr>
          <w:color w:val="000000" w:themeColor="text1"/>
        </w:rPr>
        <w:t xml:space="preserve"> </w:t>
      </w:r>
      <w:r w:rsidRPr="0044476C">
        <w:rPr>
          <w:color w:val="000000" w:themeColor="text1"/>
        </w:rPr>
        <w:t>2018-2025.</w:t>
      </w:r>
    </w:p>
    <w:p w14:paraId="3738E1D8" w14:textId="60854502" w:rsidR="00D46857" w:rsidRPr="00A164EF" w:rsidRDefault="00766CC2" w:rsidP="0092145B">
      <w:pPr>
        <w:pStyle w:val="Heading2"/>
        <w:numPr>
          <w:ilvl w:val="0"/>
          <w:numId w:val="6"/>
        </w:numPr>
        <w:rPr>
          <w:color w:val="000000"/>
        </w:rPr>
      </w:pPr>
      <w:r w:rsidRPr="00A91DD1">
        <w:lastRenderedPageBreak/>
        <w:t>Fil</w:t>
      </w:r>
      <w:r w:rsidRPr="00E53834">
        <w:rPr>
          <w:color w:val="000000"/>
        </w:rPr>
        <w:t>ing</w:t>
      </w:r>
      <w:r w:rsidR="00466130" w:rsidRPr="00E53834">
        <w:rPr>
          <w:color w:val="000000"/>
        </w:rPr>
        <w:t xml:space="preserve"> </w:t>
      </w:r>
      <w:r w:rsidRPr="00E53834">
        <w:rPr>
          <w:color w:val="000000"/>
        </w:rPr>
        <w:t>R</w:t>
      </w:r>
      <w:r w:rsidR="00466130" w:rsidRPr="00E53834">
        <w:rPr>
          <w:color w:val="000000"/>
        </w:rPr>
        <w:t>equirements</w:t>
      </w:r>
    </w:p>
    <w:p w14:paraId="53A01BA9" w14:textId="0A98439D" w:rsidR="00D46857" w:rsidRPr="00A164EF" w:rsidRDefault="00D46857" w:rsidP="0000663C">
      <w:pPr>
        <w:jc w:val="both"/>
        <w:rPr>
          <w:color w:val="000000"/>
        </w:rPr>
      </w:pPr>
    </w:p>
    <w:p w14:paraId="272D4153" w14:textId="0F2F5DF5" w:rsidR="00166733" w:rsidRDefault="00166733" w:rsidP="00166733">
      <w:pPr>
        <w:spacing w:after="240"/>
        <w:rPr>
          <w:rFonts w:eastAsia="Arial" w:cs="Arial"/>
        </w:rPr>
      </w:pPr>
      <w:r>
        <w:rPr>
          <w:rFonts w:eastAsia="Arial" w:cs="Arial"/>
        </w:rPr>
        <w:t xml:space="preserve">D.15-10-028 requires each </w:t>
      </w:r>
      <w:r w:rsidR="00277866">
        <w:rPr>
          <w:rFonts w:eastAsia="Arial" w:cs="Arial"/>
        </w:rPr>
        <w:t>program administrator</w:t>
      </w:r>
      <w:r w:rsidR="00E2492F">
        <w:rPr>
          <w:rFonts w:eastAsia="Arial" w:cs="Arial"/>
        </w:rPr>
        <w:t>’</w:t>
      </w:r>
      <w:r w:rsidR="00EA7EF6">
        <w:rPr>
          <w:rFonts w:eastAsia="Arial" w:cs="Arial"/>
        </w:rPr>
        <w:t>s</w:t>
      </w:r>
      <w:r>
        <w:rPr>
          <w:rFonts w:eastAsia="Arial" w:cs="Arial"/>
        </w:rPr>
        <w:t xml:space="preserve"> </w:t>
      </w:r>
      <w:r w:rsidR="00277866">
        <w:rPr>
          <w:rFonts w:eastAsia="Arial" w:cs="Arial"/>
        </w:rPr>
        <w:t xml:space="preserve">(PA) </w:t>
      </w:r>
      <w:r>
        <w:rPr>
          <w:rFonts w:eastAsia="Arial" w:cs="Arial"/>
        </w:rPr>
        <w:t xml:space="preserve">advice letter to contain: </w:t>
      </w:r>
    </w:p>
    <w:p w14:paraId="0E2FD529" w14:textId="54119DEC" w:rsidR="00166733" w:rsidRDefault="00675406" w:rsidP="0092145B">
      <w:pPr>
        <w:numPr>
          <w:ilvl w:val="0"/>
          <w:numId w:val="8"/>
        </w:numPr>
        <w:spacing w:after="240"/>
        <w:rPr>
          <w:rFonts w:eastAsia="Arial" w:cs="Arial"/>
        </w:rPr>
      </w:pPr>
      <w:r>
        <w:rPr>
          <w:rFonts w:eastAsia="Arial" w:cs="Arial"/>
        </w:rPr>
        <w:t>A p</w:t>
      </w:r>
      <w:r w:rsidR="00166733">
        <w:rPr>
          <w:rFonts w:eastAsia="Arial" w:cs="Arial"/>
        </w:rPr>
        <w:t>ortfolio cost-effectiveness statement; and</w:t>
      </w:r>
    </w:p>
    <w:p w14:paraId="5C114EB9" w14:textId="77777777" w:rsidR="00166733" w:rsidRPr="00A16E7A" w:rsidRDefault="00166733" w:rsidP="0092145B">
      <w:pPr>
        <w:numPr>
          <w:ilvl w:val="0"/>
          <w:numId w:val="8"/>
        </w:numPr>
        <w:spacing w:after="240"/>
        <w:rPr>
          <w:rFonts w:eastAsia="Arial" w:cs="Arial"/>
        </w:rPr>
      </w:pPr>
      <w:r>
        <w:rPr>
          <w:rFonts w:eastAsia="Arial" w:cs="Arial"/>
        </w:rPr>
        <w:t>Application summary tables with forecast budgets and savings by sector and program/intervention.</w:t>
      </w:r>
    </w:p>
    <w:p w14:paraId="283F6C06" w14:textId="273433A2" w:rsidR="00A21535" w:rsidRDefault="00A21535" w:rsidP="00A21535">
      <w:pPr>
        <w:spacing w:after="240"/>
        <w:rPr>
          <w:rFonts w:eastAsia="Arial" w:cs="Arial"/>
        </w:rPr>
      </w:pPr>
      <w:r>
        <w:rPr>
          <w:rFonts w:eastAsia="Arial" w:cs="Arial"/>
        </w:rPr>
        <w:t>Furthermore, D.18-05-041 provide</w:t>
      </w:r>
      <w:r w:rsidR="00277866">
        <w:rPr>
          <w:rFonts w:eastAsia="Arial" w:cs="Arial"/>
        </w:rPr>
        <w:t>s</w:t>
      </w:r>
      <w:r>
        <w:rPr>
          <w:rFonts w:eastAsia="Arial" w:cs="Arial"/>
        </w:rPr>
        <w:t xml:space="preserve"> additional guidance to PAs </w:t>
      </w:r>
      <w:r w:rsidR="00675406">
        <w:rPr>
          <w:rFonts w:eastAsia="Arial" w:cs="Arial"/>
        </w:rPr>
        <w:t xml:space="preserve">regarding </w:t>
      </w:r>
      <w:r>
        <w:rPr>
          <w:rFonts w:eastAsia="Arial" w:cs="Arial"/>
        </w:rPr>
        <w:t>ABAL</w:t>
      </w:r>
      <w:r w:rsidR="00675406">
        <w:rPr>
          <w:rFonts w:eastAsia="Arial" w:cs="Arial"/>
        </w:rPr>
        <w:t xml:space="preserve"> submission</w:t>
      </w:r>
      <w:r>
        <w:rPr>
          <w:rFonts w:eastAsia="Arial" w:cs="Arial"/>
        </w:rPr>
        <w:t>. D.18-05-041 requires that the</w:t>
      </w:r>
      <w:r w:rsidR="00E2492F">
        <w:rPr>
          <w:rFonts w:eastAsia="Arial" w:cs="Arial"/>
        </w:rPr>
        <w:t xml:space="preserve"> investor-owned utilities’</w:t>
      </w:r>
      <w:r>
        <w:rPr>
          <w:rFonts w:eastAsia="Arial" w:cs="Arial"/>
        </w:rPr>
        <w:t xml:space="preserve"> </w:t>
      </w:r>
      <w:r w:rsidR="00E2492F">
        <w:rPr>
          <w:rFonts w:eastAsia="Arial" w:cs="Arial"/>
        </w:rPr>
        <w:t>(</w:t>
      </w:r>
      <w:r>
        <w:rPr>
          <w:rFonts w:eastAsia="Arial" w:cs="Arial"/>
        </w:rPr>
        <w:t>IOUs</w:t>
      </w:r>
      <w:r w:rsidR="00E2492F">
        <w:rPr>
          <w:rFonts w:eastAsia="Arial" w:cs="Arial"/>
        </w:rPr>
        <w:t>)</w:t>
      </w:r>
      <w:r>
        <w:rPr>
          <w:rFonts w:eastAsia="Arial" w:cs="Arial"/>
        </w:rPr>
        <w:t xml:space="preserve"> ABALs include the following:</w:t>
      </w:r>
    </w:p>
    <w:p w14:paraId="241FE851" w14:textId="0333B107" w:rsidR="00A21535" w:rsidRDefault="00A21535" w:rsidP="0092145B">
      <w:pPr>
        <w:numPr>
          <w:ilvl w:val="0"/>
          <w:numId w:val="9"/>
        </w:numPr>
        <w:spacing w:after="240"/>
        <w:rPr>
          <w:rFonts w:eastAsia="Arial" w:cs="Arial"/>
        </w:rPr>
      </w:pPr>
      <w:r>
        <w:rPr>
          <w:rFonts w:eastAsia="Arial" w:cs="Arial"/>
        </w:rPr>
        <w:t xml:space="preserve">A forecasted </w:t>
      </w:r>
      <w:r w:rsidR="00FA66B1">
        <w:rPr>
          <w:rFonts w:eastAsia="Arial" w:cs="Arial"/>
        </w:rPr>
        <w:t>Total Resource Cost (</w:t>
      </w:r>
      <w:r>
        <w:rPr>
          <w:rFonts w:eastAsia="Arial" w:cs="Arial"/>
        </w:rPr>
        <w:t>TRC</w:t>
      </w:r>
      <w:r w:rsidR="00FA66B1">
        <w:rPr>
          <w:rFonts w:eastAsia="Arial" w:cs="Arial"/>
        </w:rPr>
        <w:t>) test score</w:t>
      </w:r>
      <w:r>
        <w:rPr>
          <w:rFonts w:eastAsia="Arial" w:cs="Arial"/>
        </w:rPr>
        <w:t xml:space="preserve"> that meet</w:t>
      </w:r>
      <w:r w:rsidR="00FA66B1">
        <w:rPr>
          <w:rFonts w:eastAsia="Arial" w:cs="Arial"/>
        </w:rPr>
        <w:t>s</w:t>
      </w:r>
      <w:r>
        <w:rPr>
          <w:rFonts w:eastAsia="Arial" w:cs="Arial"/>
        </w:rPr>
        <w:t xml:space="preserve"> or exceed</w:t>
      </w:r>
      <w:r w:rsidR="00FA66B1">
        <w:rPr>
          <w:rFonts w:eastAsia="Arial" w:cs="Arial"/>
        </w:rPr>
        <w:t>s</w:t>
      </w:r>
      <w:r>
        <w:rPr>
          <w:rFonts w:eastAsia="Arial" w:cs="Arial"/>
        </w:rPr>
        <w:t xml:space="preserve"> 1.25, except during program years 2019-2022, when the forecasted TRC must meet or exceed 1.0; </w:t>
      </w:r>
    </w:p>
    <w:p w14:paraId="77201F7F" w14:textId="13BC9A54" w:rsidR="00A21535" w:rsidRDefault="00A21535" w:rsidP="0092145B">
      <w:pPr>
        <w:numPr>
          <w:ilvl w:val="0"/>
          <w:numId w:val="9"/>
        </w:numPr>
        <w:spacing w:after="240"/>
        <w:rPr>
          <w:rFonts w:eastAsia="Arial" w:cs="Arial"/>
        </w:rPr>
      </w:pPr>
      <w:r>
        <w:rPr>
          <w:rFonts w:eastAsia="Arial" w:cs="Arial"/>
        </w:rPr>
        <w:t>Forecasted energy savings goals that must meet or exceed Commission</w:t>
      </w:r>
      <w:r w:rsidR="00E2492F">
        <w:rPr>
          <w:rFonts w:eastAsia="Arial" w:cs="Arial"/>
        </w:rPr>
        <w:t>-</w:t>
      </w:r>
      <w:r>
        <w:rPr>
          <w:rFonts w:eastAsia="Arial" w:cs="Arial"/>
        </w:rPr>
        <w:t xml:space="preserve"> established savings goals for each IOU; and </w:t>
      </w:r>
    </w:p>
    <w:p w14:paraId="2665548F" w14:textId="0D7A7D68" w:rsidR="00A21535" w:rsidRDefault="00A21535" w:rsidP="0092145B">
      <w:pPr>
        <w:numPr>
          <w:ilvl w:val="0"/>
          <w:numId w:val="9"/>
        </w:numPr>
        <w:spacing w:after="240"/>
        <w:rPr>
          <w:rFonts w:eastAsia="Arial" w:cs="Arial"/>
        </w:rPr>
      </w:pPr>
      <w:r>
        <w:rPr>
          <w:rFonts w:eastAsia="Arial" w:cs="Arial"/>
        </w:rPr>
        <w:t xml:space="preserve">A forecasted budget that must not exceed the PA’s annual budget in the approved </w:t>
      </w:r>
      <w:r w:rsidR="00675406">
        <w:rPr>
          <w:rFonts w:eastAsia="Arial" w:cs="Arial"/>
        </w:rPr>
        <w:t>Business Plans</w:t>
      </w:r>
      <w:r>
        <w:rPr>
          <w:rFonts w:eastAsia="Arial" w:cs="Arial"/>
        </w:rPr>
        <w:t>, or (if applicable) the revised annual budget in this ABAL.</w:t>
      </w:r>
      <w:r>
        <w:rPr>
          <w:rStyle w:val="FootnoteReference"/>
          <w:rFonts w:eastAsia="Arial" w:cs="Arial"/>
        </w:rPr>
        <w:footnoteReference w:id="5"/>
      </w:r>
    </w:p>
    <w:p w14:paraId="1869AA86" w14:textId="3819D2C4" w:rsidR="00A21535" w:rsidRDefault="00A21535" w:rsidP="00A21535">
      <w:pPr>
        <w:spacing w:after="240"/>
        <w:rPr>
          <w:b/>
          <w:bCs/>
          <w:u w:val="single"/>
        </w:rPr>
      </w:pPr>
      <w:r w:rsidRPr="00D331AB">
        <w:rPr>
          <w:rFonts w:eastAsia="Arial" w:cs="Arial"/>
        </w:rPr>
        <w:t>If a PA’s ABAL submitted for program year 2019 through program year 2022 fails to meet the criteria above</w:t>
      </w:r>
      <w:r w:rsidR="00D44F35">
        <w:rPr>
          <w:rFonts w:eastAsia="Arial" w:cs="Arial"/>
        </w:rPr>
        <w:t>, including a forecasted portfolio TRC of 1.0 during program years 2019-2022</w:t>
      </w:r>
      <w:r w:rsidRPr="00D331AB">
        <w:rPr>
          <w:rFonts w:eastAsia="Arial" w:cs="Arial"/>
        </w:rPr>
        <w:t xml:space="preserve">, the PA is to hold a workshop to provide transparency </w:t>
      </w:r>
      <w:r>
        <w:rPr>
          <w:rFonts w:eastAsia="Arial" w:cs="Arial"/>
        </w:rPr>
        <w:t>into</w:t>
      </w:r>
      <w:r w:rsidRPr="00D331AB">
        <w:rPr>
          <w:rFonts w:eastAsia="Arial" w:cs="Arial"/>
        </w:rPr>
        <w:t xml:space="preserve"> the </w:t>
      </w:r>
      <w:r>
        <w:rPr>
          <w:rFonts w:eastAsia="Arial" w:cs="Arial"/>
        </w:rPr>
        <w:t xml:space="preserve">associated </w:t>
      </w:r>
      <w:r w:rsidRPr="00D331AB">
        <w:rPr>
          <w:rFonts w:eastAsia="Arial" w:cs="Arial"/>
        </w:rPr>
        <w:t xml:space="preserve">challenges and </w:t>
      </w:r>
      <w:r>
        <w:rPr>
          <w:rFonts w:eastAsia="Arial" w:cs="Arial"/>
        </w:rPr>
        <w:t xml:space="preserve">receive feedback that </w:t>
      </w:r>
      <w:r w:rsidR="00222EF6">
        <w:rPr>
          <w:rFonts w:eastAsia="Arial" w:cs="Arial"/>
        </w:rPr>
        <w:t>would potentially</w:t>
      </w:r>
      <w:r w:rsidR="00222EF6" w:rsidRPr="00D331AB">
        <w:rPr>
          <w:rFonts w:eastAsia="Arial" w:cs="Arial"/>
        </w:rPr>
        <w:t xml:space="preserve"> </w:t>
      </w:r>
      <w:r w:rsidRPr="00D331AB">
        <w:rPr>
          <w:rFonts w:eastAsia="Arial" w:cs="Arial"/>
        </w:rPr>
        <w:t xml:space="preserve">aid the PA in revising its </w:t>
      </w:r>
      <w:r w:rsidR="00675406">
        <w:rPr>
          <w:rFonts w:eastAsia="Arial" w:cs="Arial"/>
        </w:rPr>
        <w:t>Business Plan</w:t>
      </w:r>
      <w:r>
        <w:rPr>
          <w:rFonts w:eastAsia="Arial" w:cs="Arial"/>
        </w:rPr>
        <w:t xml:space="preserve"> pursuant to D.15-10-028 for C</w:t>
      </w:r>
      <w:r w:rsidRPr="00D331AB">
        <w:rPr>
          <w:rFonts w:eastAsia="Arial" w:cs="Arial"/>
        </w:rPr>
        <w:t>ommission approval.</w:t>
      </w:r>
      <w:r w:rsidR="00CC735F">
        <w:rPr>
          <w:rStyle w:val="FootnoteReference"/>
          <w:rFonts w:eastAsia="Arial" w:cs="Arial"/>
        </w:rPr>
        <w:footnoteReference w:id="6"/>
      </w:r>
    </w:p>
    <w:p w14:paraId="59753729" w14:textId="77777777" w:rsidR="00F41946" w:rsidRPr="00567C4C" w:rsidRDefault="00F41946" w:rsidP="00567C4C">
      <w:pPr>
        <w:overflowPunct/>
        <w:autoSpaceDE/>
        <w:autoSpaceDN/>
        <w:adjustRightInd/>
        <w:jc w:val="both"/>
        <w:textAlignment w:val="auto"/>
        <w:rPr>
          <w:b/>
          <w:color w:val="000000"/>
        </w:rPr>
      </w:pPr>
    </w:p>
    <w:p w14:paraId="483E25A7" w14:textId="466D9200" w:rsidR="00506644" w:rsidRPr="007F57DB" w:rsidRDefault="00766CC2" w:rsidP="0092145B">
      <w:pPr>
        <w:pStyle w:val="Heading2"/>
        <w:numPr>
          <w:ilvl w:val="0"/>
          <w:numId w:val="6"/>
        </w:numPr>
        <w:rPr>
          <w:color w:val="000000"/>
        </w:rPr>
      </w:pPr>
      <w:r w:rsidRPr="007F57DB">
        <w:rPr>
          <w:color w:val="000000"/>
        </w:rPr>
        <w:t xml:space="preserve">Contents of this Filing </w:t>
      </w:r>
    </w:p>
    <w:p w14:paraId="3AE42437" w14:textId="77777777" w:rsidR="00766CC2" w:rsidRDefault="00766CC2" w:rsidP="0000663C">
      <w:pPr>
        <w:jc w:val="both"/>
        <w:rPr>
          <w:b/>
          <w:color w:val="000000"/>
        </w:rPr>
      </w:pPr>
    </w:p>
    <w:p w14:paraId="73C95642" w14:textId="550A81D2" w:rsidR="00716811" w:rsidRPr="008E6649" w:rsidRDefault="00C55265" w:rsidP="0000663C">
      <w:pPr>
        <w:jc w:val="both"/>
        <w:rPr>
          <w:color w:val="000000"/>
        </w:rPr>
      </w:pPr>
      <w:r>
        <w:rPr>
          <w:color w:val="000000"/>
        </w:rPr>
        <w:t xml:space="preserve">PG&amp;E's advice letter is organized as follows: </w:t>
      </w:r>
    </w:p>
    <w:p w14:paraId="0DFF1465" w14:textId="77777777" w:rsidR="00716811" w:rsidRDefault="00716811" w:rsidP="0000663C">
      <w:pPr>
        <w:jc w:val="both"/>
        <w:rPr>
          <w:color w:val="000000"/>
        </w:rPr>
      </w:pPr>
    </w:p>
    <w:p w14:paraId="0DBE2842" w14:textId="77777777" w:rsidR="00716811" w:rsidRDefault="00716811" w:rsidP="00F31737">
      <w:pPr>
        <w:pStyle w:val="ListParagraph"/>
        <w:numPr>
          <w:ilvl w:val="0"/>
          <w:numId w:val="4"/>
        </w:numPr>
        <w:jc w:val="both"/>
        <w:rPr>
          <w:color w:val="000000"/>
        </w:rPr>
      </w:pPr>
      <w:r>
        <w:rPr>
          <w:color w:val="000000"/>
        </w:rPr>
        <w:t xml:space="preserve">Budget </w:t>
      </w:r>
    </w:p>
    <w:p w14:paraId="52339B14" w14:textId="77777777" w:rsidR="00716811" w:rsidRPr="008E6649" w:rsidRDefault="00716811" w:rsidP="00F31737">
      <w:pPr>
        <w:pStyle w:val="ListParagraph"/>
        <w:numPr>
          <w:ilvl w:val="0"/>
          <w:numId w:val="4"/>
        </w:numPr>
        <w:jc w:val="both"/>
        <w:rPr>
          <w:color w:val="000000"/>
        </w:rPr>
      </w:pPr>
      <w:r w:rsidRPr="008E6649">
        <w:rPr>
          <w:color w:val="000000"/>
        </w:rPr>
        <w:t xml:space="preserve">Goals </w:t>
      </w:r>
    </w:p>
    <w:p w14:paraId="20D13C90" w14:textId="1C1B8861" w:rsidR="00716811" w:rsidRDefault="00716811" w:rsidP="00F31737">
      <w:pPr>
        <w:pStyle w:val="ListParagraph"/>
        <w:numPr>
          <w:ilvl w:val="0"/>
          <w:numId w:val="4"/>
        </w:numPr>
        <w:jc w:val="both"/>
        <w:rPr>
          <w:color w:val="000000"/>
        </w:rPr>
      </w:pPr>
      <w:r w:rsidRPr="008E6649">
        <w:rPr>
          <w:color w:val="000000"/>
        </w:rPr>
        <w:t>Cost</w:t>
      </w:r>
      <w:r w:rsidR="00EC6A66">
        <w:rPr>
          <w:color w:val="000000"/>
        </w:rPr>
        <w:t>-</w:t>
      </w:r>
      <w:r w:rsidRPr="008E6649">
        <w:rPr>
          <w:color w:val="000000"/>
        </w:rPr>
        <w:t>Effectiveness</w:t>
      </w:r>
      <w:r w:rsidR="00277866">
        <w:rPr>
          <w:color w:val="000000"/>
        </w:rPr>
        <w:t xml:space="preserve"> Statement</w:t>
      </w:r>
    </w:p>
    <w:p w14:paraId="0318B9F2" w14:textId="0318B9F2" w:rsidR="0318B9F2" w:rsidRDefault="0318B9F2" w:rsidP="002814DA">
      <w:pPr>
        <w:pStyle w:val="ListParagraph"/>
        <w:numPr>
          <w:ilvl w:val="0"/>
          <w:numId w:val="4"/>
        </w:numPr>
        <w:jc w:val="both"/>
      </w:pPr>
      <w:r w:rsidRPr="002814DA">
        <w:rPr>
          <w:color w:val="000000" w:themeColor="text1"/>
        </w:rPr>
        <w:t>Cost Recovery</w:t>
      </w:r>
    </w:p>
    <w:p w14:paraId="000B967E" w14:textId="77777777" w:rsidR="00AE50FC" w:rsidRDefault="00AE50FC" w:rsidP="00AE50FC">
      <w:pPr>
        <w:pStyle w:val="ListParagraph"/>
        <w:numPr>
          <w:ilvl w:val="0"/>
          <w:numId w:val="4"/>
        </w:numPr>
        <w:jc w:val="both"/>
        <w:rPr>
          <w:color w:val="000000"/>
        </w:rPr>
      </w:pPr>
      <w:r>
        <w:rPr>
          <w:color w:val="000000"/>
        </w:rPr>
        <w:t xml:space="preserve">Prior Years’ </w:t>
      </w:r>
      <w:r w:rsidRPr="008E6649">
        <w:rPr>
          <w:color w:val="000000"/>
        </w:rPr>
        <w:t>Unspent Funds</w:t>
      </w:r>
      <w:r w:rsidRPr="00E82D5C">
        <w:rPr>
          <w:color w:val="000000"/>
        </w:rPr>
        <w:t xml:space="preserve"> </w:t>
      </w:r>
    </w:p>
    <w:p w14:paraId="4BC0C590" w14:textId="5A8038DF" w:rsidR="003E12ED" w:rsidRPr="00685585" w:rsidRDefault="00F45A0B" w:rsidP="00685585">
      <w:pPr>
        <w:pStyle w:val="ListParagraph"/>
        <w:numPr>
          <w:ilvl w:val="0"/>
          <w:numId w:val="4"/>
        </w:numPr>
        <w:jc w:val="both"/>
        <w:rPr>
          <w:color w:val="000000"/>
        </w:rPr>
      </w:pPr>
      <w:r>
        <w:rPr>
          <w:color w:val="000000"/>
        </w:rPr>
        <w:t>2020</w:t>
      </w:r>
      <w:r w:rsidR="00AE50FC">
        <w:rPr>
          <w:color w:val="000000"/>
        </w:rPr>
        <w:t xml:space="preserve"> </w:t>
      </w:r>
      <w:r w:rsidR="00685585">
        <w:rPr>
          <w:color w:val="000000"/>
        </w:rPr>
        <w:t xml:space="preserve">Program </w:t>
      </w:r>
      <w:r w:rsidR="003E12ED" w:rsidRPr="00685585">
        <w:rPr>
          <w:color w:val="000000"/>
        </w:rPr>
        <w:t>Changes</w:t>
      </w:r>
    </w:p>
    <w:p w14:paraId="792819D5" w14:textId="77777777" w:rsidR="00AE50FC" w:rsidRDefault="00AE50FC" w:rsidP="00AE50FC">
      <w:pPr>
        <w:pStyle w:val="ListParagraph"/>
        <w:numPr>
          <w:ilvl w:val="0"/>
          <w:numId w:val="4"/>
        </w:numPr>
        <w:jc w:val="both"/>
        <w:rPr>
          <w:color w:val="000000"/>
        </w:rPr>
      </w:pPr>
      <w:r>
        <w:rPr>
          <w:color w:val="000000"/>
        </w:rPr>
        <w:t>Evaluation, Measurement &amp; Verification (EM&amp;V)</w:t>
      </w:r>
    </w:p>
    <w:p w14:paraId="4F836A0C" w14:textId="1B63F569" w:rsidR="00606951" w:rsidRPr="00E82D5C" w:rsidRDefault="00606951" w:rsidP="00AE50FC">
      <w:pPr>
        <w:pStyle w:val="ListParagraph"/>
        <w:numPr>
          <w:ilvl w:val="0"/>
          <w:numId w:val="4"/>
        </w:numPr>
        <w:jc w:val="both"/>
        <w:rPr>
          <w:color w:val="000000"/>
        </w:rPr>
      </w:pPr>
      <w:r>
        <w:rPr>
          <w:color w:val="000000"/>
        </w:rPr>
        <w:lastRenderedPageBreak/>
        <w:t>Metrics</w:t>
      </w:r>
      <w:r w:rsidR="00D44F35">
        <w:rPr>
          <w:color w:val="000000"/>
        </w:rPr>
        <w:t xml:space="preserve"> to date</w:t>
      </w:r>
    </w:p>
    <w:p w14:paraId="71DFDF84" w14:textId="77777777" w:rsidR="00716811" w:rsidRDefault="00716811" w:rsidP="0000663C">
      <w:pPr>
        <w:jc w:val="both"/>
        <w:rPr>
          <w:color w:val="000000"/>
        </w:rPr>
      </w:pPr>
    </w:p>
    <w:p w14:paraId="63203DBD" w14:textId="677A3BB1" w:rsidR="00A95CE1" w:rsidRDefault="00716811" w:rsidP="0000663C">
      <w:pPr>
        <w:jc w:val="both"/>
        <w:rPr>
          <w:color w:val="000000"/>
        </w:rPr>
      </w:pPr>
      <w:r>
        <w:rPr>
          <w:color w:val="000000"/>
        </w:rPr>
        <w:t xml:space="preserve">In addition to the information above, </w:t>
      </w:r>
      <w:r w:rsidR="00297510">
        <w:rPr>
          <w:color w:val="000000"/>
        </w:rPr>
        <w:t xml:space="preserve">PG&amp;E’s </w:t>
      </w:r>
      <w:r w:rsidR="00F45A0B">
        <w:rPr>
          <w:color w:val="000000"/>
        </w:rPr>
        <w:t>2020</w:t>
      </w:r>
      <w:r w:rsidR="00601D72" w:rsidRPr="00CF5C4E">
        <w:rPr>
          <w:color w:val="000000"/>
        </w:rPr>
        <w:t xml:space="preserve"> </w:t>
      </w:r>
      <w:r w:rsidR="00E2492F">
        <w:rPr>
          <w:color w:val="000000"/>
        </w:rPr>
        <w:t>ABAL</w:t>
      </w:r>
      <w:r w:rsidR="00A95CE1">
        <w:rPr>
          <w:color w:val="000000"/>
        </w:rPr>
        <w:t xml:space="preserve"> includes </w:t>
      </w:r>
      <w:r w:rsidR="00F8053B">
        <w:rPr>
          <w:color w:val="000000"/>
        </w:rPr>
        <w:t>the following</w:t>
      </w:r>
      <w:r w:rsidR="00297510">
        <w:rPr>
          <w:color w:val="000000"/>
        </w:rPr>
        <w:t xml:space="preserve"> materials:</w:t>
      </w:r>
    </w:p>
    <w:p w14:paraId="6E51E660" w14:textId="6CA9E1AF" w:rsidR="00A5414F" w:rsidRDefault="009B6B42" w:rsidP="009B6B42">
      <w:pPr>
        <w:tabs>
          <w:tab w:val="left" w:pos="1770"/>
        </w:tabs>
        <w:jc w:val="both"/>
        <w:rPr>
          <w:color w:val="000000"/>
        </w:rPr>
      </w:pPr>
      <w:r>
        <w:rPr>
          <w:color w:val="000000"/>
        </w:rPr>
        <w:tab/>
      </w:r>
      <w:r w:rsidR="00297510">
        <w:rPr>
          <w:color w:val="000000"/>
        </w:rPr>
        <w:t xml:space="preserve"> </w:t>
      </w:r>
    </w:p>
    <w:p w14:paraId="64172C76" w14:textId="421C5D92" w:rsidR="00C97C61" w:rsidRPr="008660D4" w:rsidDel="00C3387E" w:rsidRDefault="00C97C61" w:rsidP="00F31737">
      <w:pPr>
        <w:pStyle w:val="ListParagraph"/>
        <w:numPr>
          <w:ilvl w:val="0"/>
          <w:numId w:val="3"/>
        </w:numPr>
        <w:jc w:val="both"/>
        <w:rPr>
          <w:color w:val="000000"/>
        </w:rPr>
      </w:pPr>
      <w:bookmarkStart w:id="1" w:name="_Hlk523308277"/>
      <w:r w:rsidRPr="00740F34" w:rsidDel="00C3387E">
        <w:rPr>
          <w:color w:val="000000"/>
        </w:rPr>
        <w:t>Attach</w:t>
      </w:r>
      <w:r w:rsidRPr="009047D2" w:rsidDel="00C3387E">
        <w:rPr>
          <w:color w:val="000000"/>
        </w:rPr>
        <w:t>ment</w:t>
      </w:r>
      <w:r w:rsidRPr="008660D4" w:rsidDel="00C3387E">
        <w:rPr>
          <w:color w:val="000000"/>
        </w:rPr>
        <w:t>s</w:t>
      </w:r>
      <w:r w:rsidR="002C7C2A">
        <w:rPr>
          <w:color w:val="000000"/>
        </w:rPr>
        <w:t>:</w:t>
      </w:r>
    </w:p>
    <w:p w14:paraId="379C02DE" w14:textId="55957178" w:rsidR="00C97C61" w:rsidRPr="008660D4" w:rsidDel="00C3387E" w:rsidRDefault="00C97C61" w:rsidP="00F31737">
      <w:pPr>
        <w:pStyle w:val="ListParagraph"/>
        <w:numPr>
          <w:ilvl w:val="1"/>
          <w:numId w:val="3"/>
        </w:numPr>
        <w:jc w:val="both"/>
        <w:rPr>
          <w:color w:val="000000"/>
        </w:rPr>
      </w:pPr>
      <w:r w:rsidRPr="008660D4" w:rsidDel="00C3387E">
        <w:rPr>
          <w:color w:val="000000"/>
        </w:rPr>
        <w:t xml:space="preserve">Attachment 1 </w:t>
      </w:r>
      <w:r w:rsidRPr="008660D4">
        <w:rPr>
          <w:color w:val="000000"/>
        </w:rPr>
        <w:t>–</w:t>
      </w:r>
      <w:r w:rsidRPr="008660D4" w:rsidDel="00C3387E">
        <w:rPr>
          <w:color w:val="000000"/>
        </w:rPr>
        <w:t xml:space="preserve"> </w:t>
      </w:r>
      <w:r w:rsidR="00C217A0">
        <w:rPr>
          <w:color w:val="000000"/>
        </w:rPr>
        <w:t>California Energy Data and Reporting System (</w:t>
      </w:r>
      <w:r w:rsidRPr="008660D4">
        <w:rPr>
          <w:color w:val="000000"/>
        </w:rPr>
        <w:t>CEDARS</w:t>
      </w:r>
      <w:r w:rsidR="00C217A0">
        <w:rPr>
          <w:color w:val="000000"/>
        </w:rPr>
        <w:t>)</w:t>
      </w:r>
      <w:r w:rsidRPr="008660D4">
        <w:rPr>
          <w:color w:val="000000"/>
        </w:rPr>
        <w:t xml:space="preserve"> Filing Confirmation</w:t>
      </w:r>
    </w:p>
    <w:p w14:paraId="7726D377" w14:textId="66D887C6" w:rsidR="00C97C61" w:rsidRPr="008660D4" w:rsidDel="00C3387E" w:rsidRDefault="00C97C61" w:rsidP="00F31737">
      <w:pPr>
        <w:pStyle w:val="ListParagraph"/>
        <w:numPr>
          <w:ilvl w:val="1"/>
          <w:numId w:val="3"/>
        </w:numPr>
        <w:jc w:val="both"/>
        <w:rPr>
          <w:color w:val="000000"/>
        </w:rPr>
      </w:pPr>
      <w:r w:rsidRPr="008660D4" w:rsidDel="00C3387E">
        <w:rPr>
          <w:color w:val="000000"/>
        </w:rPr>
        <w:t xml:space="preserve">Attachment </w:t>
      </w:r>
      <w:r w:rsidR="00C04778" w:rsidRPr="008660D4">
        <w:rPr>
          <w:color w:val="000000"/>
        </w:rPr>
        <w:t>2</w:t>
      </w:r>
      <w:r w:rsidR="00C04778" w:rsidRPr="009047D2" w:rsidDel="00C3387E">
        <w:rPr>
          <w:color w:val="000000"/>
        </w:rPr>
        <w:t xml:space="preserve"> </w:t>
      </w:r>
      <w:r w:rsidRPr="008660D4">
        <w:rPr>
          <w:color w:val="000000"/>
        </w:rPr>
        <w:t>–</w:t>
      </w:r>
      <w:r w:rsidRPr="008660D4" w:rsidDel="00C3387E">
        <w:rPr>
          <w:color w:val="000000"/>
        </w:rPr>
        <w:t xml:space="preserve"> </w:t>
      </w:r>
      <w:r w:rsidR="0063500C">
        <w:rPr>
          <w:color w:val="000000"/>
        </w:rPr>
        <w:t xml:space="preserve">Appendices </w:t>
      </w:r>
    </w:p>
    <w:p w14:paraId="278B6DC0" w14:textId="1BDDA1EE" w:rsidR="00C97C61" w:rsidRPr="008660D4" w:rsidDel="00C3387E" w:rsidRDefault="00C97C61" w:rsidP="00F31737">
      <w:pPr>
        <w:pStyle w:val="ListParagraph"/>
        <w:numPr>
          <w:ilvl w:val="1"/>
          <w:numId w:val="3"/>
        </w:numPr>
        <w:jc w:val="both"/>
        <w:rPr>
          <w:color w:val="000000"/>
        </w:rPr>
      </w:pPr>
      <w:r w:rsidRPr="008660D4">
        <w:rPr>
          <w:color w:val="000000"/>
        </w:rPr>
        <w:t xml:space="preserve">Attachment </w:t>
      </w:r>
      <w:r w:rsidR="00C04778" w:rsidRPr="008660D4">
        <w:rPr>
          <w:color w:val="000000"/>
        </w:rPr>
        <w:t>3</w:t>
      </w:r>
      <w:r w:rsidR="00C04778" w:rsidRPr="009047D2">
        <w:rPr>
          <w:color w:val="000000"/>
        </w:rPr>
        <w:t xml:space="preserve"> </w:t>
      </w:r>
      <w:r w:rsidRPr="008660D4">
        <w:rPr>
          <w:color w:val="000000"/>
        </w:rPr>
        <w:t xml:space="preserve">– </w:t>
      </w:r>
      <w:r w:rsidR="0063500C">
        <w:rPr>
          <w:color w:val="000000"/>
        </w:rPr>
        <w:t>Caps and Targets Tables</w:t>
      </w:r>
    </w:p>
    <w:p w14:paraId="0FA14BE1" w14:textId="0BA21A52" w:rsidR="0063500C" w:rsidRDefault="00D545F0" w:rsidP="00F31737">
      <w:pPr>
        <w:pStyle w:val="ListParagraph"/>
        <w:numPr>
          <w:ilvl w:val="1"/>
          <w:numId w:val="3"/>
        </w:numPr>
        <w:jc w:val="both"/>
        <w:rPr>
          <w:color w:val="000000"/>
        </w:rPr>
      </w:pPr>
      <w:r w:rsidRPr="008660D4">
        <w:rPr>
          <w:color w:val="000000"/>
        </w:rPr>
        <w:t xml:space="preserve">Attachment </w:t>
      </w:r>
      <w:r w:rsidR="00C04778" w:rsidRPr="008660D4">
        <w:rPr>
          <w:color w:val="000000"/>
        </w:rPr>
        <w:t>4</w:t>
      </w:r>
      <w:r w:rsidR="00C04778" w:rsidRPr="009047D2">
        <w:rPr>
          <w:color w:val="000000"/>
        </w:rPr>
        <w:t xml:space="preserve"> </w:t>
      </w:r>
      <w:r w:rsidRPr="008660D4">
        <w:rPr>
          <w:color w:val="000000"/>
        </w:rPr>
        <w:t xml:space="preserve">– </w:t>
      </w:r>
      <w:r w:rsidR="0063500C">
        <w:rPr>
          <w:color w:val="000000"/>
        </w:rPr>
        <w:t>Program Closures</w:t>
      </w:r>
    </w:p>
    <w:p w14:paraId="382724A7" w14:textId="7F73353C" w:rsidR="0063500C" w:rsidRDefault="0063500C" w:rsidP="0063500C">
      <w:pPr>
        <w:pStyle w:val="ListParagraph"/>
        <w:numPr>
          <w:ilvl w:val="1"/>
          <w:numId w:val="3"/>
        </w:numPr>
        <w:jc w:val="both"/>
        <w:rPr>
          <w:color w:val="000000"/>
        </w:rPr>
      </w:pPr>
      <w:r w:rsidRPr="008660D4">
        <w:rPr>
          <w:color w:val="000000"/>
        </w:rPr>
        <w:t xml:space="preserve">Attachment </w:t>
      </w:r>
      <w:r>
        <w:rPr>
          <w:color w:val="000000"/>
        </w:rPr>
        <w:t>5</w:t>
      </w:r>
      <w:r w:rsidRPr="009047D2">
        <w:rPr>
          <w:color w:val="000000"/>
        </w:rPr>
        <w:t xml:space="preserve"> </w:t>
      </w:r>
      <w:r w:rsidRPr="008660D4">
        <w:rPr>
          <w:color w:val="000000"/>
        </w:rPr>
        <w:t>–</w:t>
      </w:r>
      <w:r w:rsidRPr="0063500C">
        <w:rPr>
          <w:color w:val="000000"/>
        </w:rPr>
        <w:t xml:space="preserve"> </w:t>
      </w:r>
      <w:r>
        <w:rPr>
          <w:color w:val="000000"/>
        </w:rPr>
        <w:t>Sector Level Metrics: Progress to Date</w:t>
      </w:r>
    </w:p>
    <w:bookmarkEnd w:id="1"/>
    <w:p w14:paraId="4217B8B4" w14:textId="77777777" w:rsidR="4217B8B4" w:rsidRDefault="4217B8B4" w:rsidP="002814DA">
      <w:pPr>
        <w:pStyle w:val="ListParagraph"/>
        <w:ind w:left="1440"/>
        <w:jc w:val="both"/>
      </w:pPr>
    </w:p>
    <w:p w14:paraId="2E7A9637" w14:textId="77777777" w:rsidR="00F3021F" w:rsidRDefault="00F3021F" w:rsidP="0000663C">
      <w:pPr>
        <w:jc w:val="both"/>
        <w:rPr>
          <w:b/>
          <w:color w:val="000000"/>
        </w:rPr>
      </w:pPr>
    </w:p>
    <w:p w14:paraId="30AF0D08" w14:textId="3DC41233" w:rsidR="008E6649" w:rsidRDefault="008E6649" w:rsidP="0000663C">
      <w:pPr>
        <w:jc w:val="both"/>
        <w:rPr>
          <w:color w:val="000000"/>
        </w:rPr>
      </w:pPr>
      <w:r w:rsidRPr="00D46857" w:rsidDel="00716811">
        <w:rPr>
          <w:b/>
          <w:color w:val="000000"/>
        </w:rPr>
        <w:t>III.</w:t>
      </w:r>
      <w:r w:rsidRPr="00D46857" w:rsidDel="00716811">
        <w:rPr>
          <w:b/>
          <w:color w:val="000000"/>
        </w:rPr>
        <w:tab/>
      </w:r>
      <w:r w:rsidDel="00716811">
        <w:rPr>
          <w:b/>
          <w:color w:val="000000"/>
        </w:rPr>
        <w:t>Discussion</w:t>
      </w:r>
    </w:p>
    <w:p w14:paraId="5A1973DE" w14:textId="77777777" w:rsidR="00E3716D" w:rsidRDefault="00E3716D" w:rsidP="0000663C">
      <w:pPr>
        <w:jc w:val="both"/>
        <w:rPr>
          <w:color w:val="000000"/>
        </w:rPr>
      </w:pPr>
    </w:p>
    <w:p w14:paraId="67062287" w14:textId="2A78F1B7" w:rsidR="00E82D5C" w:rsidRPr="0031048F" w:rsidRDefault="00E82D5C" w:rsidP="0092145B">
      <w:pPr>
        <w:pStyle w:val="Heading2"/>
        <w:numPr>
          <w:ilvl w:val="0"/>
          <w:numId w:val="7"/>
        </w:numPr>
        <w:rPr>
          <w:color w:val="000000"/>
        </w:rPr>
      </w:pPr>
      <w:r w:rsidRPr="00A91DD1">
        <w:t>Budget</w:t>
      </w:r>
    </w:p>
    <w:p w14:paraId="4182FCDE" w14:textId="77777777" w:rsidR="009F55CB" w:rsidRPr="0031048F" w:rsidRDefault="009F55CB" w:rsidP="0031048F">
      <w:pPr>
        <w:pStyle w:val="ListParagraph"/>
        <w:ind w:left="1095"/>
        <w:jc w:val="both"/>
        <w:rPr>
          <w:b/>
          <w:color w:val="000000"/>
        </w:rPr>
      </w:pPr>
    </w:p>
    <w:p w14:paraId="15252E83" w14:textId="4327FB43" w:rsidR="00A21535" w:rsidRPr="009F2500" w:rsidRDefault="00A21535" w:rsidP="009778EA">
      <w:pPr>
        <w:overflowPunct/>
        <w:textAlignment w:val="auto"/>
        <w:rPr>
          <w:rFonts w:cs="Arial"/>
          <w:color w:val="000000"/>
          <w:szCs w:val="24"/>
        </w:rPr>
      </w:pPr>
      <w:r w:rsidRPr="009F2500">
        <w:rPr>
          <w:rFonts w:cs="Arial"/>
          <w:color w:val="000000"/>
          <w:szCs w:val="24"/>
        </w:rPr>
        <w:t>PG&amp;E</w:t>
      </w:r>
      <w:r w:rsidR="00277866" w:rsidRPr="009F2500">
        <w:rPr>
          <w:rFonts w:cs="Arial"/>
          <w:color w:val="000000"/>
          <w:szCs w:val="24"/>
        </w:rPr>
        <w:t xml:space="preserve"> proposes a </w:t>
      </w:r>
      <w:r w:rsidRPr="009F2500">
        <w:rPr>
          <w:rFonts w:cs="Arial"/>
          <w:color w:val="000000"/>
          <w:szCs w:val="24"/>
        </w:rPr>
        <w:t>20</w:t>
      </w:r>
      <w:r w:rsidR="00277866" w:rsidRPr="009F2500">
        <w:rPr>
          <w:rFonts w:cs="Arial"/>
          <w:color w:val="000000"/>
          <w:szCs w:val="24"/>
        </w:rPr>
        <w:t>20</w:t>
      </w:r>
      <w:r w:rsidRPr="009F2500">
        <w:rPr>
          <w:rFonts w:cs="Arial"/>
          <w:color w:val="000000"/>
          <w:szCs w:val="24"/>
        </w:rPr>
        <w:t xml:space="preserve"> EE </w:t>
      </w:r>
      <w:r w:rsidR="00CB71E7" w:rsidRPr="009F2500">
        <w:rPr>
          <w:rFonts w:cs="Arial"/>
          <w:color w:val="000000"/>
          <w:szCs w:val="24"/>
        </w:rPr>
        <w:t xml:space="preserve">budget </w:t>
      </w:r>
      <w:r w:rsidRPr="009F2500">
        <w:rPr>
          <w:rFonts w:cs="Arial"/>
          <w:color w:val="000000"/>
          <w:szCs w:val="24"/>
        </w:rPr>
        <w:t>of $</w:t>
      </w:r>
      <w:r w:rsidR="00F75E5B" w:rsidRPr="009F2500">
        <w:rPr>
          <w:color w:val="000000"/>
        </w:rPr>
        <w:t>256.7</w:t>
      </w:r>
      <w:r w:rsidR="00771F4E" w:rsidRPr="009F2500">
        <w:rPr>
          <w:rFonts w:cs="Arial"/>
          <w:color w:val="000000"/>
          <w:szCs w:val="24"/>
        </w:rPr>
        <w:t xml:space="preserve"> </w:t>
      </w:r>
      <w:r w:rsidRPr="009F2500">
        <w:rPr>
          <w:rFonts w:cs="Arial"/>
          <w:color w:val="000000"/>
          <w:szCs w:val="24"/>
        </w:rPr>
        <w:t>million</w:t>
      </w:r>
      <w:r w:rsidR="00277866" w:rsidRPr="009F2500">
        <w:rPr>
          <w:rFonts w:cs="Arial"/>
          <w:color w:val="000000"/>
          <w:szCs w:val="24"/>
        </w:rPr>
        <w:t xml:space="preserve">. </w:t>
      </w:r>
      <w:r w:rsidR="00086666" w:rsidRPr="009F2500">
        <w:rPr>
          <w:rFonts w:eastAsia="Arial" w:cs="Arial"/>
        </w:rPr>
        <w:t xml:space="preserve">This budget is based on portfolio modifications relative to 2019 that </w:t>
      </w:r>
      <w:r w:rsidRPr="009F2500">
        <w:rPr>
          <w:rFonts w:eastAsia="Arial" w:cs="Arial"/>
        </w:rPr>
        <w:t>are oriented toward</w:t>
      </w:r>
      <w:r w:rsidRPr="0044184F">
        <w:rPr>
          <w:rFonts w:eastAsia="Arial" w:cs="Arial"/>
        </w:rPr>
        <w:t xml:space="preserve"> meeting </w:t>
      </w:r>
      <w:r w:rsidR="00AC7AE4">
        <w:rPr>
          <w:rFonts w:eastAsia="Arial" w:cs="Arial"/>
        </w:rPr>
        <w:t xml:space="preserve">the </w:t>
      </w:r>
      <w:r w:rsidR="00CB71E7" w:rsidRPr="0044184F">
        <w:rPr>
          <w:rFonts w:eastAsia="Arial" w:cs="Arial"/>
        </w:rPr>
        <w:t xml:space="preserve">annual </w:t>
      </w:r>
      <w:r w:rsidRPr="0044184F">
        <w:rPr>
          <w:rFonts w:eastAsia="Arial" w:cs="Arial"/>
        </w:rPr>
        <w:t>savings goal</w:t>
      </w:r>
      <w:r w:rsidR="00AC7AE4">
        <w:rPr>
          <w:rFonts w:eastAsia="Arial" w:cs="Arial"/>
        </w:rPr>
        <w:t xml:space="preserve"> for 2020. However, this </w:t>
      </w:r>
      <w:r w:rsidR="00063365">
        <w:rPr>
          <w:rFonts w:eastAsia="Arial" w:cs="Arial"/>
        </w:rPr>
        <w:t>proposed portfolio is not forecasted</w:t>
      </w:r>
      <w:r w:rsidR="00AC7AE4">
        <w:rPr>
          <w:rFonts w:eastAsia="Arial" w:cs="Arial"/>
        </w:rPr>
        <w:t xml:space="preserve"> </w:t>
      </w:r>
      <w:r w:rsidR="00B8302A">
        <w:rPr>
          <w:rFonts w:eastAsia="Arial" w:cs="Arial"/>
        </w:rPr>
        <w:t xml:space="preserve">to </w:t>
      </w:r>
      <w:r w:rsidR="00063365">
        <w:rPr>
          <w:rFonts w:eastAsia="Arial" w:cs="Arial"/>
        </w:rPr>
        <w:t>meet a</w:t>
      </w:r>
      <w:r w:rsidR="00AC7AE4">
        <w:rPr>
          <w:rFonts w:eastAsia="Arial" w:cs="Arial"/>
        </w:rPr>
        <w:t xml:space="preserve"> TRC above 1.0 for 2020 – instead, it opts to facilitate a successful</w:t>
      </w:r>
      <w:r w:rsidRPr="0044184F">
        <w:rPr>
          <w:rFonts w:eastAsia="Arial" w:cs="Arial"/>
        </w:rPr>
        <w:t xml:space="preserve"> transition to the Commission’s new statewide and third-party model for energy efficiency</w:t>
      </w:r>
      <w:r w:rsidR="00AC7AE4">
        <w:rPr>
          <w:rFonts w:eastAsia="Arial" w:cs="Arial"/>
        </w:rPr>
        <w:t>, with a focus on TRC for 2021 and beyond</w:t>
      </w:r>
      <w:r w:rsidR="00A70A3F">
        <w:rPr>
          <w:color w:val="000000"/>
        </w:rPr>
        <w:t xml:space="preserve">. </w:t>
      </w:r>
      <w:r w:rsidR="00AC7AE4">
        <w:rPr>
          <w:color w:val="000000"/>
        </w:rPr>
        <w:t>This forecast allocates</w:t>
      </w:r>
      <w:r w:rsidR="00A70A3F">
        <w:rPr>
          <w:color w:val="000000"/>
        </w:rPr>
        <w:t xml:space="preserve"> 25% of PG&amp;E’s 2020 EE budget to third-party programs </w:t>
      </w:r>
      <w:r w:rsidR="00AC7AE4">
        <w:rPr>
          <w:color w:val="000000"/>
        </w:rPr>
        <w:t>through</w:t>
      </w:r>
      <w:r w:rsidR="004714C6">
        <w:rPr>
          <w:color w:val="000000"/>
        </w:rPr>
        <w:t xml:space="preserve"> placeholders for third-party</w:t>
      </w:r>
      <w:r w:rsidR="00086666">
        <w:rPr>
          <w:color w:val="000000"/>
        </w:rPr>
        <w:t xml:space="preserve"> and statewide</w:t>
      </w:r>
      <w:r w:rsidR="004714C6">
        <w:rPr>
          <w:color w:val="000000"/>
        </w:rPr>
        <w:t xml:space="preserve"> programs that will </w:t>
      </w:r>
      <w:r w:rsidR="000862C0">
        <w:rPr>
          <w:color w:val="000000"/>
        </w:rPr>
        <w:t xml:space="preserve">largely be </w:t>
      </w:r>
      <w:r w:rsidR="001E4306">
        <w:rPr>
          <w:color w:val="000000"/>
        </w:rPr>
        <w:t>ramp</w:t>
      </w:r>
      <w:r w:rsidR="000862C0">
        <w:rPr>
          <w:color w:val="000000"/>
        </w:rPr>
        <w:t>ing</w:t>
      </w:r>
      <w:r w:rsidR="001E4306">
        <w:rPr>
          <w:color w:val="000000"/>
        </w:rPr>
        <w:t xml:space="preserve"> up</w:t>
      </w:r>
      <w:r w:rsidR="004714C6">
        <w:rPr>
          <w:color w:val="000000"/>
        </w:rPr>
        <w:t xml:space="preserve"> </w:t>
      </w:r>
      <w:r w:rsidR="00086666">
        <w:rPr>
          <w:color w:val="000000"/>
        </w:rPr>
        <w:t xml:space="preserve">in 2020 </w:t>
      </w:r>
      <w:r w:rsidR="000862C0">
        <w:rPr>
          <w:color w:val="000000"/>
        </w:rPr>
        <w:t>and not delivering a high volume of savings</w:t>
      </w:r>
      <w:r w:rsidR="00AC7AE4">
        <w:rPr>
          <w:color w:val="000000"/>
        </w:rPr>
        <w:t xml:space="preserve">. More details </w:t>
      </w:r>
      <w:r w:rsidR="004E616B">
        <w:rPr>
          <w:color w:val="000000"/>
        </w:rPr>
        <w:t xml:space="preserve">on cost-effectiveness </w:t>
      </w:r>
      <w:r w:rsidR="00AC7AE4">
        <w:rPr>
          <w:color w:val="000000"/>
        </w:rPr>
        <w:t xml:space="preserve">are presented </w:t>
      </w:r>
      <w:r w:rsidR="00AC7AE4" w:rsidRPr="009F2500">
        <w:rPr>
          <w:color w:val="000000"/>
        </w:rPr>
        <w:t>in Section C.</w:t>
      </w:r>
    </w:p>
    <w:p w14:paraId="25BDCCDF" w14:textId="77777777" w:rsidR="00920121" w:rsidRPr="009F2500" w:rsidRDefault="00920121" w:rsidP="00A21535">
      <w:pPr>
        <w:overflowPunct/>
        <w:jc w:val="both"/>
        <w:textAlignment w:val="auto"/>
        <w:rPr>
          <w:rFonts w:cs="Arial"/>
          <w:color w:val="000000"/>
          <w:szCs w:val="24"/>
        </w:rPr>
      </w:pPr>
    </w:p>
    <w:p w14:paraId="062A4E39" w14:textId="0115E396" w:rsidR="00EA7EF6" w:rsidRDefault="00A21535" w:rsidP="00A21535">
      <w:pPr>
        <w:spacing w:after="240"/>
        <w:rPr>
          <w:rFonts w:eastAsia="Arial" w:cs="Arial"/>
        </w:rPr>
      </w:pPr>
      <w:r w:rsidRPr="009F2500">
        <w:rPr>
          <w:rFonts w:eastAsia="Arial" w:cs="Arial"/>
        </w:rPr>
        <w:t>While PG&amp;E</w:t>
      </w:r>
      <w:r w:rsidR="00280092" w:rsidRPr="009F2500">
        <w:rPr>
          <w:rFonts w:eastAsia="Arial" w:cs="Arial"/>
        </w:rPr>
        <w:t xml:space="preserve"> forecasts its</w:t>
      </w:r>
      <w:r w:rsidRPr="009F2500">
        <w:rPr>
          <w:rFonts w:eastAsia="Arial" w:cs="Arial"/>
        </w:rPr>
        <w:t xml:space="preserve"> TRC</w:t>
      </w:r>
      <w:r w:rsidR="004714C6" w:rsidRPr="009F2500">
        <w:rPr>
          <w:rFonts w:eastAsia="Arial" w:cs="Arial"/>
        </w:rPr>
        <w:t xml:space="preserve"> at </w:t>
      </w:r>
      <w:r w:rsidR="00086666" w:rsidRPr="009F2500">
        <w:rPr>
          <w:rFonts w:eastAsia="Arial" w:cs="Arial"/>
        </w:rPr>
        <w:t>0.</w:t>
      </w:r>
      <w:r w:rsidR="00BB22C1">
        <w:rPr>
          <w:rFonts w:eastAsia="Arial" w:cs="Arial"/>
        </w:rPr>
        <w:t>68</w:t>
      </w:r>
      <w:r w:rsidR="0016715F" w:rsidRPr="009F2500">
        <w:rPr>
          <w:rFonts w:eastAsia="Arial" w:cs="Arial"/>
        </w:rPr>
        <w:t xml:space="preserve"> without Codes and Standards</w:t>
      </w:r>
      <w:r w:rsidR="002D1222" w:rsidRPr="009F2500">
        <w:rPr>
          <w:rFonts w:eastAsia="Arial" w:cs="Arial"/>
        </w:rPr>
        <w:t xml:space="preserve"> (C&amp;S)</w:t>
      </w:r>
      <w:r w:rsidRPr="009F2500">
        <w:rPr>
          <w:rFonts w:eastAsia="Arial" w:cs="Arial"/>
        </w:rPr>
        <w:t>, the</w:t>
      </w:r>
      <w:r w:rsidR="00086666" w:rsidRPr="009F2500">
        <w:rPr>
          <w:rFonts w:eastAsia="Arial" w:cs="Arial"/>
        </w:rPr>
        <w:t xml:space="preserve"> final 2020 </w:t>
      </w:r>
      <w:r w:rsidRPr="009F2500">
        <w:rPr>
          <w:rFonts w:eastAsia="Arial" w:cs="Arial"/>
        </w:rPr>
        <w:t>program</w:t>
      </w:r>
      <w:r w:rsidR="00086666" w:rsidRPr="009F2500">
        <w:rPr>
          <w:rFonts w:eastAsia="Arial" w:cs="Arial"/>
        </w:rPr>
        <w:t xml:space="preserve"> offerings,</w:t>
      </w:r>
      <w:r w:rsidR="00280092" w:rsidRPr="009F2500">
        <w:rPr>
          <w:rFonts w:eastAsia="Arial" w:cs="Arial"/>
        </w:rPr>
        <w:t xml:space="preserve"> </w:t>
      </w:r>
      <w:r w:rsidRPr="009F2500">
        <w:rPr>
          <w:rFonts w:eastAsia="Arial" w:cs="Arial"/>
        </w:rPr>
        <w:t>measure mix</w:t>
      </w:r>
      <w:r w:rsidR="00086666" w:rsidRPr="009F2500">
        <w:rPr>
          <w:rFonts w:eastAsia="Arial" w:cs="Arial"/>
        </w:rPr>
        <w:t>es</w:t>
      </w:r>
      <w:r w:rsidR="00280092" w:rsidRPr="009F2500">
        <w:rPr>
          <w:rFonts w:eastAsia="Arial" w:cs="Arial"/>
        </w:rPr>
        <w:t>,</w:t>
      </w:r>
      <w:r w:rsidRPr="0044184F">
        <w:rPr>
          <w:rFonts w:eastAsia="Arial" w:cs="Arial"/>
        </w:rPr>
        <w:t xml:space="preserve"> and corresponding</w:t>
      </w:r>
      <w:r w:rsidR="00086666">
        <w:rPr>
          <w:rFonts w:eastAsia="Arial" w:cs="Arial"/>
        </w:rPr>
        <w:t xml:space="preserve"> portfolio</w:t>
      </w:r>
      <w:r w:rsidRPr="0044184F">
        <w:rPr>
          <w:rFonts w:eastAsia="Arial" w:cs="Arial"/>
        </w:rPr>
        <w:t xml:space="preserve"> TRC </w:t>
      </w:r>
      <w:r w:rsidR="00086666">
        <w:rPr>
          <w:rFonts w:eastAsia="Arial" w:cs="Arial"/>
        </w:rPr>
        <w:t>are subject to change</w:t>
      </w:r>
      <w:r w:rsidRPr="0044184F">
        <w:rPr>
          <w:rFonts w:eastAsia="Arial" w:cs="Arial"/>
        </w:rPr>
        <w:t xml:space="preserve"> </w:t>
      </w:r>
      <w:r w:rsidR="00086666">
        <w:rPr>
          <w:rFonts w:eastAsia="Arial" w:cs="Arial"/>
        </w:rPr>
        <w:t>after the September 3, 2019 filing of this 2020 EE Annual Budget Advice Letter</w:t>
      </w:r>
      <w:r w:rsidR="004714C6">
        <w:rPr>
          <w:rFonts w:eastAsia="Arial" w:cs="Arial"/>
        </w:rPr>
        <w:t xml:space="preserve"> </w:t>
      </w:r>
      <w:proofErr w:type="gramStart"/>
      <w:r w:rsidR="004714C6">
        <w:rPr>
          <w:rFonts w:eastAsia="Arial" w:cs="Arial"/>
        </w:rPr>
        <w:t>as a result of</w:t>
      </w:r>
      <w:proofErr w:type="gramEnd"/>
      <w:r w:rsidR="004714C6">
        <w:rPr>
          <w:rFonts w:eastAsia="Arial" w:cs="Arial"/>
        </w:rPr>
        <w:t xml:space="preserve"> </w:t>
      </w:r>
      <w:r w:rsidR="00086666">
        <w:rPr>
          <w:rFonts w:eastAsia="Arial" w:cs="Arial"/>
        </w:rPr>
        <w:t xml:space="preserve">the </w:t>
      </w:r>
      <w:r w:rsidR="004714C6">
        <w:rPr>
          <w:rFonts w:eastAsia="Arial" w:cs="Arial"/>
        </w:rPr>
        <w:t>dynamic</w:t>
      </w:r>
      <w:r w:rsidR="00086666">
        <w:rPr>
          <w:rFonts w:eastAsia="Arial" w:cs="Arial"/>
        </w:rPr>
        <w:t xml:space="preserve"> third-party program</w:t>
      </w:r>
      <w:r w:rsidR="004714C6">
        <w:rPr>
          <w:rFonts w:eastAsia="Arial" w:cs="Arial"/>
        </w:rPr>
        <w:t xml:space="preserve"> solicitations process that </w:t>
      </w:r>
      <w:r w:rsidR="009778EA">
        <w:rPr>
          <w:rFonts w:eastAsia="Arial" w:cs="Arial"/>
        </w:rPr>
        <w:t>could possibly</w:t>
      </w:r>
      <w:r w:rsidR="004714C6">
        <w:rPr>
          <w:rFonts w:eastAsia="Arial" w:cs="Arial"/>
        </w:rPr>
        <w:t xml:space="preserve"> revamp </w:t>
      </w:r>
      <w:r w:rsidR="00086666">
        <w:rPr>
          <w:rFonts w:eastAsia="Arial" w:cs="Arial"/>
        </w:rPr>
        <w:t xml:space="preserve">PG&amp;E’s </w:t>
      </w:r>
      <w:r w:rsidR="004714C6">
        <w:rPr>
          <w:rFonts w:eastAsia="Arial" w:cs="Arial"/>
        </w:rPr>
        <w:t>EE portfolio</w:t>
      </w:r>
      <w:r w:rsidRPr="0044184F">
        <w:rPr>
          <w:rFonts w:eastAsia="Arial" w:cs="Arial"/>
        </w:rPr>
        <w:t>. Commission</w:t>
      </w:r>
      <w:r w:rsidR="00801FD2" w:rsidRPr="0044184F">
        <w:rPr>
          <w:rFonts w:eastAsia="Arial" w:cs="Arial"/>
        </w:rPr>
        <w:t>-issued</w:t>
      </w:r>
      <w:r w:rsidRPr="0044184F">
        <w:rPr>
          <w:rFonts w:eastAsia="Arial" w:cs="Arial"/>
        </w:rPr>
        <w:t xml:space="preserve"> dispositions,</w:t>
      </w:r>
      <w:r w:rsidR="00777E08" w:rsidRPr="0044184F">
        <w:rPr>
          <w:rFonts w:eastAsia="Arial" w:cs="Arial"/>
        </w:rPr>
        <w:t xml:space="preserve"> Database</w:t>
      </w:r>
      <w:r w:rsidR="00777E08">
        <w:rPr>
          <w:rFonts w:eastAsia="Arial" w:cs="Arial"/>
        </w:rPr>
        <w:t xml:space="preserve"> for Energy Efficiency Resources</w:t>
      </w:r>
      <w:r>
        <w:rPr>
          <w:rFonts w:eastAsia="Arial" w:cs="Arial"/>
        </w:rPr>
        <w:t xml:space="preserve"> </w:t>
      </w:r>
      <w:r w:rsidR="00777E08">
        <w:rPr>
          <w:rFonts w:eastAsia="Arial" w:cs="Arial"/>
        </w:rPr>
        <w:t>(</w:t>
      </w:r>
      <w:r>
        <w:rPr>
          <w:rFonts w:eastAsia="Arial" w:cs="Arial"/>
        </w:rPr>
        <w:t>DEER</w:t>
      </w:r>
      <w:r w:rsidR="00777E08">
        <w:rPr>
          <w:rFonts w:eastAsia="Arial" w:cs="Arial"/>
        </w:rPr>
        <w:t>)</w:t>
      </w:r>
      <w:r>
        <w:rPr>
          <w:rFonts w:eastAsia="Arial" w:cs="Arial"/>
        </w:rPr>
        <w:t xml:space="preserve"> updates, </w:t>
      </w:r>
      <w:r w:rsidR="00801FD2">
        <w:rPr>
          <w:rFonts w:eastAsia="Arial" w:cs="Arial"/>
        </w:rPr>
        <w:t xml:space="preserve">custom project refinements, </w:t>
      </w:r>
      <w:r>
        <w:rPr>
          <w:rFonts w:eastAsia="Arial" w:cs="Arial"/>
        </w:rPr>
        <w:t xml:space="preserve">and modifications to other key inputs </w:t>
      </w:r>
      <w:r w:rsidR="00801FD2">
        <w:rPr>
          <w:rFonts w:eastAsia="Arial" w:cs="Arial"/>
        </w:rPr>
        <w:t>will al</w:t>
      </w:r>
      <w:r w:rsidR="004714C6">
        <w:rPr>
          <w:rFonts w:eastAsia="Arial" w:cs="Arial"/>
        </w:rPr>
        <w:t>so</w:t>
      </w:r>
      <w:r>
        <w:rPr>
          <w:rFonts w:eastAsia="Arial" w:cs="Arial"/>
        </w:rPr>
        <w:t xml:space="preserve"> </w:t>
      </w:r>
      <w:r w:rsidR="00C5775C">
        <w:rPr>
          <w:rFonts w:eastAsia="Arial" w:cs="Arial"/>
        </w:rPr>
        <w:t>impact</w:t>
      </w:r>
      <w:r>
        <w:rPr>
          <w:rFonts w:eastAsia="Arial" w:cs="Arial"/>
        </w:rPr>
        <w:t xml:space="preserve"> portfolio savings and </w:t>
      </w:r>
      <w:r w:rsidR="00C5775C">
        <w:rPr>
          <w:rFonts w:eastAsia="Arial" w:cs="Arial"/>
        </w:rPr>
        <w:t>cost-effectiveness</w:t>
      </w:r>
      <w:r>
        <w:rPr>
          <w:rFonts w:eastAsia="Arial" w:cs="Arial"/>
        </w:rPr>
        <w:t>. As</w:t>
      </w:r>
      <w:r w:rsidDel="00C5775C">
        <w:rPr>
          <w:rFonts w:eastAsia="Arial" w:cs="Arial"/>
        </w:rPr>
        <w:t xml:space="preserve"> </w:t>
      </w:r>
      <w:r w:rsidR="00C5775C">
        <w:rPr>
          <w:rFonts w:eastAsia="Arial" w:cs="Arial"/>
        </w:rPr>
        <w:t xml:space="preserve">cost-effectiveness </w:t>
      </w:r>
      <w:r>
        <w:rPr>
          <w:rFonts w:eastAsia="Arial" w:cs="Arial"/>
        </w:rPr>
        <w:t xml:space="preserve">inputs change, PG&amp;E will continue to evaluate the available mix of measures </w:t>
      </w:r>
      <w:r w:rsidR="001E4306">
        <w:rPr>
          <w:rFonts w:eastAsia="Arial" w:cs="Arial"/>
        </w:rPr>
        <w:t xml:space="preserve">and programs </w:t>
      </w:r>
      <w:r>
        <w:rPr>
          <w:rFonts w:eastAsia="Arial" w:cs="Arial"/>
        </w:rPr>
        <w:t>and</w:t>
      </w:r>
      <w:r w:rsidR="001E4306">
        <w:rPr>
          <w:rFonts w:eastAsia="Arial" w:cs="Arial"/>
        </w:rPr>
        <w:t xml:space="preserve"> will</w:t>
      </w:r>
      <w:r>
        <w:rPr>
          <w:rFonts w:eastAsia="Arial" w:cs="Arial"/>
        </w:rPr>
        <w:t xml:space="preserve"> </w:t>
      </w:r>
      <w:r w:rsidR="001E4306">
        <w:rPr>
          <w:rFonts w:eastAsia="Arial" w:cs="Arial"/>
        </w:rPr>
        <w:t>balance the portfolio</w:t>
      </w:r>
      <w:r>
        <w:rPr>
          <w:rFonts w:eastAsia="Arial" w:cs="Arial"/>
        </w:rPr>
        <w:t xml:space="preserve"> as necessary</w:t>
      </w:r>
      <w:r w:rsidR="004714C6">
        <w:rPr>
          <w:rFonts w:eastAsia="Arial" w:cs="Arial"/>
        </w:rPr>
        <w:t xml:space="preserve"> throughout 2020</w:t>
      </w:r>
      <w:r>
        <w:rPr>
          <w:rFonts w:eastAsia="Arial" w:cs="Arial"/>
        </w:rPr>
        <w:t xml:space="preserve">. This may include, but is not limited to, fund shifting, measure and program elimination, and modifications to rebate levels.  </w:t>
      </w:r>
    </w:p>
    <w:p w14:paraId="2F187623" w14:textId="7FD74169" w:rsidR="00E3789D" w:rsidRDefault="00E3789D" w:rsidP="00E3789D">
      <w:pPr>
        <w:overflowPunct/>
        <w:jc w:val="both"/>
        <w:textAlignment w:val="auto"/>
        <w:rPr>
          <w:rFonts w:cs="Arial"/>
          <w:color w:val="000000"/>
          <w:szCs w:val="24"/>
        </w:rPr>
      </w:pPr>
      <w:r w:rsidRPr="009D4472">
        <w:rPr>
          <w:color w:val="000000"/>
        </w:rPr>
        <w:t xml:space="preserve">Table </w:t>
      </w:r>
      <w:r w:rsidR="00F4566C">
        <w:rPr>
          <w:color w:val="000000"/>
        </w:rPr>
        <w:t>1</w:t>
      </w:r>
      <w:r w:rsidRPr="002D18BE">
        <w:rPr>
          <w:rFonts w:cs="Arial"/>
          <w:color w:val="000000"/>
          <w:szCs w:val="24"/>
        </w:rPr>
        <w:t xml:space="preserve"> provides </w:t>
      </w:r>
      <w:r>
        <w:rPr>
          <w:rFonts w:cs="Arial"/>
          <w:color w:val="000000"/>
          <w:szCs w:val="24"/>
        </w:rPr>
        <w:t xml:space="preserve">an overview of PG&amp;E’s </w:t>
      </w:r>
      <w:r w:rsidR="00E22C07">
        <w:rPr>
          <w:rFonts w:cs="Arial"/>
          <w:color w:val="000000"/>
          <w:szCs w:val="24"/>
        </w:rPr>
        <w:t>2020</w:t>
      </w:r>
      <w:r>
        <w:rPr>
          <w:rFonts w:cs="Arial"/>
          <w:color w:val="000000"/>
          <w:szCs w:val="24"/>
        </w:rPr>
        <w:t xml:space="preserve"> forecasted portfolio budget, savings, and cost-effectiveness.</w:t>
      </w:r>
      <w:r w:rsidR="00837BBF">
        <w:rPr>
          <w:rFonts w:cs="Arial"/>
          <w:color w:val="000000"/>
          <w:szCs w:val="24"/>
        </w:rPr>
        <w:t xml:space="preserve"> The net savings</w:t>
      </w:r>
      <w:r w:rsidR="00BB22C1">
        <w:rPr>
          <w:rFonts w:cs="Arial"/>
          <w:color w:val="000000"/>
          <w:szCs w:val="24"/>
        </w:rPr>
        <w:t>, Total Resource Cost (TRC), Program Administrator Cost (PAC), Ratepayer Impact (RIM)</w:t>
      </w:r>
      <w:r w:rsidR="00837BBF">
        <w:rPr>
          <w:rFonts w:cs="Arial"/>
          <w:color w:val="000000"/>
          <w:szCs w:val="24"/>
        </w:rPr>
        <w:t xml:space="preserve"> forecast </w:t>
      </w:r>
      <w:r w:rsidR="00BB22C1">
        <w:rPr>
          <w:rFonts w:cs="Arial"/>
          <w:color w:val="000000"/>
          <w:szCs w:val="24"/>
        </w:rPr>
        <w:t xml:space="preserve">values </w:t>
      </w:r>
      <w:r w:rsidR="00837BBF">
        <w:rPr>
          <w:rFonts w:cs="Arial"/>
          <w:color w:val="000000"/>
          <w:szCs w:val="24"/>
        </w:rPr>
        <w:t>exclude market effects</w:t>
      </w:r>
      <w:r w:rsidR="00BB22C1">
        <w:rPr>
          <w:rFonts w:cs="Arial"/>
          <w:color w:val="000000"/>
          <w:szCs w:val="24"/>
        </w:rPr>
        <w:t>.</w:t>
      </w:r>
    </w:p>
    <w:p w14:paraId="3888AC5A" w14:textId="4CC5451B" w:rsidR="00E3789D" w:rsidRDefault="00E3789D">
      <w:pPr>
        <w:overflowPunct/>
        <w:autoSpaceDE/>
        <w:autoSpaceDN/>
        <w:adjustRightInd/>
        <w:textAlignment w:val="auto"/>
        <w:rPr>
          <w:b/>
          <w:color w:val="000000"/>
        </w:rPr>
      </w:pPr>
    </w:p>
    <w:p w14:paraId="0926E6E4" w14:textId="77777777" w:rsidR="00BB22C1" w:rsidRDefault="00BB22C1">
      <w:pPr>
        <w:overflowPunct/>
        <w:autoSpaceDE/>
        <w:autoSpaceDN/>
        <w:adjustRightInd/>
        <w:textAlignment w:val="auto"/>
        <w:rPr>
          <w:b/>
          <w:color w:val="000000"/>
        </w:rPr>
      </w:pPr>
      <w:r>
        <w:rPr>
          <w:b/>
          <w:color w:val="000000"/>
        </w:rPr>
        <w:br w:type="page"/>
      </w:r>
    </w:p>
    <w:p w14:paraId="1D2A8F76" w14:textId="53F21545" w:rsidR="00066A22" w:rsidRDefault="00E3789D" w:rsidP="00E3789D">
      <w:pPr>
        <w:overflowPunct/>
        <w:autoSpaceDE/>
        <w:autoSpaceDN/>
        <w:adjustRightInd/>
        <w:jc w:val="center"/>
        <w:textAlignment w:val="auto"/>
        <w:rPr>
          <w:b/>
          <w:color w:val="000000"/>
        </w:rPr>
      </w:pPr>
      <w:r>
        <w:rPr>
          <w:b/>
          <w:color w:val="000000"/>
        </w:rPr>
        <w:lastRenderedPageBreak/>
        <w:t xml:space="preserve">Table </w:t>
      </w:r>
      <w:r w:rsidR="00F4566C">
        <w:rPr>
          <w:b/>
          <w:color w:val="000000"/>
        </w:rPr>
        <w:t>1</w:t>
      </w:r>
      <w:r>
        <w:rPr>
          <w:b/>
          <w:color w:val="000000"/>
        </w:rPr>
        <w:t xml:space="preserve">: PG&amp;E </w:t>
      </w:r>
      <w:r w:rsidR="00E22C07">
        <w:rPr>
          <w:b/>
          <w:color w:val="000000"/>
        </w:rPr>
        <w:t>2020</w:t>
      </w:r>
      <w:r>
        <w:rPr>
          <w:b/>
          <w:color w:val="000000"/>
        </w:rPr>
        <w:t xml:space="preserve"> Budget and Savings Summary</w:t>
      </w:r>
    </w:p>
    <w:p w14:paraId="420C1F5D" w14:textId="39269AB3" w:rsidR="00E3789D" w:rsidRDefault="003A246A" w:rsidP="00E3789D">
      <w:pPr>
        <w:overflowPunct/>
        <w:autoSpaceDE/>
        <w:autoSpaceDN/>
        <w:adjustRightInd/>
        <w:jc w:val="center"/>
        <w:textAlignment w:val="auto"/>
        <w:rPr>
          <w:b/>
          <w:color w:val="000000"/>
        </w:rPr>
      </w:pPr>
      <w:r w:rsidRPr="003A246A">
        <w:rPr>
          <w:noProof/>
        </w:rPr>
        <w:drawing>
          <wp:inline distT="0" distB="0" distL="0" distR="0" wp14:anchorId="7706B06C" wp14:editId="16C963C5">
            <wp:extent cx="6028588" cy="5572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29812" cy="5573256"/>
                    </a:xfrm>
                    <a:prstGeom prst="rect">
                      <a:avLst/>
                    </a:prstGeom>
                    <a:noFill/>
                    <a:ln>
                      <a:noFill/>
                    </a:ln>
                  </pic:spPr>
                </pic:pic>
              </a:graphicData>
            </a:graphic>
          </wp:inline>
        </w:drawing>
      </w:r>
      <w:r w:rsidR="00E3789D">
        <w:rPr>
          <w:b/>
          <w:color w:val="000000"/>
        </w:rPr>
        <w:t xml:space="preserve"> </w:t>
      </w:r>
    </w:p>
    <w:p w14:paraId="7196CD68" w14:textId="3657E9C3" w:rsidR="00E3789D" w:rsidRDefault="00E3789D" w:rsidP="00E3789D">
      <w:pPr>
        <w:overflowPunct/>
        <w:autoSpaceDE/>
        <w:autoSpaceDN/>
        <w:adjustRightInd/>
        <w:jc w:val="center"/>
        <w:textAlignment w:val="auto"/>
        <w:rPr>
          <w:b/>
          <w:color w:val="000000"/>
        </w:rPr>
      </w:pPr>
    </w:p>
    <w:p w14:paraId="0D98079F" w14:textId="76C5D71C" w:rsidR="00E3789D" w:rsidRDefault="00E3789D" w:rsidP="00DD1658">
      <w:pPr>
        <w:jc w:val="both"/>
        <w:rPr>
          <w:b/>
          <w:color w:val="000000"/>
        </w:rPr>
      </w:pPr>
    </w:p>
    <w:p w14:paraId="1004643C" w14:textId="77777777" w:rsidR="001E0627" w:rsidRDefault="001E0627">
      <w:pPr>
        <w:overflowPunct/>
        <w:autoSpaceDE/>
        <w:autoSpaceDN/>
        <w:adjustRightInd/>
        <w:textAlignment w:val="auto"/>
        <w:rPr>
          <w:b/>
        </w:rPr>
      </w:pPr>
      <w:r>
        <w:br w:type="page"/>
      </w:r>
    </w:p>
    <w:p w14:paraId="1737F98B" w14:textId="7FB9A538" w:rsidR="001C276C" w:rsidRDefault="001C276C" w:rsidP="009778EA">
      <w:pPr>
        <w:pStyle w:val="Heading2"/>
        <w:numPr>
          <w:ilvl w:val="0"/>
          <w:numId w:val="11"/>
        </w:numPr>
        <w:ind w:left="1170"/>
      </w:pPr>
      <w:r>
        <w:lastRenderedPageBreak/>
        <w:t>Integrated Demand Side Management (IDSM)</w:t>
      </w:r>
    </w:p>
    <w:p w14:paraId="596CFF38" w14:textId="77777777" w:rsidR="001C276C" w:rsidRPr="0044476C" w:rsidRDefault="001C276C" w:rsidP="001C276C"/>
    <w:p w14:paraId="4587EA40" w14:textId="476055D0" w:rsidR="001C276C" w:rsidRDefault="00134BFF" w:rsidP="001C276C">
      <w:pPr>
        <w:rPr>
          <w:rFonts w:cs="Arial"/>
          <w:color w:val="000000"/>
          <w:szCs w:val="24"/>
        </w:rPr>
      </w:pPr>
      <w:r>
        <w:rPr>
          <w:rFonts w:cs="Arial"/>
          <w:color w:val="000000"/>
          <w:szCs w:val="24"/>
        </w:rPr>
        <w:t>Starting in 2019, e</w:t>
      </w:r>
      <w:r w:rsidR="001C276C">
        <w:rPr>
          <w:rFonts w:cs="Arial"/>
          <w:color w:val="000000"/>
          <w:szCs w:val="24"/>
        </w:rPr>
        <w:t xml:space="preserve">ach IOU PA </w:t>
      </w:r>
      <w:r>
        <w:rPr>
          <w:rFonts w:cs="Arial"/>
          <w:color w:val="000000"/>
          <w:szCs w:val="24"/>
        </w:rPr>
        <w:t>is ordered to</w:t>
      </w:r>
      <w:r w:rsidR="001C276C">
        <w:rPr>
          <w:rFonts w:cs="Arial"/>
          <w:color w:val="000000"/>
          <w:szCs w:val="24"/>
        </w:rPr>
        <w:t xml:space="preserve"> set aside a minimum of $1 million for the residential sector and a load-share-proportional </w:t>
      </w:r>
      <w:r w:rsidR="00831623">
        <w:rPr>
          <w:rFonts w:cs="Arial"/>
          <w:color w:val="000000"/>
          <w:szCs w:val="24"/>
        </w:rPr>
        <w:t>fraction</w:t>
      </w:r>
      <w:r w:rsidR="001C276C">
        <w:rPr>
          <w:rFonts w:cs="Arial"/>
          <w:color w:val="000000"/>
          <w:szCs w:val="24"/>
        </w:rPr>
        <w:t xml:space="preserve"> of $20 million for the </w:t>
      </w:r>
      <w:r w:rsidR="001C276C" w:rsidRPr="00A70A3F">
        <w:rPr>
          <w:rFonts w:cs="Arial"/>
          <w:color w:val="000000"/>
          <w:szCs w:val="24"/>
        </w:rPr>
        <w:t>commercial sector from each IOU PA’s IDSM budget for testing and deployment of integration strategies.</w:t>
      </w:r>
      <w:r w:rsidR="001C276C" w:rsidRPr="00A70A3F">
        <w:rPr>
          <w:rStyle w:val="FootnoteReference"/>
          <w:rFonts w:cs="Arial"/>
          <w:color w:val="000000"/>
          <w:szCs w:val="24"/>
        </w:rPr>
        <w:footnoteReference w:id="7"/>
      </w:r>
      <w:r w:rsidR="001C276C" w:rsidRPr="00A70A3F">
        <w:rPr>
          <w:rFonts w:cs="Arial"/>
          <w:color w:val="000000"/>
          <w:szCs w:val="24"/>
        </w:rPr>
        <w:t xml:space="preserve"> </w:t>
      </w:r>
      <w:r w:rsidR="002B25F9" w:rsidRPr="00A70A3F">
        <w:rPr>
          <w:rFonts w:cs="Arial"/>
          <w:color w:val="000000"/>
          <w:szCs w:val="24"/>
        </w:rPr>
        <w:t xml:space="preserve">In consultation and agreement with the California </w:t>
      </w:r>
      <w:r w:rsidR="001C276C" w:rsidRPr="00A70A3F">
        <w:rPr>
          <w:rFonts w:cs="Arial"/>
          <w:color w:val="000000"/>
          <w:szCs w:val="24"/>
        </w:rPr>
        <w:t>IOUs</w:t>
      </w:r>
      <w:r w:rsidR="002B25F9" w:rsidRPr="00A70A3F">
        <w:rPr>
          <w:rFonts w:cs="Arial"/>
          <w:color w:val="000000"/>
          <w:szCs w:val="24"/>
        </w:rPr>
        <w:t xml:space="preserve">, PG&amp;E </w:t>
      </w:r>
      <w:r w:rsidR="002B25F9" w:rsidRPr="009778EA">
        <w:rPr>
          <w:rFonts w:cs="Arial"/>
          <w:color w:val="000000"/>
          <w:szCs w:val="24"/>
        </w:rPr>
        <w:t>will budget</w:t>
      </w:r>
      <w:r w:rsidR="001C276C" w:rsidRPr="009778EA">
        <w:rPr>
          <w:rFonts w:cs="Arial"/>
          <w:color w:val="000000"/>
          <w:szCs w:val="24"/>
        </w:rPr>
        <w:t xml:space="preserve"> </w:t>
      </w:r>
      <w:r w:rsidR="002B25F9" w:rsidRPr="009778EA">
        <w:rPr>
          <w:rFonts w:cs="Arial"/>
          <w:color w:val="000000"/>
          <w:szCs w:val="24"/>
        </w:rPr>
        <w:t>$8 million</w:t>
      </w:r>
      <w:r w:rsidR="001C276C" w:rsidRPr="009778EA">
        <w:rPr>
          <w:rFonts w:cs="Arial"/>
          <w:color w:val="000000"/>
          <w:szCs w:val="24"/>
        </w:rPr>
        <w:t xml:space="preserve"> of the required $20 million for the commercial sec</w:t>
      </w:r>
      <w:r w:rsidR="002B25F9" w:rsidRPr="009778EA">
        <w:rPr>
          <w:rFonts w:cs="Arial"/>
          <w:color w:val="000000"/>
          <w:szCs w:val="24"/>
        </w:rPr>
        <w:t>tor. With an additional $1 million of IDSM budget for the residential sector, PG&amp;E’s budget for IDSM activities will total $9 million.</w:t>
      </w:r>
    </w:p>
    <w:p w14:paraId="7BB0E204" w14:textId="3B16442A" w:rsidR="001C276C" w:rsidRDefault="001C276C" w:rsidP="001C276C">
      <w:pPr>
        <w:rPr>
          <w:rFonts w:cs="Arial"/>
          <w:color w:val="000000"/>
          <w:szCs w:val="24"/>
        </w:rPr>
      </w:pPr>
    </w:p>
    <w:p w14:paraId="010C7BBB" w14:textId="77777777" w:rsidR="006F7FD7" w:rsidRDefault="006F7FD7" w:rsidP="00F45A0B">
      <w:pPr>
        <w:jc w:val="both"/>
        <w:rPr>
          <w:b/>
          <w:color w:val="000000"/>
        </w:rPr>
      </w:pPr>
    </w:p>
    <w:p w14:paraId="129CEE08" w14:textId="33FEAAFD" w:rsidR="00235F2B" w:rsidRPr="00CF0783" w:rsidRDefault="00235F2B" w:rsidP="0092145B">
      <w:pPr>
        <w:pStyle w:val="Heading2"/>
        <w:numPr>
          <w:ilvl w:val="0"/>
          <w:numId w:val="7"/>
        </w:numPr>
        <w:rPr>
          <w:color w:val="000000"/>
        </w:rPr>
      </w:pPr>
      <w:r w:rsidRPr="00E53834">
        <w:rPr>
          <w:color w:val="000000"/>
        </w:rPr>
        <w:t>Goals</w:t>
      </w:r>
    </w:p>
    <w:p w14:paraId="29646467" w14:textId="77777777" w:rsidR="00235F2B" w:rsidRDefault="00235F2B" w:rsidP="00235F2B">
      <w:pPr>
        <w:jc w:val="both"/>
        <w:rPr>
          <w:b/>
          <w:color w:val="000000"/>
          <w:u w:val="single"/>
        </w:rPr>
      </w:pPr>
    </w:p>
    <w:p w14:paraId="51057A90" w14:textId="0EDE3A85" w:rsidR="008B45F6" w:rsidRDefault="00086666" w:rsidP="00B62550">
      <w:pPr>
        <w:rPr>
          <w:color w:val="000000"/>
        </w:rPr>
      </w:pPr>
      <w:r w:rsidRPr="009778EA">
        <w:rPr>
          <w:color w:val="000000"/>
        </w:rPr>
        <w:t xml:space="preserve">PG&amp;E’s energy efficiency goals </w:t>
      </w:r>
      <w:r w:rsidR="009F2500">
        <w:rPr>
          <w:color w:val="000000"/>
        </w:rPr>
        <w:t xml:space="preserve">(GWh, MW, and </w:t>
      </w:r>
      <w:proofErr w:type="spellStart"/>
      <w:r w:rsidR="009F2500">
        <w:rPr>
          <w:color w:val="000000"/>
        </w:rPr>
        <w:t>MMtherms</w:t>
      </w:r>
      <w:proofErr w:type="spellEnd"/>
      <w:r w:rsidR="009F2500">
        <w:rPr>
          <w:color w:val="000000"/>
        </w:rPr>
        <w:t xml:space="preserve">) </w:t>
      </w:r>
      <w:r w:rsidRPr="009778EA">
        <w:rPr>
          <w:color w:val="000000"/>
        </w:rPr>
        <w:t>are slated to reduce significantly from prior years if the Proposed Decision (PD) Adopting Energy Efficiency Goals for 2020-2030, issued on July 15, 2019, is adopted. The 2020 portfolio forecast described in this advice letter was designed around the goals in this PD, which will be voted on in August prior to the filing of this advice letter on September 3, 2019.</w:t>
      </w:r>
    </w:p>
    <w:p w14:paraId="64DF64FD" w14:textId="53B4A00C" w:rsidR="00646925" w:rsidRDefault="00646925" w:rsidP="00B62550">
      <w:pPr>
        <w:rPr>
          <w:b/>
          <w:color w:val="000000"/>
        </w:rPr>
      </w:pPr>
    </w:p>
    <w:p w14:paraId="42EB3C3C" w14:textId="0A41CFA9" w:rsidR="00646925" w:rsidRPr="009778EA" w:rsidRDefault="00646925" w:rsidP="00B62550">
      <w:pPr>
        <w:rPr>
          <w:color w:val="000000"/>
        </w:rPr>
      </w:pPr>
      <w:r w:rsidRPr="009778EA">
        <w:rPr>
          <w:color w:val="000000"/>
        </w:rPr>
        <w:t xml:space="preserve">PG&amp;E is forecasting </w:t>
      </w:r>
      <w:r>
        <w:rPr>
          <w:color w:val="000000"/>
        </w:rPr>
        <w:t>a portfolio that meets th</w:t>
      </w:r>
      <w:r w:rsidR="009F2500">
        <w:rPr>
          <w:color w:val="000000"/>
        </w:rPr>
        <w:t>e</w:t>
      </w:r>
      <w:r>
        <w:rPr>
          <w:color w:val="000000"/>
        </w:rPr>
        <w:t xml:space="preserve"> new </w:t>
      </w:r>
      <w:r w:rsidR="009F2500">
        <w:rPr>
          <w:color w:val="000000"/>
        </w:rPr>
        <w:t xml:space="preserve">2020 </w:t>
      </w:r>
      <w:r>
        <w:rPr>
          <w:color w:val="000000"/>
        </w:rPr>
        <w:t>savings goal</w:t>
      </w:r>
      <w:r w:rsidR="009F2500">
        <w:rPr>
          <w:color w:val="000000"/>
        </w:rPr>
        <w:t>s</w:t>
      </w:r>
      <w:r>
        <w:rPr>
          <w:color w:val="000000"/>
        </w:rPr>
        <w:t xml:space="preserve">. PG&amp;E believes that administering a portfolio that meets the 2020 </w:t>
      </w:r>
      <w:r w:rsidR="009F2500">
        <w:rPr>
          <w:color w:val="000000"/>
        </w:rPr>
        <w:t>savings g</w:t>
      </w:r>
      <w:r>
        <w:rPr>
          <w:color w:val="000000"/>
        </w:rPr>
        <w:t>oal</w:t>
      </w:r>
      <w:r w:rsidR="009F2500">
        <w:rPr>
          <w:color w:val="000000"/>
        </w:rPr>
        <w:t>s</w:t>
      </w:r>
      <w:r>
        <w:rPr>
          <w:color w:val="000000"/>
        </w:rPr>
        <w:t xml:space="preserve">, but not the 2020 cost-effectiveness requirement, is the most effective way to administer a future portfolio </w:t>
      </w:r>
      <w:r w:rsidR="009F2500">
        <w:rPr>
          <w:color w:val="000000"/>
        </w:rPr>
        <w:t xml:space="preserve">in 2021 and beyond </w:t>
      </w:r>
      <w:r>
        <w:rPr>
          <w:color w:val="000000"/>
        </w:rPr>
        <w:t>that has the best chance to meet both the savings goal</w:t>
      </w:r>
      <w:r w:rsidR="009F2500">
        <w:rPr>
          <w:color w:val="000000"/>
        </w:rPr>
        <w:t>s</w:t>
      </w:r>
      <w:r>
        <w:rPr>
          <w:color w:val="000000"/>
        </w:rPr>
        <w:t xml:space="preserve"> and cost-effectiveness requirement in the future. A portfolio that meets the 2020 savings goal</w:t>
      </w:r>
      <w:r w:rsidR="009F2500">
        <w:rPr>
          <w:color w:val="000000"/>
        </w:rPr>
        <w:t>s</w:t>
      </w:r>
      <w:r>
        <w:rPr>
          <w:color w:val="000000"/>
        </w:rPr>
        <w:t xml:space="preserve"> will help facilitate a transition from existing offerings to future ones. PG&amp;E believes that significantly scaling back its savings targets in 2020 will impede customer adoption of EE in 2021 and beyond, hindering new third-party programs from ramping up and achieving success.</w:t>
      </w:r>
    </w:p>
    <w:p w14:paraId="505B2559" w14:textId="77777777" w:rsidR="00646925" w:rsidRDefault="00646925" w:rsidP="00B62550">
      <w:pPr>
        <w:rPr>
          <w:b/>
          <w:color w:val="000000"/>
        </w:rPr>
      </w:pPr>
    </w:p>
    <w:p w14:paraId="21C8A31A" w14:textId="55E2DCF9" w:rsidR="00AC72A5" w:rsidRDefault="00235F2B" w:rsidP="00235F2B">
      <w:pPr>
        <w:rPr>
          <w:color w:val="000000"/>
        </w:rPr>
      </w:pPr>
      <w:r>
        <w:rPr>
          <w:b/>
          <w:color w:val="000000"/>
        </w:rPr>
        <w:t xml:space="preserve"> </w:t>
      </w:r>
    </w:p>
    <w:p w14:paraId="35FFC8D1" w14:textId="0E83B7EB" w:rsidR="00235F2B" w:rsidRPr="001877A7" w:rsidRDefault="00235F2B" w:rsidP="0092145B">
      <w:pPr>
        <w:pStyle w:val="Heading2"/>
        <w:numPr>
          <w:ilvl w:val="0"/>
          <w:numId w:val="7"/>
        </w:numPr>
        <w:rPr>
          <w:color w:val="000000"/>
        </w:rPr>
      </w:pPr>
      <w:r w:rsidRPr="00E53834">
        <w:rPr>
          <w:color w:val="000000"/>
        </w:rPr>
        <w:t xml:space="preserve">Cost-Effectiveness </w:t>
      </w:r>
      <w:r w:rsidRPr="00E53834">
        <w:rPr>
          <w:color w:val="000000"/>
        </w:rPr>
        <w:br/>
      </w:r>
    </w:p>
    <w:p w14:paraId="6407A134" w14:textId="15FD47D4" w:rsidR="00D425D2" w:rsidRDefault="00832307" w:rsidP="00DF4B8F">
      <w:pPr>
        <w:overflowPunct/>
        <w:jc w:val="both"/>
        <w:textAlignment w:val="auto"/>
      </w:pPr>
      <w:r w:rsidRPr="009F2500">
        <w:t xml:space="preserve">As noted in Section A, PG&amp;E is forecasting a portfolio TRC of </w:t>
      </w:r>
      <w:r w:rsidR="003E5229" w:rsidRPr="009F2500">
        <w:t>0.</w:t>
      </w:r>
      <w:r w:rsidR="00700637">
        <w:t>68</w:t>
      </w:r>
      <w:r w:rsidR="003E5229" w:rsidRPr="009F2500">
        <w:t xml:space="preserve"> without </w:t>
      </w:r>
      <w:r w:rsidR="009F2500">
        <w:t>C&amp;S</w:t>
      </w:r>
      <w:r w:rsidR="003E5229" w:rsidRPr="009F2500">
        <w:t xml:space="preserve"> </w:t>
      </w:r>
      <w:r w:rsidR="00BB22C1">
        <w:t>or</w:t>
      </w:r>
      <w:r w:rsidR="003E5229" w:rsidRPr="009F2500">
        <w:t xml:space="preserve"> market effects</w:t>
      </w:r>
      <w:r w:rsidRPr="009F2500">
        <w:t xml:space="preserve"> for 2020. </w:t>
      </w:r>
      <w:r w:rsidR="00B8302A" w:rsidRPr="009F2500">
        <w:t>As such, PG&amp;E acknowledges that it triggers the application filing and business plan revision described in D.15-</w:t>
      </w:r>
      <w:r w:rsidR="00B8302A">
        <w:t>10-028, OP 2.</w:t>
      </w:r>
      <w:r>
        <w:t xml:space="preserve"> </w:t>
      </w:r>
      <w:r w:rsidR="00B8302A">
        <w:t>PG&amp;E expects to work with Energy Division on a schedule and process for refiling its business plan</w:t>
      </w:r>
      <w:r w:rsidR="000D3D14">
        <w:t>.</w:t>
      </w:r>
    </w:p>
    <w:p w14:paraId="50B7A81E" w14:textId="2878F694" w:rsidR="00D425D2" w:rsidRDefault="00D425D2" w:rsidP="00DF4B8F">
      <w:pPr>
        <w:overflowPunct/>
        <w:jc w:val="both"/>
        <w:textAlignment w:val="auto"/>
      </w:pPr>
    </w:p>
    <w:p w14:paraId="762BF197" w14:textId="77777777" w:rsidR="00B23536" w:rsidRDefault="00B23536" w:rsidP="00DF4B8F">
      <w:pPr>
        <w:overflowPunct/>
        <w:jc w:val="both"/>
        <w:textAlignment w:val="auto"/>
      </w:pPr>
      <w:r>
        <w:t xml:space="preserve">While </w:t>
      </w:r>
      <w:r w:rsidR="006514B9">
        <w:t xml:space="preserve">PG&amp;E is </w:t>
      </w:r>
      <w:proofErr w:type="gramStart"/>
      <w:r w:rsidR="006514B9">
        <w:t>taking action</w:t>
      </w:r>
      <w:proofErr w:type="gramEnd"/>
      <w:r w:rsidR="006514B9">
        <w:t xml:space="preserve"> to improve cost-effectiveness in 2020</w:t>
      </w:r>
      <w:r>
        <w:t xml:space="preserve">, </w:t>
      </w:r>
      <w:r w:rsidR="006514B9">
        <w:t xml:space="preserve">PG&amp;E believes that the best chance at delivering a cost-effective portfolio that meets annual savings goals </w:t>
      </w:r>
      <w:r w:rsidR="006514B9">
        <w:rPr>
          <w:i/>
        </w:rPr>
        <w:t>in the long</w:t>
      </w:r>
      <w:r w:rsidR="006514B9" w:rsidRPr="006514B9">
        <w:rPr>
          <w:i/>
        </w:rPr>
        <w:t xml:space="preserve"> run</w:t>
      </w:r>
      <w:r w:rsidR="006514B9">
        <w:t xml:space="preserve"> </w:t>
      </w:r>
      <w:r w:rsidR="006514B9" w:rsidRPr="006514B9">
        <w:t>is</w:t>
      </w:r>
      <w:r w:rsidR="006514B9">
        <w:t xml:space="preserve"> through the solicitations process. Competition and new program ideas will likely contribute cost-effectiveness improvements that tighter administrative vigilance cannot deliver alone.</w:t>
      </w:r>
    </w:p>
    <w:p w14:paraId="4D7A841A" w14:textId="14CF3008" w:rsidR="00B23536" w:rsidRDefault="006514B9" w:rsidP="00DF4B8F">
      <w:pPr>
        <w:overflowPunct/>
        <w:jc w:val="both"/>
        <w:textAlignment w:val="auto"/>
      </w:pPr>
      <w:r>
        <w:lastRenderedPageBreak/>
        <w:t>Unfortunately, the timing of the</w:t>
      </w:r>
      <w:r w:rsidR="00957522">
        <w:t xml:space="preserve"> multi-sector</w:t>
      </w:r>
      <w:r>
        <w:t xml:space="preserve"> solicitations process results in uncertainty that manifests in PG&amp;E’s 2020 ABAL forecast. </w:t>
      </w:r>
      <w:r w:rsidR="00B23536">
        <w:t>PG&amp;E recognizes that new programs take time to launch, ramp up, and ultimately acquire participants and deliver savings. As such, PG&amp;E is budgeting 25% of 2020 spend towards new third-party programs, while recognizing that those new programs will likely deliver few, if any, savings in 2020.</w:t>
      </w:r>
    </w:p>
    <w:p w14:paraId="425DE0B7" w14:textId="77777777" w:rsidR="00B23536" w:rsidRDefault="00B23536" w:rsidP="00DF4B8F">
      <w:pPr>
        <w:overflowPunct/>
        <w:jc w:val="both"/>
        <w:textAlignment w:val="auto"/>
      </w:pPr>
    </w:p>
    <w:p w14:paraId="30D3AD34" w14:textId="754784B0" w:rsidR="00B23536" w:rsidRDefault="00B23536" w:rsidP="00DF4B8F">
      <w:pPr>
        <w:overflowPunct/>
        <w:jc w:val="both"/>
        <w:textAlignment w:val="auto"/>
      </w:pPr>
      <w:r>
        <w:t xml:space="preserve">The 2020 forecast is a </w:t>
      </w:r>
      <w:r w:rsidR="0090491C">
        <w:t>trade-off</w:t>
      </w:r>
      <w:r>
        <w:t xml:space="preserve"> between reducing existing low-TRC program costs necessary to make room for solicited third-party programs coming online in 2020, which may not </w:t>
      </w:r>
      <w:r w:rsidR="00DE7BF6">
        <w:t>achieve</w:t>
      </w:r>
      <w:r>
        <w:t xml:space="preserve"> savings in the same program year.</w:t>
      </w:r>
      <w:r w:rsidRPr="00B23536">
        <w:t xml:space="preserve"> </w:t>
      </w:r>
      <w:r>
        <w:t xml:space="preserve">PG&amp;E expects incentive spending </w:t>
      </w:r>
      <w:r w:rsidR="005B4D78">
        <w:t xml:space="preserve">in 2020 </w:t>
      </w:r>
      <w:r>
        <w:t>to decrease</w:t>
      </w:r>
      <w:r w:rsidR="005B4D78">
        <w:t xml:space="preserve"> relative to 2019</w:t>
      </w:r>
      <w:r>
        <w:t xml:space="preserve"> </w:t>
      </w:r>
      <w:proofErr w:type="gramStart"/>
      <w:r>
        <w:t>as a result of</w:t>
      </w:r>
      <w:proofErr w:type="gramEnd"/>
      <w:r>
        <w:t xml:space="preserve"> a) the ramp-down of existing rebate programs as PG&amp;E’s portfolio introduces new third-party programs and b) the ramp-up of new third-party programs resulting from solicitations that are expected to realize fewer savings during the program ramp-up phase relative to program costs expended.</w:t>
      </w:r>
      <w:r w:rsidDel="008A0E5F">
        <w:t xml:space="preserve"> </w:t>
      </w:r>
      <w:r>
        <w:t xml:space="preserve"> PG&amp;E expects program costs to be incurred </w:t>
      </w:r>
      <w:proofErr w:type="gramStart"/>
      <w:r>
        <w:t>as a result of</w:t>
      </w:r>
      <w:proofErr w:type="gramEnd"/>
      <w:r>
        <w:t xml:space="preserve"> work necessary to complete solicitations, review and provide quality control over program designs, finalize contracts, and get programs approved by the CPUC (where appropriate), to launch in 2020.</w:t>
      </w:r>
    </w:p>
    <w:p w14:paraId="7E783AD8" w14:textId="77777777" w:rsidR="00B23536" w:rsidRDefault="00B23536" w:rsidP="00DF4B8F">
      <w:pPr>
        <w:overflowPunct/>
        <w:jc w:val="both"/>
        <w:textAlignment w:val="auto"/>
      </w:pPr>
    </w:p>
    <w:p w14:paraId="35FE226B" w14:textId="009B29C3" w:rsidR="00DF4B8F" w:rsidRDefault="00166875" w:rsidP="00DF4B8F">
      <w:pPr>
        <w:overflowPunct/>
        <w:jc w:val="both"/>
        <w:textAlignment w:val="auto"/>
        <w:rPr>
          <w:rFonts w:cs="Arial"/>
          <w:color w:val="000000"/>
          <w:szCs w:val="24"/>
        </w:rPr>
      </w:pPr>
      <w:r w:rsidRPr="009D4472">
        <w:t xml:space="preserve">Table </w:t>
      </w:r>
      <w:r w:rsidR="00086666">
        <w:t>2</w:t>
      </w:r>
      <w:r w:rsidR="00086666" w:rsidRPr="009D4472">
        <w:rPr>
          <w:rFonts w:cs="Arial"/>
        </w:rPr>
        <w:t xml:space="preserve"> </w:t>
      </w:r>
      <w:r w:rsidRPr="009D4472">
        <w:rPr>
          <w:rFonts w:cs="Arial"/>
        </w:rPr>
        <w:t xml:space="preserve">provides the TRC test and </w:t>
      </w:r>
      <w:r w:rsidR="005B4D78">
        <w:rPr>
          <w:rFonts w:cs="Arial"/>
        </w:rPr>
        <w:t>PAC</w:t>
      </w:r>
      <w:r w:rsidRPr="009D4472">
        <w:rPr>
          <w:rFonts w:cs="Arial"/>
        </w:rPr>
        <w:t xml:space="preserve"> test</w:t>
      </w:r>
      <w:r w:rsidR="005B4D78">
        <w:rPr>
          <w:rFonts w:cs="Arial"/>
        </w:rPr>
        <w:t xml:space="preserve"> forecasts</w:t>
      </w:r>
      <w:r w:rsidRPr="009D4472">
        <w:rPr>
          <w:rFonts w:cs="Arial"/>
        </w:rPr>
        <w:t xml:space="preserve"> for its </w:t>
      </w:r>
      <w:r w:rsidR="00E96F07">
        <w:rPr>
          <w:rFonts w:cs="Arial"/>
        </w:rPr>
        <w:t>2020</w:t>
      </w:r>
      <w:r w:rsidRPr="009D4472">
        <w:rPr>
          <w:rFonts w:cs="Arial"/>
        </w:rPr>
        <w:t xml:space="preserve"> EE portfolio. </w:t>
      </w:r>
      <w:r w:rsidR="00DF4B8F">
        <w:rPr>
          <w:rFonts w:cs="Arial"/>
          <w:color w:val="000000"/>
          <w:szCs w:val="24"/>
        </w:rPr>
        <w:t xml:space="preserve">The TRC and PAC estimates </w:t>
      </w:r>
      <w:r w:rsidR="00BB22C1">
        <w:rPr>
          <w:rFonts w:cs="Arial"/>
          <w:color w:val="000000"/>
          <w:szCs w:val="24"/>
        </w:rPr>
        <w:t>exclude</w:t>
      </w:r>
      <w:r w:rsidR="00DF4B8F">
        <w:rPr>
          <w:rFonts w:cs="Arial"/>
          <w:color w:val="000000"/>
          <w:szCs w:val="24"/>
        </w:rPr>
        <w:t xml:space="preserve"> market effects.</w:t>
      </w:r>
    </w:p>
    <w:p w14:paraId="74A092AB" w14:textId="77777777" w:rsidR="00DF4B8F" w:rsidRPr="00462753" w:rsidRDefault="00DF4B8F" w:rsidP="0044476C">
      <w:pPr>
        <w:rPr>
          <w:rFonts w:cs="Arial"/>
        </w:rPr>
      </w:pPr>
    </w:p>
    <w:p w14:paraId="315BDCB5" w14:textId="3615CF91" w:rsidR="00F60E53" w:rsidRPr="009D4C51" w:rsidRDefault="00F60E53" w:rsidP="00A950FD">
      <w:pPr>
        <w:jc w:val="center"/>
        <w:rPr>
          <w:b/>
          <w:color w:val="000000"/>
        </w:rPr>
      </w:pPr>
      <w:r w:rsidRPr="009D4472">
        <w:rPr>
          <w:b/>
          <w:color w:val="000000"/>
        </w:rPr>
        <w:t xml:space="preserve">Table </w:t>
      </w:r>
      <w:r w:rsidR="00B62550">
        <w:rPr>
          <w:b/>
          <w:color w:val="000000"/>
        </w:rPr>
        <w:t>2</w:t>
      </w:r>
      <w:r w:rsidRPr="009D4472">
        <w:rPr>
          <w:b/>
          <w:color w:val="000000"/>
        </w:rPr>
        <w:t>:</w:t>
      </w:r>
      <w:r>
        <w:rPr>
          <w:b/>
          <w:color w:val="000000"/>
        </w:rPr>
        <w:t xml:space="preserve"> PG&amp;E </w:t>
      </w:r>
      <w:r w:rsidR="00E96F07">
        <w:rPr>
          <w:b/>
          <w:color w:val="000000"/>
        </w:rPr>
        <w:t>2020</w:t>
      </w:r>
      <w:r>
        <w:rPr>
          <w:rStyle w:val="FootnoteReference"/>
          <w:b/>
          <w:color w:val="000000"/>
        </w:rPr>
        <w:footnoteReference w:id="8"/>
      </w:r>
      <w:r>
        <w:rPr>
          <w:b/>
          <w:color w:val="000000"/>
        </w:rPr>
        <w:t xml:space="preserve"> Cost-Effectiveness </w:t>
      </w:r>
      <w:r w:rsidR="007C0D55">
        <w:rPr>
          <w:b/>
          <w:color w:val="000000"/>
        </w:rPr>
        <w:t>Statement</w:t>
      </w:r>
    </w:p>
    <w:p w14:paraId="2C2ED748" w14:textId="77777777" w:rsidR="00F60E53" w:rsidRDefault="00F60E53" w:rsidP="00F60E53">
      <w:pPr>
        <w:rPr>
          <w:color w:val="000000"/>
        </w:rPr>
      </w:pPr>
    </w:p>
    <w:tbl>
      <w:tblPr>
        <w:tblW w:w="5322" w:type="pct"/>
        <w:tblInd w:w="-5" w:type="dxa"/>
        <w:tblLook w:val="04A0" w:firstRow="1" w:lastRow="0" w:firstColumn="1" w:lastColumn="0" w:noHBand="0" w:noVBand="1"/>
      </w:tblPr>
      <w:tblGrid>
        <w:gridCol w:w="6143"/>
        <w:gridCol w:w="1167"/>
        <w:gridCol w:w="1227"/>
        <w:gridCol w:w="1404"/>
      </w:tblGrid>
      <w:tr w:rsidR="00DF4B8F" w:rsidRPr="00534BCB" w14:paraId="5DFD3850" w14:textId="4368F201" w:rsidTr="009778EA">
        <w:trPr>
          <w:trHeight w:val="330"/>
        </w:trPr>
        <w:tc>
          <w:tcPr>
            <w:tcW w:w="3090" w:type="pct"/>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hideMark/>
          </w:tcPr>
          <w:p w14:paraId="1C05C298" w14:textId="0458213F" w:rsidR="00DF4B8F" w:rsidRPr="00DE1E5E" w:rsidRDefault="00DF4B8F" w:rsidP="00DE1E5E">
            <w:pPr>
              <w:jc w:val="center"/>
              <w:rPr>
                <w:b/>
                <w:color w:val="000000"/>
                <w:sz w:val="20"/>
              </w:rPr>
            </w:pPr>
            <w:r w:rsidRPr="00DE1E5E">
              <w:rPr>
                <w:b/>
                <w:color w:val="000000"/>
                <w:sz w:val="20"/>
              </w:rPr>
              <w:t>Cost-Effectiveness Scenario</w:t>
            </w:r>
          </w:p>
        </w:tc>
        <w:tc>
          <w:tcPr>
            <w:tcW w:w="587" w:type="pct"/>
            <w:tcBorders>
              <w:top w:val="single" w:sz="8" w:space="0" w:color="auto"/>
              <w:left w:val="nil"/>
              <w:bottom w:val="single" w:sz="4" w:space="0" w:color="auto"/>
              <w:right w:val="single" w:sz="8" w:space="0" w:color="auto"/>
            </w:tcBorders>
            <w:shd w:val="clear" w:color="auto" w:fill="D9D9D9" w:themeFill="background1" w:themeFillShade="D9"/>
            <w:vAlign w:val="center"/>
            <w:hideMark/>
          </w:tcPr>
          <w:p w14:paraId="2407081A" w14:textId="611AECD7" w:rsidR="00DF4B8F" w:rsidRPr="00DE1E5E" w:rsidRDefault="00DF4B8F" w:rsidP="00DE1E5E">
            <w:pPr>
              <w:overflowPunct/>
              <w:autoSpaceDE/>
              <w:autoSpaceDN/>
              <w:adjustRightInd/>
              <w:jc w:val="center"/>
              <w:textAlignment w:val="auto"/>
              <w:rPr>
                <w:b/>
                <w:color w:val="000000"/>
                <w:sz w:val="20"/>
              </w:rPr>
            </w:pPr>
            <w:r>
              <w:rPr>
                <w:b/>
                <w:color w:val="000000"/>
                <w:sz w:val="20"/>
              </w:rPr>
              <w:t>2020</w:t>
            </w:r>
            <w:r w:rsidRPr="00DE1E5E">
              <w:rPr>
                <w:b/>
                <w:color w:val="000000"/>
                <w:sz w:val="20"/>
              </w:rPr>
              <w:t xml:space="preserve"> TRC Forecast</w:t>
            </w:r>
          </w:p>
        </w:tc>
        <w:tc>
          <w:tcPr>
            <w:tcW w:w="617" w:type="pct"/>
            <w:tcBorders>
              <w:top w:val="single" w:sz="8" w:space="0" w:color="auto"/>
              <w:left w:val="nil"/>
              <w:bottom w:val="single" w:sz="4" w:space="0" w:color="auto"/>
              <w:right w:val="single" w:sz="8" w:space="0" w:color="auto"/>
            </w:tcBorders>
            <w:shd w:val="clear" w:color="auto" w:fill="D9D9D9" w:themeFill="background1" w:themeFillShade="D9"/>
          </w:tcPr>
          <w:p w14:paraId="3CCEA0D7" w14:textId="790C05D6" w:rsidR="00DF4B8F" w:rsidRPr="00DE1E5E" w:rsidRDefault="00DF4B8F" w:rsidP="00DE1E5E">
            <w:pPr>
              <w:overflowPunct/>
              <w:autoSpaceDE/>
              <w:autoSpaceDN/>
              <w:adjustRightInd/>
              <w:jc w:val="center"/>
              <w:textAlignment w:val="auto"/>
              <w:rPr>
                <w:b/>
                <w:color w:val="000000"/>
                <w:sz w:val="20"/>
              </w:rPr>
            </w:pPr>
            <w:r>
              <w:rPr>
                <w:b/>
                <w:color w:val="000000"/>
                <w:sz w:val="20"/>
              </w:rPr>
              <w:t>2020</w:t>
            </w:r>
            <w:r w:rsidRPr="00DE1E5E">
              <w:rPr>
                <w:b/>
                <w:color w:val="000000"/>
                <w:sz w:val="20"/>
              </w:rPr>
              <w:t xml:space="preserve"> PAC Forecast</w:t>
            </w:r>
          </w:p>
        </w:tc>
        <w:tc>
          <w:tcPr>
            <w:tcW w:w="706" w:type="pct"/>
            <w:tcBorders>
              <w:top w:val="single" w:sz="8" w:space="0" w:color="auto"/>
              <w:left w:val="nil"/>
              <w:bottom w:val="single" w:sz="4" w:space="0" w:color="auto"/>
              <w:right w:val="single" w:sz="8" w:space="0" w:color="auto"/>
            </w:tcBorders>
            <w:shd w:val="clear" w:color="auto" w:fill="D9D9D9" w:themeFill="background1" w:themeFillShade="D9"/>
          </w:tcPr>
          <w:p w14:paraId="2C18F30C" w14:textId="7BB6C8ED" w:rsidR="00DF4B8F" w:rsidRDefault="00DF4B8F" w:rsidP="00DE1E5E">
            <w:pPr>
              <w:overflowPunct/>
              <w:autoSpaceDE/>
              <w:autoSpaceDN/>
              <w:adjustRightInd/>
              <w:jc w:val="center"/>
              <w:textAlignment w:val="auto"/>
              <w:rPr>
                <w:b/>
                <w:color w:val="000000"/>
                <w:sz w:val="20"/>
              </w:rPr>
            </w:pPr>
            <w:r>
              <w:rPr>
                <w:b/>
                <w:color w:val="000000"/>
                <w:sz w:val="20"/>
              </w:rPr>
              <w:t>2020 RIM Forecast</w:t>
            </w:r>
          </w:p>
        </w:tc>
      </w:tr>
      <w:tr w:rsidR="00DF4B8F" w:rsidRPr="00534BCB" w14:paraId="55C9F5A2" w14:textId="27AB668B" w:rsidTr="009778EA">
        <w:trPr>
          <w:trHeight w:val="512"/>
        </w:trPr>
        <w:tc>
          <w:tcPr>
            <w:tcW w:w="30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663798" w14:textId="16AD18CF" w:rsidR="00DF4B8F" w:rsidRPr="00DE1E5E" w:rsidRDefault="00DF4B8F" w:rsidP="00DF4B8F">
            <w:pPr>
              <w:overflowPunct/>
              <w:autoSpaceDE/>
              <w:autoSpaceDN/>
              <w:adjustRightInd/>
              <w:textAlignment w:val="auto"/>
              <w:rPr>
                <w:color w:val="000000"/>
                <w:sz w:val="20"/>
              </w:rPr>
            </w:pPr>
            <w:r w:rsidRPr="00DE1E5E">
              <w:rPr>
                <w:color w:val="000000"/>
                <w:sz w:val="20"/>
              </w:rPr>
              <w:t xml:space="preserve">Total </w:t>
            </w:r>
            <w:r>
              <w:rPr>
                <w:color w:val="000000"/>
                <w:sz w:val="20"/>
              </w:rPr>
              <w:t>p</w:t>
            </w:r>
            <w:r w:rsidRPr="00DE1E5E">
              <w:rPr>
                <w:color w:val="000000"/>
                <w:sz w:val="20"/>
              </w:rPr>
              <w:t>ortf</w:t>
            </w:r>
            <w:r w:rsidRPr="00A91DD1">
              <w:rPr>
                <w:color w:val="000000"/>
                <w:sz w:val="20"/>
              </w:rPr>
              <w:t>olio</w:t>
            </w:r>
            <w:r w:rsidRPr="00A91DD1" w:rsidDel="00E33727">
              <w:rPr>
                <w:color w:val="000000"/>
                <w:sz w:val="20"/>
              </w:rPr>
              <w:t xml:space="preserve"> </w:t>
            </w:r>
            <w:r>
              <w:rPr>
                <w:color w:val="000000"/>
                <w:sz w:val="20"/>
              </w:rPr>
              <w:t>including the Energy Savings and Performance Incentive (</w:t>
            </w:r>
            <w:r w:rsidRPr="00DE1E5E">
              <w:rPr>
                <w:color w:val="000000"/>
                <w:sz w:val="20"/>
              </w:rPr>
              <w:t>ESPI</w:t>
            </w:r>
            <w:r>
              <w:rPr>
                <w:color w:val="000000"/>
                <w:sz w:val="20"/>
              </w:rPr>
              <w:t>) award, and excluding C&amp;S</w:t>
            </w:r>
            <w:r w:rsidR="002957DB">
              <w:rPr>
                <w:color w:val="000000"/>
                <w:sz w:val="20"/>
              </w:rPr>
              <w:t xml:space="preserve"> and market effects</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6F9697" w14:textId="7C4FFEB4" w:rsidR="00DF4B8F" w:rsidRPr="009F2500" w:rsidRDefault="00DF4B8F" w:rsidP="00DF4B8F">
            <w:pPr>
              <w:overflowPunct/>
              <w:autoSpaceDE/>
              <w:autoSpaceDN/>
              <w:adjustRightInd/>
              <w:ind w:left="-75" w:right="122" w:firstLine="75"/>
              <w:jc w:val="right"/>
              <w:textAlignment w:val="auto"/>
              <w:rPr>
                <w:color w:val="000000"/>
                <w:sz w:val="20"/>
              </w:rPr>
            </w:pPr>
            <w:r w:rsidRPr="009F2500">
              <w:rPr>
                <w:color w:val="000000"/>
                <w:sz w:val="20"/>
              </w:rPr>
              <w:t>0.</w:t>
            </w:r>
            <w:r w:rsidR="00BB22C1">
              <w:rPr>
                <w:color w:val="000000"/>
                <w:sz w:val="20"/>
              </w:rPr>
              <w:t>68</w:t>
            </w:r>
          </w:p>
        </w:tc>
        <w:tc>
          <w:tcPr>
            <w:tcW w:w="617" w:type="pct"/>
            <w:tcBorders>
              <w:top w:val="single" w:sz="4" w:space="0" w:color="auto"/>
              <w:left w:val="single" w:sz="4" w:space="0" w:color="auto"/>
              <w:bottom w:val="single" w:sz="4" w:space="0" w:color="auto"/>
              <w:right w:val="single" w:sz="4" w:space="0" w:color="auto"/>
            </w:tcBorders>
            <w:vAlign w:val="center"/>
          </w:tcPr>
          <w:p w14:paraId="15F0E691" w14:textId="0FFC9E1C" w:rsidR="00DF4B8F" w:rsidRPr="009F2500" w:rsidRDefault="00DF4B8F" w:rsidP="00DF4B8F">
            <w:pPr>
              <w:overflowPunct/>
              <w:autoSpaceDE/>
              <w:autoSpaceDN/>
              <w:adjustRightInd/>
              <w:ind w:right="180"/>
              <w:jc w:val="right"/>
              <w:textAlignment w:val="auto"/>
              <w:rPr>
                <w:color w:val="000000"/>
                <w:sz w:val="20"/>
              </w:rPr>
            </w:pPr>
            <w:r w:rsidRPr="009F2500">
              <w:rPr>
                <w:color w:val="000000"/>
                <w:sz w:val="20"/>
              </w:rPr>
              <w:t>1.0</w:t>
            </w:r>
            <w:r w:rsidR="00BB22C1">
              <w:rPr>
                <w:color w:val="000000"/>
                <w:sz w:val="20"/>
              </w:rPr>
              <w:t>0</w:t>
            </w:r>
          </w:p>
        </w:tc>
        <w:tc>
          <w:tcPr>
            <w:tcW w:w="706" w:type="pct"/>
            <w:tcBorders>
              <w:top w:val="single" w:sz="4" w:space="0" w:color="auto"/>
              <w:left w:val="single" w:sz="4" w:space="0" w:color="auto"/>
              <w:bottom w:val="single" w:sz="4" w:space="0" w:color="auto"/>
              <w:right w:val="single" w:sz="4" w:space="0" w:color="auto"/>
            </w:tcBorders>
            <w:vAlign w:val="center"/>
          </w:tcPr>
          <w:p w14:paraId="7589B4D7" w14:textId="654FEDED" w:rsidR="00DF4B8F" w:rsidRPr="009F2500" w:rsidRDefault="00DF4B8F" w:rsidP="00DF4B8F">
            <w:pPr>
              <w:overflowPunct/>
              <w:autoSpaceDE/>
              <w:autoSpaceDN/>
              <w:adjustRightInd/>
              <w:ind w:right="180"/>
              <w:jc w:val="right"/>
              <w:textAlignment w:val="auto"/>
              <w:rPr>
                <w:color w:val="000000"/>
                <w:sz w:val="20"/>
              </w:rPr>
            </w:pPr>
            <w:r w:rsidRPr="009F2500">
              <w:rPr>
                <w:color w:val="000000"/>
                <w:sz w:val="20"/>
              </w:rPr>
              <w:t>0.4</w:t>
            </w:r>
            <w:r w:rsidR="00BB22C1">
              <w:rPr>
                <w:color w:val="000000"/>
                <w:sz w:val="20"/>
              </w:rPr>
              <w:t>5</w:t>
            </w:r>
          </w:p>
        </w:tc>
      </w:tr>
      <w:tr w:rsidR="00DF4B8F" w:rsidRPr="00534BCB" w14:paraId="33DE7D93" w14:textId="361984BF" w:rsidTr="009778EA">
        <w:trPr>
          <w:trHeight w:val="359"/>
        </w:trPr>
        <w:tc>
          <w:tcPr>
            <w:tcW w:w="30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0F90E8" w14:textId="3393CE19" w:rsidR="00DF4B8F" w:rsidRPr="00DE1E5E" w:rsidRDefault="00DF4B8F" w:rsidP="00DF4B8F">
            <w:pPr>
              <w:overflowPunct/>
              <w:autoSpaceDE/>
              <w:autoSpaceDN/>
              <w:adjustRightInd/>
              <w:textAlignment w:val="auto"/>
              <w:rPr>
                <w:color w:val="000000"/>
                <w:sz w:val="20"/>
              </w:rPr>
            </w:pPr>
            <w:bookmarkStart w:id="2" w:name="_Hlk522038015"/>
            <w:r w:rsidRPr="00DE1E5E">
              <w:rPr>
                <w:color w:val="000000"/>
                <w:sz w:val="20"/>
              </w:rPr>
              <w:t xml:space="preserve">Total </w:t>
            </w:r>
            <w:r>
              <w:rPr>
                <w:color w:val="000000"/>
                <w:sz w:val="20"/>
              </w:rPr>
              <w:t>p</w:t>
            </w:r>
            <w:r w:rsidRPr="00DE1E5E">
              <w:rPr>
                <w:color w:val="000000"/>
                <w:sz w:val="20"/>
              </w:rPr>
              <w:t>ortf</w:t>
            </w:r>
            <w:r w:rsidRPr="00A91DD1">
              <w:rPr>
                <w:color w:val="000000"/>
                <w:sz w:val="20"/>
              </w:rPr>
              <w:t>olio</w:t>
            </w:r>
            <w:r w:rsidRPr="00A91DD1" w:rsidDel="00E33727">
              <w:rPr>
                <w:color w:val="000000"/>
                <w:sz w:val="20"/>
              </w:rPr>
              <w:t xml:space="preserve"> </w:t>
            </w:r>
            <w:r>
              <w:rPr>
                <w:color w:val="000000"/>
                <w:sz w:val="20"/>
              </w:rPr>
              <w:t>including</w:t>
            </w:r>
            <w:r w:rsidR="002957DB">
              <w:rPr>
                <w:color w:val="000000"/>
                <w:sz w:val="20"/>
              </w:rPr>
              <w:t xml:space="preserve"> the</w:t>
            </w:r>
            <w:r>
              <w:rPr>
                <w:color w:val="000000"/>
                <w:sz w:val="20"/>
              </w:rPr>
              <w:t xml:space="preserve"> </w:t>
            </w:r>
            <w:r w:rsidRPr="00DE1E5E">
              <w:rPr>
                <w:color w:val="000000"/>
                <w:sz w:val="20"/>
              </w:rPr>
              <w:t>ESPI</w:t>
            </w:r>
            <w:r>
              <w:rPr>
                <w:color w:val="000000"/>
                <w:sz w:val="20"/>
              </w:rPr>
              <w:t xml:space="preserve"> award and C&amp;S</w:t>
            </w:r>
            <w:r w:rsidR="002957DB">
              <w:rPr>
                <w:color w:val="000000"/>
                <w:sz w:val="20"/>
              </w:rPr>
              <w:t>, and excluding market effects</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36D325" w14:textId="1BC6B955" w:rsidR="00DF4B8F" w:rsidRPr="009F2500" w:rsidRDefault="00DF4B8F" w:rsidP="00DF4B8F">
            <w:pPr>
              <w:overflowPunct/>
              <w:autoSpaceDE/>
              <w:autoSpaceDN/>
              <w:adjustRightInd/>
              <w:ind w:left="-75" w:right="122" w:firstLine="75"/>
              <w:jc w:val="right"/>
              <w:textAlignment w:val="auto"/>
              <w:rPr>
                <w:color w:val="000000"/>
                <w:sz w:val="20"/>
              </w:rPr>
            </w:pPr>
            <w:r w:rsidRPr="009F2500">
              <w:rPr>
                <w:color w:val="000000"/>
                <w:sz w:val="20"/>
              </w:rPr>
              <w:t>1.</w:t>
            </w:r>
            <w:r w:rsidR="00BB22C1">
              <w:rPr>
                <w:color w:val="000000"/>
                <w:sz w:val="20"/>
              </w:rPr>
              <w:t>06</w:t>
            </w:r>
          </w:p>
        </w:tc>
        <w:tc>
          <w:tcPr>
            <w:tcW w:w="617" w:type="pct"/>
            <w:tcBorders>
              <w:top w:val="single" w:sz="4" w:space="0" w:color="auto"/>
              <w:left w:val="single" w:sz="4" w:space="0" w:color="auto"/>
              <w:bottom w:val="single" w:sz="4" w:space="0" w:color="auto"/>
              <w:right w:val="single" w:sz="4" w:space="0" w:color="auto"/>
            </w:tcBorders>
            <w:vAlign w:val="center"/>
          </w:tcPr>
          <w:p w14:paraId="564F1B7D" w14:textId="1C9F4992" w:rsidR="00DF4B8F" w:rsidRPr="009F2500" w:rsidRDefault="00DF4B8F" w:rsidP="00DF4B8F">
            <w:pPr>
              <w:overflowPunct/>
              <w:autoSpaceDE/>
              <w:autoSpaceDN/>
              <w:adjustRightInd/>
              <w:ind w:right="180"/>
              <w:jc w:val="right"/>
              <w:textAlignment w:val="auto"/>
              <w:rPr>
                <w:color w:val="000000"/>
                <w:sz w:val="20"/>
              </w:rPr>
            </w:pPr>
            <w:r w:rsidRPr="009F2500">
              <w:rPr>
                <w:color w:val="000000"/>
                <w:sz w:val="20"/>
              </w:rPr>
              <w:t>3.</w:t>
            </w:r>
            <w:r w:rsidR="00BB22C1">
              <w:rPr>
                <w:color w:val="000000"/>
                <w:sz w:val="20"/>
              </w:rPr>
              <w:t>21</w:t>
            </w:r>
          </w:p>
        </w:tc>
        <w:tc>
          <w:tcPr>
            <w:tcW w:w="706" w:type="pct"/>
            <w:tcBorders>
              <w:top w:val="single" w:sz="4" w:space="0" w:color="auto"/>
              <w:left w:val="single" w:sz="4" w:space="0" w:color="auto"/>
              <w:bottom w:val="single" w:sz="4" w:space="0" w:color="auto"/>
              <w:right w:val="single" w:sz="4" w:space="0" w:color="auto"/>
            </w:tcBorders>
            <w:vAlign w:val="center"/>
          </w:tcPr>
          <w:p w14:paraId="0C065DF2" w14:textId="22138953" w:rsidR="00DF4B8F" w:rsidRPr="009F2500" w:rsidDel="00086666" w:rsidRDefault="00DF4B8F" w:rsidP="00DF4B8F">
            <w:pPr>
              <w:overflowPunct/>
              <w:autoSpaceDE/>
              <w:autoSpaceDN/>
              <w:adjustRightInd/>
              <w:ind w:right="180"/>
              <w:jc w:val="right"/>
              <w:textAlignment w:val="auto"/>
              <w:rPr>
                <w:color w:val="000000"/>
                <w:sz w:val="20"/>
              </w:rPr>
            </w:pPr>
            <w:r w:rsidRPr="009F2500">
              <w:rPr>
                <w:color w:val="000000"/>
                <w:sz w:val="20"/>
              </w:rPr>
              <w:t>0.5</w:t>
            </w:r>
            <w:r w:rsidR="00BB22C1">
              <w:rPr>
                <w:color w:val="000000"/>
                <w:sz w:val="20"/>
              </w:rPr>
              <w:t>4</w:t>
            </w:r>
          </w:p>
        </w:tc>
      </w:tr>
      <w:bookmarkEnd w:id="2"/>
    </w:tbl>
    <w:p w14:paraId="4FBE8172" w14:textId="77777777" w:rsidR="005F7F52" w:rsidRDefault="005F7F52" w:rsidP="00F60E53">
      <w:pPr>
        <w:jc w:val="both"/>
        <w:rPr>
          <w:color w:val="000000"/>
        </w:rPr>
      </w:pPr>
    </w:p>
    <w:p w14:paraId="5CED1C59" w14:textId="51D0BBB9" w:rsidR="00F60E53" w:rsidRPr="00C30FBA" w:rsidRDefault="00F60E53" w:rsidP="00F60E53">
      <w:pPr>
        <w:jc w:val="both"/>
        <w:rPr>
          <w:b/>
          <w:color w:val="000000"/>
        </w:rPr>
      </w:pPr>
      <w:r>
        <w:rPr>
          <w:color w:val="000000"/>
        </w:rPr>
        <w:t xml:space="preserve">TRC and PAC calculations include costs for: </w:t>
      </w:r>
      <w:r>
        <w:rPr>
          <w:b/>
          <w:color w:val="000000"/>
        </w:rPr>
        <w:t xml:space="preserve"> </w:t>
      </w:r>
    </w:p>
    <w:p w14:paraId="4056E118" w14:textId="5ED7EBD9" w:rsidR="00F60E53" w:rsidRPr="00680D69" w:rsidRDefault="00F60E53" w:rsidP="00F31737">
      <w:pPr>
        <w:numPr>
          <w:ilvl w:val="0"/>
          <w:numId w:val="1"/>
        </w:numPr>
        <w:jc w:val="both"/>
        <w:rPr>
          <w:b/>
          <w:color w:val="000000"/>
        </w:rPr>
      </w:pPr>
      <w:r>
        <w:rPr>
          <w:color w:val="000000"/>
        </w:rPr>
        <w:t>Resource and non-resource programs</w:t>
      </w:r>
      <w:r w:rsidR="00E80D4E">
        <w:rPr>
          <w:color w:val="000000"/>
        </w:rPr>
        <w:t xml:space="preserve">, including Financing </w:t>
      </w:r>
      <w:r w:rsidR="00777E08">
        <w:rPr>
          <w:color w:val="000000"/>
        </w:rPr>
        <w:t>and Workforce Education and Training (WE&amp;T) programs</w:t>
      </w:r>
      <w:r w:rsidR="007C0D55">
        <w:rPr>
          <w:color w:val="000000"/>
        </w:rPr>
        <w:t>;</w:t>
      </w:r>
    </w:p>
    <w:p w14:paraId="694FAD80" w14:textId="77777777" w:rsidR="00F60E53" w:rsidRPr="00680D69" w:rsidRDefault="00F60E53" w:rsidP="00F31737">
      <w:pPr>
        <w:numPr>
          <w:ilvl w:val="0"/>
          <w:numId w:val="1"/>
        </w:numPr>
        <w:jc w:val="both"/>
        <w:rPr>
          <w:b/>
          <w:color w:val="000000"/>
        </w:rPr>
      </w:pPr>
      <w:r w:rsidRPr="00680D69">
        <w:rPr>
          <w:color w:val="000000"/>
        </w:rPr>
        <w:t>EM&amp;V</w:t>
      </w:r>
      <w:r>
        <w:rPr>
          <w:color w:val="000000"/>
        </w:rPr>
        <w:t>; and</w:t>
      </w:r>
    </w:p>
    <w:p w14:paraId="5390064A" w14:textId="77D7068A" w:rsidR="00F60E53" w:rsidRPr="00B27100" w:rsidRDefault="00F60E53" w:rsidP="00F31737">
      <w:pPr>
        <w:numPr>
          <w:ilvl w:val="0"/>
          <w:numId w:val="1"/>
        </w:numPr>
        <w:jc w:val="both"/>
        <w:rPr>
          <w:b/>
          <w:color w:val="000000"/>
        </w:rPr>
      </w:pPr>
      <w:r w:rsidRPr="00B27100">
        <w:rPr>
          <w:color w:val="000000"/>
        </w:rPr>
        <w:t xml:space="preserve">An </w:t>
      </w:r>
      <w:r w:rsidRPr="00086666">
        <w:rPr>
          <w:color w:val="000000"/>
        </w:rPr>
        <w:t>estimate</w:t>
      </w:r>
      <w:r w:rsidR="00ED1B24" w:rsidRPr="00086666">
        <w:rPr>
          <w:color w:val="000000"/>
        </w:rPr>
        <w:t xml:space="preserve">d </w:t>
      </w:r>
      <w:r w:rsidRPr="00086666">
        <w:rPr>
          <w:color w:val="000000"/>
        </w:rPr>
        <w:t>$</w:t>
      </w:r>
      <w:r w:rsidR="00086666" w:rsidRPr="009778EA">
        <w:rPr>
          <w:color w:val="000000"/>
        </w:rPr>
        <w:t>12</w:t>
      </w:r>
      <w:r w:rsidR="00086666" w:rsidRPr="00086666">
        <w:rPr>
          <w:color w:val="000000"/>
        </w:rPr>
        <w:t xml:space="preserve"> </w:t>
      </w:r>
      <w:r w:rsidRPr="00086666">
        <w:rPr>
          <w:color w:val="000000"/>
        </w:rPr>
        <w:t>million</w:t>
      </w:r>
      <w:r w:rsidRPr="00B27100">
        <w:rPr>
          <w:color w:val="000000"/>
        </w:rPr>
        <w:t xml:space="preserve"> for PG&amp;E’s</w:t>
      </w:r>
      <w:r w:rsidR="005B4D78">
        <w:rPr>
          <w:color w:val="000000"/>
        </w:rPr>
        <w:t xml:space="preserve"> </w:t>
      </w:r>
      <w:r w:rsidR="00DE7BF6">
        <w:rPr>
          <w:color w:val="000000"/>
        </w:rPr>
        <w:t xml:space="preserve">ESPI </w:t>
      </w:r>
      <w:r w:rsidRPr="00B27100">
        <w:rPr>
          <w:color w:val="000000"/>
        </w:rPr>
        <w:t xml:space="preserve">award </w:t>
      </w:r>
      <w:r w:rsidR="004D5A7A" w:rsidRPr="00B27100">
        <w:rPr>
          <w:color w:val="000000"/>
        </w:rPr>
        <w:t xml:space="preserve">in </w:t>
      </w:r>
      <w:r w:rsidR="00AA2CF5">
        <w:rPr>
          <w:color w:val="000000"/>
        </w:rPr>
        <w:t>2020</w:t>
      </w:r>
      <w:r w:rsidRPr="00B27100">
        <w:rPr>
          <w:color w:val="000000"/>
        </w:rPr>
        <w:t>.</w:t>
      </w:r>
      <w:r w:rsidR="00B84923" w:rsidRPr="00B27100">
        <w:rPr>
          <w:rStyle w:val="FootnoteReference"/>
          <w:color w:val="000000"/>
        </w:rPr>
        <w:footnoteReference w:id="9"/>
      </w:r>
    </w:p>
    <w:p w14:paraId="574E27DD" w14:textId="77777777" w:rsidR="00F60E53" w:rsidRDefault="00F60E53" w:rsidP="00F60E53">
      <w:pPr>
        <w:jc w:val="both"/>
        <w:rPr>
          <w:color w:val="000000"/>
        </w:rPr>
      </w:pPr>
    </w:p>
    <w:p w14:paraId="6C5C2119" w14:textId="77777777" w:rsidR="00F60E53" w:rsidRDefault="00F60E53" w:rsidP="00F60E53">
      <w:pPr>
        <w:jc w:val="both"/>
        <w:rPr>
          <w:color w:val="000000"/>
        </w:rPr>
      </w:pPr>
      <w:r>
        <w:rPr>
          <w:color w:val="000000"/>
        </w:rPr>
        <w:t>TRC and PAC calculations exclude:</w:t>
      </w:r>
    </w:p>
    <w:p w14:paraId="256EB7CA" w14:textId="03DDF5DF" w:rsidR="00F60E53" w:rsidRDefault="00534C8F" w:rsidP="00F31737">
      <w:pPr>
        <w:numPr>
          <w:ilvl w:val="0"/>
          <w:numId w:val="2"/>
        </w:numPr>
        <w:jc w:val="both"/>
        <w:rPr>
          <w:color w:val="000000"/>
        </w:rPr>
      </w:pPr>
      <w:r>
        <w:rPr>
          <w:color w:val="000000"/>
        </w:rPr>
        <w:t>Emerging Technologies (</w:t>
      </w:r>
      <w:r w:rsidR="00F60E53">
        <w:rPr>
          <w:color w:val="000000"/>
        </w:rPr>
        <w:t>ET</w:t>
      </w:r>
      <w:r>
        <w:rPr>
          <w:color w:val="000000"/>
        </w:rPr>
        <w:t>)</w:t>
      </w:r>
      <w:r w:rsidR="00F60E53">
        <w:rPr>
          <w:color w:val="000000"/>
        </w:rPr>
        <w:t xml:space="preserve"> program costs; </w:t>
      </w:r>
    </w:p>
    <w:p w14:paraId="3E2C7CC4" w14:textId="1A0F042F" w:rsidR="00F7228D" w:rsidRPr="006C3619" w:rsidRDefault="0013019E" w:rsidP="00F31737">
      <w:pPr>
        <w:numPr>
          <w:ilvl w:val="0"/>
          <w:numId w:val="2"/>
        </w:numPr>
        <w:jc w:val="both"/>
        <w:rPr>
          <w:color w:val="000000"/>
        </w:rPr>
      </w:pPr>
      <w:r w:rsidRPr="006C3619">
        <w:rPr>
          <w:color w:val="000000"/>
        </w:rPr>
        <w:t>Statewide (</w:t>
      </w:r>
      <w:r w:rsidR="00FA66B1" w:rsidRPr="006C3619">
        <w:rPr>
          <w:color w:val="000000"/>
        </w:rPr>
        <w:t>SW</w:t>
      </w:r>
      <w:r w:rsidRPr="006C3619">
        <w:rPr>
          <w:color w:val="000000"/>
        </w:rPr>
        <w:t>)</w:t>
      </w:r>
      <w:r w:rsidR="00FA66B1" w:rsidRPr="006C3619">
        <w:rPr>
          <w:color w:val="000000"/>
        </w:rPr>
        <w:t xml:space="preserve"> </w:t>
      </w:r>
      <w:r w:rsidR="005B4D78">
        <w:rPr>
          <w:color w:val="000000"/>
        </w:rPr>
        <w:t>Marketing, Education and Outreach (</w:t>
      </w:r>
      <w:r w:rsidR="00F7228D" w:rsidRPr="006C3619">
        <w:rPr>
          <w:color w:val="000000"/>
        </w:rPr>
        <w:t>ME&amp;O</w:t>
      </w:r>
      <w:r w:rsidR="005B4D78">
        <w:rPr>
          <w:color w:val="000000"/>
        </w:rPr>
        <w:t>)</w:t>
      </w:r>
      <w:r w:rsidR="00F7228D" w:rsidRPr="006C3619">
        <w:rPr>
          <w:color w:val="000000"/>
        </w:rPr>
        <w:t xml:space="preserve"> costs;</w:t>
      </w:r>
    </w:p>
    <w:p w14:paraId="1751428E" w14:textId="06F0E8CC" w:rsidR="002D0022" w:rsidRDefault="00166875" w:rsidP="00F31737">
      <w:pPr>
        <w:numPr>
          <w:ilvl w:val="0"/>
          <w:numId w:val="2"/>
        </w:numPr>
        <w:jc w:val="both"/>
        <w:rPr>
          <w:color w:val="000000"/>
        </w:rPr>
      </w:pPr>
      <w:proofErr w:type="spellStart"/>
      <w:r>
        <w:rPr>
          <w:color w:val="000000"/>
        </w:rPr>
        <w:t>BayREN</w:t>
      </w:r>
      <w:proofErr w:type="spellEnd"/>
      <w:r>
        <w:rPr>
          <w:color w:val="000000"/>
        </w:rPr>
        <w:t xml:space="preserve"> and MCE benefits </w:t>
      </w:r>
      <w:r w:rsidR="002D0022">
        <w:rPr>
          <w:color w:val="000000"/>
        </w:rPr>
        <w:t>and costs</w:t>
      </w:r>
      <w:r w:rsidR="007C0D55">
        <w:rPr>
          <w:color w:val="000000"/>
        </w:rPr>
        <w:t>;</w:t>
      </w:r>
      <w:r w:rsidR="002D0022">
        <w:rPr>
          <w:rStyle w:val="FootnoteReference"/>
          <w:color w:val="000000"/>
        </w:rPr>
        <w:footnoteReference w:id="10"/>
      </w:r>
      <w:r w:rsidR="00DE7BF6">
        <w:rPr>
          <w:color w:val="000000"/>
        </w:rPr>
        <w:t xml:space="preserve"> </w:t>
      </w:r>
    </w:p>
    <w:p w14:paraId="238D9607" w14:textId="76B77251" w:rsidR="00DE7BF6" w:rsidRDefault="00BF5966" w:rsidP="00DE7BF6">
      <w:pPr>
        <w:numPr>
          <w:ilvl w:val="0"/>
          <w:numId w:val="2"/>
        </w:numPr>
        <w:jc w:val="both"/>
        <w:rPr>
          <w:color w:val="000000"/>
        </w:rPr>
      </w:pPr>
      <w:bookmarkStart w:id="3" w:name="_Hlk522795140"/>
      <w:r>
        <w:rPr>
          <w:color w:val="000000"/>
        </w:rPr>
        <w:t>F</w:t>
      </w:r>
      <w:r w:rsidR="00F60E53">
        <w:rPr>
          <w:color w:val="000000"/>
        </w:rPr>
        <w:t>inancing costs including credit enhancements approved for the Statewide Financing Pilots in D.13-09-044</w:t>
      </w:r>
      <w:bookmarkEnd w:id="3"/>
      <w:r w:rsidR="00DE7BF6">
        <w:rPr>
          <w:color w:val="000000"/>
        </w:rPr>
        <w:t>; and</w:t>
      </w:r>
    </w:p>
    <w:p w14:paraId="76A98190" w14:textId="7151B317" w:rsidR="00DE7BF6" w:rsidRDefault="00DE7BF6" w:rsidP="00DE7BF6">
      <w:pPr>
        <w:numPr>
          <w:ilvl w:val="0"/>
          <w:numId w:val="2"/>
        </w:numPr>
        <w:jc w:val="both"/>
        <w:rPr>
          <w:color w:val="000000"/>
        </w:rPr>
      </w:pPr>
      <w:r>
        <w:rPr>
          <w:color w:val="000000"/>
        </w:rPr>
        <w:lastRenderedPageBreak/>
        <w:t>Energy Savings Assistance (ESA) benefits and costs.</w:t>
      </w:r>
    </w:p>
    <w:p w14:paraId="72C15FCC" w14:textId="7C839CA4" w:rsidR="0006038B" w:rsidRDefault="0006038B" w:rsidP="0006038B">
      <w:pPr>
        <w:jc w:val="both"/>
        <w:rPr>
          <w:color w:val="000000"/>
        </w:rPr>
      </w:pPr>
    </w:p>
    <w:p w14:paraId="128EBE7E" w14:textId="79980849" w:rsidR="0006038B" w:rsidRDefault="0006038B" w:rsidP="0092145B">
      <w:pPr>
        <w:pStyle w:val="Heading2"/>
        <w:numPr>
          <w:ilvl w:val="0"/>
          <w:numId w:val="10"/>
        </w:numPr>
      </w:pPr>
      <w:r>
        <w:t>Portfolio Strategies to Boost Cost-Effectiveness in 2020</w:t>
      </w:r>
    </w:p>
    <w:p w14:paraId="2DA3FD6E" w14:textId="2A4CA2FE" w:rsidR="007E01A8" w:rsidRDefault="007E01A8" w:rsidP="007E01A8"/>
    <w:p w14:paraId="390DF479" w14:textId="2DCF7EDA" w:rsidR="00B23536" w:rsidRDefault="005B4D78" w:rsidP="007E01A8">
      <w:r>
        <w:t>Following</w:t>
      </w:r>
      <w:r w:rsidR="00681EDD">
        <w:t xml:space="preserve"> its third-party program solicitations process</w:t>
      </w:r>
      <w:r>
        <w:t xml:space="preserve"> and schedule</w:t>
      </w:r>
      <w:r w:rsidR="00681EDD">
        <w:t xml:space="preserve">, PG&amp;E will undertake “portfolio balancing” work after the September 3, 2019 filing date of this advice letter. </w:t>
      </w:r>
      <w:r w:rsidR="000D3D14">
        <w:t>Portfolio balancing is the process through which PG&amp;E will identify high potential proposals, match them with incumbent programs to be replaced, and facilitate a smooth transition between the old and the new</w:t>
      </w:r>
      <w:r>
        <w:t xml:space="preserve"> programs</w:t>
      </w:r>
      <w:r w:rsidR="000D3D14">
        <w:t>. Portfolio balancing yields an increase in projected portfolio TRC whenever an incoming program projects to exceed the TRC of the program(s) it is replacing</w:t>
      </w:r>
      <w:r w:rsidR="00B14985">
        <w:t xml:space="preserve">, and it will likely continue </w:t>
      </w:r>
      <w:proofErr w:type="gramStart"/>
      <w:r w:rsidR="00B14985">
        <w:t>as long as</w:t>
      </w:r>
      <w:proofErr w:type="gramEnd"/>
      <w:r w:rsidR="00B14985">
        <w:t xml:space="preserve"> an incoming proposal can materially improve upon an existing component of the portfolio.</w:t>
      </w:r>
    </w:p>
    <w:p w14:paraId="31FB3B79" w14:textId="77777777" w:rsidR="00B23536" w:rsidRDefault="00B23536" w:rsidP="007E01A8"/>
    <w:p w14:paraId="5915BB1F" w14:textId="2550A03E" w:rsidR="00673D59" w:rsidRDefault="00B23536" w:rsidP="007E01A8">
      <w:r>
        <w:t>P</w:t>
      </w:r>
      <w:r w:rsidR="00681EDD">
        <w:t>ortfolio balancing activities will seek to create a cost-effective EE portfolio through the selection of new, third-party programs for inclusion in the 2020 portfolio and either modification or closure of existing</w:t>
      </w:r>
      <w:r w:rsidR="00673D59">
        <w:t xml:space="preserve"> </w:t>
      </w:r>
      <w:r w:rsidR="00681EDD">
        <w:t xml:space="preserve">programs with low cost-effectiveness. Program contract negotiation for new and existing programs will also take place during this time. </w:t>
      </w:r>
    </w:p>
    <w:p w14:paraId="49102356" w14:textId="5C495FBC" w:rsidR="009800E0" w:rsidRDefault="009800E0" w:rsidP="004A14F1">
      <w:pPr>
        <w:rPr>
          <w:rFonts w:cs="Arial"/>
          <w:color w:val="000000"/>
        </w:rPr>
      </w:pPr>
    </w:p>
    <w:p w14:paraId="05EAA9F5" w14:textId="64DB73BB" w:rsidR="00224520" w:rsidRDefault="00224520" w:rsidP="004A14F1">
      <w:pPr>
        <w:rPr>
          <w:rFonts w:cs="Arial"/>
          <w:color w:val="000000"/>
        </w:rPr>
      </w:pPr>
      <w:r>
        <w:rPr>
          <w:rFonts w:cs="Arial"/>
          <w:color w:val="000000"/>
        </w:rPr>
        <w:t>[TBD – discussion of reduced portfolio administrat</w:t>
      </w:r>
      <w:r w:rsidR="00833FDC">
        <w:rPr>
          <w:rFonts w:cs="Arial"/>
          <w:color w:val="000000"/>
        </w:rPr>
        <w:t>or</w:t>
      </w:r>
      <w:r>
        <w:rPr>
          <w:rFonts w:cs="Arial"/>
          <w:color w:val="000000"/>
        </w:rPr>
        <w:t xml:space="preserve"> costs]</w:t>
      </w:r>
    </w:p>
    <w:p w14:paraId="26A90717" w14:textId="77777777" w:rsidR="00224520" w:rsidRDefault="00224520" w:rsidP="004A14F1">
      <w:pPr>
        <w:rPr>
          <w:rFonts w:cs="Arial"/>
          <w:color w:val="000000"/>
        </w:rPr>
      </w:pPr>
    </w:p>
    <w:p w14:paraId="1E2506DF" w14:textId="77777777" w:rsidR="005B4D78" w:rsidRDefault="005B4D78" w:rsidP="004A14F1">
      <w:pPr>
        <w:rPr>
          <w:rFonts w:cs="Arial"/>
          <w:color w:val="000000"/>
        </w:rPr>
      </w:pPr>
    </w:p>
    <w:p w14:paraId="6F8B4839" w14:textId="570211F0" w:rsidR="0318B9F2" w:rsidRDefault="0318B9F2" w:rsidP="0092145B">
      <w:pPr>
        <w:pStyle w:val="Heading2"/>
        <w:numPr>
          <w:ilvl w:val="0"/>
          <w:numId w:val="7"/>
        </w:numPr>
      </w:pPr>
      <w:r>
        <w:t>Cost Recovery</w:t>
      </w:r>
    </w:p>
    <w:p w14:paraId="407D09B6" w14:textId="4217B8B4" w:rsidR="0318B9F2" w:rsidRDefault="0318B9F2" w:rsidP="4217B8B4">
      <w:pPr>
        <w:jc w:val="both"/>
      </w:pPr>
    </w:p>
    <w:p w14:paraId="5048DAF7" w14:textId="04666E05" w:rsidR="0318B9F2" w:rsidRDefault="4217B8B4" w:rsidP="0092145B">
      <w:pPr>
        <w:pStyle w:val="Heading2"/>
        <w:numPr>
          <w:ilvl w:val="0"/>
          <w:numId w:val="13"/>
        </w:numPr>
      </w:pPr>
      <w:r>
        <w:t xml:space="preserve">Collection of PG&amp;E's </w:t>
      </w:r>
      <w:r w:rsidR="00820E5E">
        <w:t>2020</w:t>
      </w:r>
      <w:r>
        <w:t xml:space="preserve"> EE Budget in Rates</w:t>
      </w:r>
    </w:p>
    <w:p w14:paraId="767AD4BE" w14:textId="5048DAF7" w:rsidR="0318B9F2" w:rsidRDefault="0318B9F2"/>
    <w:p w14:paraId="66FCBC34" w14:textId="60E665DB" w:rsidR="0318B9F2" w:rsidRDefault="4217B8B4" w:rsidP="002814DA">
      <w:pPr>
        <w:jc w:val="center"/>
      </w:pPr>
      <w:r w:rsidRPr="009D4472">
        <w:rPr>
          <w:b/>
        </w:rPr>
        <w:t xml:space="preserve">Table </w:t>
      </w:r>
      <w:r w:rsidR="00B62550">
        <w:rPr>
          <w:b/>
        </w:rPr>
        <w:t>3.</w:t>
      </w:r>
      <w:r w:rsidRPr="002814DA">
        <w:rPr>
          <w:b/>
          <w:bCs/>
        </w:rPr>
        <w:t xml:space="preserve"> Authorized E</w:t>
      </w:r>
      <w:r w:rsidR="00C346E2">
        <w:rPr>
          <w:b/>
          <w:bCs/>
        </w:rPr>
        <w:t>E</w:t>
      </w:r>
      <w:r w:rsidRPr="002814DA">
        <w:rPr>
          <w:b/>
          <w:bCs/>
        </w:rPr>
        <w:t xml:space="preserve"> Funding in </w:t>
      </w:r>
      <w:r w:rsidR="00820E5E">
        <w:rPr>
          <w:b/>
          <w:bCs/>
        </w:rPr>
        <w:t>2020</w:t>
      </w:r>
      <w:r w:rsidRPr="002814DA">
        <w:rPr>
          <w:b/>
          <w:bCs/>
        </w:rPr>
        <w:t xml:space="preserve"> Rates</w:t>
      </w:r>
    </w:p>
    <w:p w14:paraId="7D74A278" w14:textId="66FCBC34" w:rsidR="0318B9F2" w:rsidRDefault="0318B9F2"/>
    <w:tbl>
      <w:tblPr>
        <w:tblStyle w:val="TableGrid"/>
        <w:tblW w:w="0" w:type="auto"/>
        <w:tblLook w:val="04A0" w:firstRow="1" w:lastRow="0" w:firstColumn="1" w:lastColumn="0" w:noHBand="0" w:noVBand="1"/>
      </w:tblPr>
      <w:tblGrid>
        <w:gridCol w:w="2130"/>
        <w:gridCol w:w="2350"/>
        <w:gridCol w:w="2485"/>
        <w:gridCol w:w="2385"/>
      </w:tblGrid>
      <w:tr w:rsidR="4217B8B4" w14:paraId="38E55A81" w14:textId="77777777" w:rsidTr="00F45A0B">
        <w:tc>
          <w:tcPr>
            <w:tcW w:w="2178" w:type="dxa"/>
            <w:shd w:val="clear" w:color="auto" w:fill="BFBFBF" w:themeFill="background1" w:themeFillShade="BF"/>
            <w:vAlign w:val="center"/>
          </w:tcPr>
          <w:p w14:paraId="012EC3C8" w14:textId="7D74A278" w:rsidR="4217B8B4" w:rsidRPr="00B27100" w:rsidRDefault="4217B8B4" w:rsidP="00B27100">
            <w:pPr>
              <w:jc w:val="center"/>
              <w:rPr>
                <w:b/>
                <w:sz w:val="20"/>
              </w:rPr>
            </w:pPr>
            <w:r w:rsidRPr="00B27100">
              <w:rPr>
                <w:b/>
                <w:sz w:val="20"/>
              </w:rPr>
              <w:t>Category</w:t>
            </w:r>
          </w:p>
        </w:tc>
        <w:tc>
          <w:tcPr>
            <w:tcW w:w="2405" w:type="dxa"/>
            <w:shd w:val="clear" w:color="auto" w:fill="BFBFBF" w:themeFill="background1" w:themeFillShade="BF"/>
            <w:vAlign w:val="center"/>
          </w:tcPr>
          <w:p w14:paraId="2D284D06" w14:textId="38E55A81" w:rsidR="4217B8B4" w:rsidRPr="00B27100" w:rsidRDefault="4217B8B4" w:rsidP="00B27100">
            <w:pPr>
              <w:jc w:val="center"/>
              <w:rPr>
                <w:b/>
                <w:sz w:val="20"/>
              </w:rPr>
            </w:pPr>
            <w:r w:rsidRPr="00B27100">
              <w:rPr>
                <w:b/>
                <w:sz w:val="20"/>
              </w:rPr>
              <w:t>Electric Energy Efficiency Funds</w:t>
            </w:r>
          </w:p>
        </w:tc>
        <w:tc>
          <w:tcPr>
            <w:tcW w:w="2552" w:type="dxa"/>
            <w:shd w:val="clear" w:color="auto" w:fill="BFBFBF" w:themeFill="background1" w:themeFillShade="BF"/>
            <w:vAlign w:val="center"/>
          </w:tcPr>
          <w:p w14:paraId="654118F3" w14:textId="2A070602" w:rsidR="4217B8B4" w:rsidRPr="00B27100" w:rsidRDefault="4217B8B4" w:rsidP="00B27100">
            <w:pPr>
              <w:jc w:val="center"/>
              <w:rPr>
                <w:b/>
                <w:sz w:val="20"/>
              </w:rPr>
            </w:pPr>
            <w:r w:rsidRPr="00B27100">
              <w:rPr>
                <w:b/>
                <w:sz w:val="20"/>
              </w:rPr>
              <w:t>Natural Gas Public Purpose Funds</w:t>
            </w:r>
          </w:p>
        </w:tc>
        <w:tc>
          <w:tcPr>
            <w:tcW w:w="2441" w:type="dxa"/>
            <w:shd w:val="clear" w:color="auto" w:fill="BFBFBF" w:themeFill="background1" w:themeFillShade="BF"/>
            <w:vAlign w:val="center"/>
          </w:tcPr>
          <w:p w14:paraId="18AB6F02" w14:textId="68956FB5" w:rsidR="4217B8B4" w:rsidRPr="00B27100" w:rsidRDefault="4217B8B4" w:rsidP="00B27100">
            <w:pPr>
              <w:jc w:val="center"/>
              <w:rPr>
                <w:b/>
                <w:sz w:val="20"/>
              </w:rPr>
            </w:pPr>
            <w:r w:rsidRPr="00B27100">
              <w:rPr>
                <w:b/>
                <w:sz w:val="20"/>
              </w:rPr>
              <w:t>Total Energy Efficiency Funds</w:t>
            </w:r>
            <w:r w:rsidR="00E1073D" w:rsidRPr="00B27100">
              <w:rPr>
                <w:rStyle w:val="FootnoteReference"/>
                <w:b/>
                <w:sz w:val="20"/>
              </w:rPr>
              <w:footnoteReference w:id="11"/>
            </w:r>
          </w:p>
        </w:tc>
      </w:tr>
      <w:tr w:rsidR="0006038B" w14:paraId="2A070602" w14:textId="77777777" w:rsidTr="00F45A0B">
        <w:tc>
          <w:tcPr>
            <w:tcW w:w="2178" w:type="dxa"/>
          </w:tcPr>
          <w:p w14:paraId="52F6606E" w14:textId="1A400B56" w:rsidR="0006038B" w:rsidRPr="00B27100" w:rsidRDefault="0006038B" w:rsidP="0006038B">
            <w:pPr>
              <w:rPr>
                <w:sz w:val="20"/>
              </w:rPr>
            </w:pPr>
            <w:r w:rsidRPr="00B27100">
              <w:rPr>
                <w:sz w:val="20"/>
              </w:rPr>
              <w:t>Program Funds - Utility</w:t>
            </w:r>
          </w:p>
        </w:tc>
        <w:tc>
          <w:tcPr>
            <w:tcW w:w="2405" w:type="dxa"/>
          </w:tcPr>
          <w:p w14:paraId="67451E7C" w14:textId="6AC38EEE" w:rsidR="0006038B" w:rsidRPr="009778EA" w:rsidRDefault="0006038B" w:rsidP="0006038B">
            <w:pPr>
              <w:jc w:val="right"/>
              <w:rPr>
                <w:sz w:val="20"/>
              </w:rPr>
            </w:pPr>
            <w:r w:rsidRPr="009778EA">
              <w:rPr>
                <w:sz w:val="20"/>
              </w:rPr>
              <w:t>TBD</w:t>
            </w:r>
          </w:p>
        </w:tc>
        <w:tc>
          <w:tcPr>
            <w:tcW w:w="2552" w:type="dxa"/>
          </w:tcPr>
          <w:p w14:paraId="7C888E5C" w14:textId="30F4020F" w:rsidR="0006038B" w:rsidRPr="009778EA" w:rsidRDefault="0006038B" w:rsidP="0006038B">
            <w:pPr>
              <w:jc w:val="right"/>
              <w:rPr>
                <w:sz w:val="20"/>
              </w:rPr>
            </w:pPr>
            <w:r w:rsidRPr="009778EA">
              <w:rPr>
                <w:sz w:val="20"/>
              </w:rPr>
              <w:t>TBD</w:t>
            </w:r>
          </w:p>
        </w:tc>
        <w:tc>
          <w:tcPr>
            <w:tcW w:w="2441" w:type="dxa"/>
          </w:tcPr>
          <w:p w14:paraId="01948AA3" w14:textId="3F4E3B95" w:rsidR="0006038B" w:rsidRPr="009778EA" w:rsidRDefault="0006038B" w:rsidP="0006038B">
            <w:pPr>
              <w:jc w:val="right"/>
              <w:rPr>
                <w:sz w:val="20"/>
              </w:rPr>
            </w:pPr>
            <w:r w:rsidRPr="009778EA">
              <w:rPr>
                <w:sz w:val="20"/>
              </w:rPr>
              <w:t>TBD</w:t>
            </w:r>
          </w:p>
        </w:tc>
      </w:tr>
      <w:tr w:rsidR="0006038B" w14:paraId="0BFE8650" w14:textId="77777777" w:rsidTr="00F45A0B">
        <w:tc>
          <w:tcPr>
            <w:tcW w:w="2178" w:type="dxa"/>
          </w:tcPr>
          <w:p w14:paraId="50B680DA" w14:textId="7A340831" w:rsidR="0006038B" w:rsidRPr="00B27100" w:rsidRDefault="0006038B" w:rsidP="0006038B">
            <w:pPr>
              <w:rPr>
                <w:sz w:val="20"/>
              </w:rPr>
            </w:pPr>
            <w:r w:rsidRPr="00B27100">
              <w:rPr>
                <w:sz w:val="20"/>
              </w:rPr>
              <w:t xml:space="preserve">Program Funds - </w:t>
            </w:r>
            <w:proofErr w:type="spellStart"/>
            <w:r w:rsidRPr="00B27100">
              <w:rPr>
                <w:sz w:val="20"/>
              </w:rPr>
              <w:t>BayREN</w:t>
            </w:r>
            <w:proofErr w:type="spellEnd"/>
          </w:p>
        </w:tc>
        <w:tc>
          <w:tcPr>
            <w:tcW w:w="2405" w:type="dxa"/>
          </w:tcPr>
          <w:p w14:paraId="479039AE" w14:textId="1B36C719" w:rsidR="0006038B" w:rsidRPr="009778EA" w:rsidRDefault="0006038B" w:rsidP="0006038B">
            <w:pPr>
              <w:jc w:val="right"/>
              <w:rPr>
                <w:sz w:val="20"/>
              </w:rPr>
            </w:pPr>
            <w:r w:rsidRPr="009778EA">
              <w:rPr>
                <w:sz w:val="20"/>
              </w:rPr>
              <w:t>TBD</w:t>
            </w:r>
          </w:p>
        </w:tc>
        <w:tc>
          <w:tcPr>
            <w:tcW w:w="2552" w:type="dxa"/>
          </w:tcPr>
          <w:p w14:paraId="3D2FF505" w14:textId="44A19303" w:rsidR="0006038B" w:rsidRPr="009778EA" w:rsidRDefault="0006038B" w:rsidP="0006038B">
            <w:pPr>
              <w:jc w:val="right"/>
              <w:rPr>
                <w:sz w:val="20"/>
              </w:rPr>
            </w:pPr>
            <w:r w:rsidRPr="009778EA">
              <w:rPr>
                <w:sz w:val="20"/>
              </w:rPr>
              <w:t>TBD</w:t>
            </w:r>
          </w:p>
        </w:tc>
        <w:tc>
          <w:tcPr>
            <w:tcW w:w="2441" w:type="dxa"/>
          </w:tcPr>
          <w:p w14:paraId="25A713B9" w14:textId="609F1816" w:rsidR="0006038B" w:rsidRPr="009778EA" w:rsidRDefault="0006038B" w:rsidP="0006038B">
            <w:pPr>
              <w:jc w:val="right"/>
              <w:rPr>
                <w:sz w:val="20"/>
              </w:rPr>
            </w:pPr>
            <w:r w:rsidRPr="009778EA">
              <w:rPr>
                <w:sz w:val="20"/>
              </w:rPr>
              <w:t>TBD</w:t>
            </w:r>
          </w:p>
        </w:tc>
      </w:tr>
      <w:tr w:rsidR="0006038B" w14:paraId="1A400B56" w14:textId="77777777" w:rsidTr="00F45A0B">
        <w:tc>
          <w:tcPr>
            <w:tcW w:w="2178" w:type="dxa"/>
          </w:tcPr>
          <w:p w14:paraId="6771FD72" w14:textId="18AB6F02" w:rsidR="0006038B" w:rsidRPr="00B27100" w:rsidRDefault="0006038B" w:rsidP="0006038B">
            <w:pPr>
              <w:rPr>
                <w:sz w:val="20"/>
              </w:rPr>
            </w:pPr>
            <w:r w:rsidRPr="00B27100">
              <w:rPr>
                <w:sz w:val="20"/>
              </w:rPr>
              <w:t>Program Funds - MCE</w:t>
            </w:r>
          </w:p>
        </w:tc>
        <w:tc>
          <w:tcPr>
            <w:tcW w:w="2405" w:type="dxa"/>
          </w:tcPr>
          <w:p w14:paraId="1ECF1C2D" w14:textId="2BBAE8AE" w:rsidR="0006038B" w:rsidRPr="009778EA" w:rsidRDefault="0006038B" w:rsidP="0006038B">
            <w:pPr>
              <w:jc w:val="right"/>
              <w:rPr>
                <w:sz w:val="20"/>
              </w:rPr>
            </w:pPr>
            <w:r w:rsidRPr="009778EA">
              <w:rPr>
                <w:sz w:val="20"/>
              </w:rPr>
              <w:t>TBD</w:t>
            </w:r>
          </w:p>
        </w:tc>
        <w:tc>
          <w:tcPr>
            <w:tcW w:w="2552" w:type="dxa"/>
          </w:tcPr>
          <w:p w14:paraId="46D1F782" w14:textId="444B6521" w:rsidR="0006038B" w:rsidRPr="009778EA" w:rsidRDefault="0006038B" w:rsidP="0006038B">
            <w:pPr>
              <w:jc w:val="right"/>
              <w:rPr>
                <w:sz w:val="20"/>
              </w:rPr>
            </w:pPr>
            <w:r w:rsidRPr="009778EA">
              <w:rPr>
                <w:sz w:val="20"/>
              </w:rPr>
              <w:t>TBD</w:t>
            </w:r>
          </w:p>
        </w:tc>
        <w:tc>
          <w:tcPr>
            <w:tcW w:w="2441" w:type="dxa"/>
          </w:tcPr>
          <w:p w14:paraId="2F7A2456" w14:textId="1403CE2F" w:rsidR="0006038B" w:rsidRPr="009778EA" w:rsidRDefault="0006038B" w:rsidP="0006038B">
            <w:pPr>
              <w:jc w:val="right"/>
              <w:rPr>
                <w:sz w:val="20"/>
              </w:rPr>
            </w:pPr>
            <w:r w:rsidRPr="009778EA">
              <w:rPr>
                <w:sz w:val="20"/>
              </w:rPr>
              <w:t>TBD</w:t>
            </w:r>
          </w:p>
        </w:tc>
      </w:tr>
      <w:tr w:rsidR="0006038B" w14:paraId="2D7EAFD0" w14:textId="77777777" w:rsidTr="00F45A0B">
        <w:tc>
          <w:tcPr>
            <w:tcW w:w="2178" w:type="dxa"/>
          </w:tcPr>
          <w:p w14:paraId="65D8F301" w14:textId="01948AA3" w:rsidR="0006038B" w:rsidRPr="00B27100" w:rsidRDefault="0006038B" w:rsidP="0006038B">
            <w:pPr>
              <w:rPr>
                <w:sz w:val="20"/>
              </w:rPr>
            </w:pPr>
            <w:r w:rsidRPr="00B27100">
              <w:rPr>
                <w:sz w:val="20"/>
              </w:rPr>
              <w:t>EM&amp;V - Utility</w:t>
            </w:r>
          </w:p>
        </w:tc>
        <w:tc>
          <w:tcPr>
            <w:tcW w:w="2405" w:type="dxa"/>
          </w:tcPr>
          <w:p w14:paraId="3E4A0FC4" w14:textId="2747097A" w:rsidR="0006038B" w:rsidRPr="009778EA" w:rsidRDefault="0006038B" w:rsidP="0006038B">
            <w:pPr>
              <w:jc w:val="right"/>
              <w:rPr>
                <w:sz w:val="20"/>
              </w:rPr>
            </w:pPr>
            <w:r w:rsidRPr="009778EA">
              <w:rPr>
                <w:sz w:val="20"/>
              </w:rPr>
              <w:t>TBD</w:t>
            </w:r>
          </w:p>
        </w:tc>
        <w:tc>
          <w:tcPr>
            <w:tcW w:w="2552" w:type="dxa"/>
          </w:tcPr>
          <w:p w14:paraId="5D93F306" w14:textId="38EA5E4B" w:rsidR="0006038B" w:rsidRPr="009778EA" w:rsidRDefault="0006038B" w:rsidP="0006038B">
            <w:pPr>
              <w:jc w:val="right"/>
              <w:rPr>
                <w:sz w:val="20"/>
              </w:rPr>
            </w:pPr>
            <w:r w:rsidRPr="009778EA">
              <w:rPr>
                <w:sz w:val="20"/>
              </w:rPr>
              <w:t>TBD</w:t>
            </w:r>
          </w:p>
        </w:tc>
        <w:tc>
          <w:tcPr>
            <w:tcW w:w="2441" w:type="dxa"/>
          </w:tcPr>
          <w:p w14:paraId="3FF3A096" w14:textId="1AED505C" w:rsidR="0006038B" w:rsidRPr="009778EA" w:rsidRDefault="0006038B" w:rsidP="0006038B">
            <w:pPr>
              <w:jc w:val="right"/>
              <w:rPr>
                <w:sz w:val="20"/>
              </w:rPr>
            </w:pPr>
            <w:r w:rsidRPr="009778EA">
              <w:rPr>
                <w:sz w:val="20"/>
              </w:rPr>
              <w:t>TBD</w:t>
            </w:r>
          </w:p>
        </w:tc>
      </w:tr>
      <w:tr w:rsidR="0006038B" w14:paraId="630225FB" w14:textId="77777777" w:rsidTr="00F45A0B">
        <w:tc>
          <w:tcPr>
            <w:tcW w:w="2178" w:type="dxa"/>
          </w:tcPr>
          <w:p w14:paraId="2E9A9B0E" w14:textId="25A713B9" w:rsidR="0006038B" w:rsidRPr="00B27100" w:rsidRDefault="0006038B" w:rsidP="0006038B">
            <w:pPr>
              <w:rPr>
                <w:sz w:val="20"/>
              </w:rPr>
            </w:pPr>
            <w:r w:rsidRPr="00B27100">
              <w:rPr>
                <w:sz w:val="20"/>
              </w:rPr>
              <w:t xml:space="preserve">EM&amp;V - </w:t>
            </w:r>
            <w:proofErr w:type="spellStart"/>
            <w:r w:rsidRPr="00B27100">
              <w:rPr>
                <w:sz w:val="20"/>
              </w:rPr>
              <w:t>BayREN</w:t>
            </w:r>
            <w:proofErr w:type="spellEnd"/>
          </w:p>
        </w:tc>
        <w:tc>
          <w:tcPr>
            <w:tcW w:w="2405" w:type="dxa"/>
          </w:tcPr>
          <w:p w14:paraId="3F2E2E04" w14:textId="139D0449" w:rsidR="0006038B" w:rsidRPr="009778EA" w:rsidRDefault="0006038B" w:rsidP="0006038B">
            <w:pPr>
              <w:jc w:val="right"/>
              <w:rPr>
                <w:sz w:val="20"/>
              </w:rPr>
            </w:pPr>
            <w:r w:rsidRPr="009778EA">
              <w:rPr>
                <w:sz w:val="20"/>
              </w:rPr>
              <w:t>TBD</w:t>
            </w:r>
          </w:p>
        </w:tc>
        <w:tc>
          <w:tcPr>
            <w:tcW w:w="2552" w:type="dxa"/>
          </w:tcPr>
          <w:p w14:paraId="5072B856" w14:textId="5BD2F2A2" w:rsidR="0006038B" w:rsidRPr="009778EA" w:rsidRDefault="0006038B" w:rsidP="0006038B">
            <w:pPr>
              <w:jc w:val="right"/>
              <w:rPr>
                <w:sz w:val="20"/>
              </w:rPr>
            </w:pPr>
            <w:r w:rsidRPr="009778EA">
              <w:rPr>
                <w:sz w:val="20"/>
              </w:rPr>
              <w:t>TBD</w:t>
            </w:r>
          </w:p>
        </w:tc>
        <w:tc>
          <w:tcPr>
            <w:tcW w:w="2441" w:type="dxa"/>
          </w:tcPr>
          <w:p w14:paraId="575C88F6" w14:textId="6A77A6C7" w:rsidR="0006038B" w:rsidRPr="009778EA" w:rsidRDefault="0006038B" w:rsidP="0006038B">
            <w:pPr>
              <w:jc w:val="right"/>
              <w:rPr>
                <w:sz w:val="20"/>
              </w:rPr>
            </w:pPr>
            <w:r w:rsidRPr="009778EA">
              <w:rPr>
                <w:sz w:val="20"/>
              </w:rPr>
              <w:t>TBD</w:t>
            </w:r>
          </w:p>
        </w:tc>
      </w:tr>
      <w:tr w:rsidR="00E8264B" w14:paraId="459006B6" w14:textId="77777777" w:rsidTr="00F45A0B">
        <w:tc>
          <w:tcPr>
            <w:tcW w:w="2178" w:type="dxa"/>
          </w:tcPr>
          <w:p w14:paraId="5DF87A7E" w14:textId="2F7A2456" w:rsidR="00E8264B" w:rsidRPr="00B27100" w:rsidRDefault="00E8264B" w:rsidP="00E8264B">
            <w:pPr>
              <w:rPr>
                <w:sz w:val="20"/>
              </w:rPr>
            </w:pPr>
            <w:r w:rsidRPr="00B27100">
              <w:rPr>
                <w:sz w:val="20"/>
              </w:rPr>
              <w:t xml:space="preserve">EM&amp;V - </w:t>
            </w:r>
            <w:r w:rsidRPr="00B27100">
              <w:rPr>
                <w:rFonts w:eastAsia="Arial" w:cs="Arial"/>
                <w:sz w:val="20"/>
              </w:rPr>
              <w:t>MCE</w:t>
            </w:r>
          </w:p>
        </w:tc>
        <w:tc>
          <w:tcPr>
            <w:tcW w:w="2405" w:type="dxa"/>
          </w:tcPr>
          <w:p w14:paraId="3D8D2D27" w14:textId="7D402171" w:rsidR="00E8264B" w:rsidRPr="009778EA" w:rsidRDefault="00E8264B" w:rsidP="00E8264B">
            <w:pPr>
              <w:jc w:val="right"/>
              <w:rPr>
                <w:sz w:val="20"/>
              </w:rPr>
            </w:pPr>
            <w:r w:rsidRPr="009778EA">
              <w:rPr>
                <w:sz w:val="20"/>
              </w:rPr>
              <w:t>TBD</w:t>
            </w:r>
          </w:p>
        </w:tc>
        <w:tc>
          <w:tcPr>
            <w:tcW w:w="2552" w:type="dxa"/>
          </w:tcPr>
          <w:p w14:paraId="2C9CF541" w14:textId="6E7A6D55" w:rsidR="00E8264B" w:rsidRPr="009778EA" w:rsidRDefault="00E8264B" w:rsidP="00E8264B">
            <w:pPr>
              <w:jc w:val="right"/>
              <w:rPr>
                <w:sz w:val="20"/>
              </w:rPr>
            </w:pPr>
            <w:r w:rsidRPr="009778EA">
              <w:rPr>
                <w:sz w:val="20"/>
              </w:rPr>
              <w:t>TBD</w:t>
            </w:r>
          </w:p>
        </w:tc>
        <w:tc>
          <w:tcPr>
            <w:tcW w:w="2441" w:type="dxa"/>
          </w:tcPr>
          <w:p w14:paraId="4716C039" w14:textId="551D81C5" w:rsidR="00E8264B" w:rsidRPr="009778EA" w:rsidRDefault="00E8264B" w:rsidP="00E8264B">
            <w:pPr>
              <w:jc w:val="right"/>
              <w:rPr>
                <w:sz w:val="20"/>
              </w:rPr>
            </w:pPr>
            <w:r w:rsidRPr="009778EA">
              <w:rPr>
                <w:sz w:val="20"/>
              </w:rPr>
              <w:t>TBD</w:t>
            </w:r>
          </w:p>
        </w:tc>
      </w:tr>
      <w:tr w:rsidR="00E8264B" w14:paraId="7A340831" w14:textId="77777777" w:rsidTr="00F45A0B">
        <w:tc>
          <w:tcPr>
            <w:tcW w:w="2178" w:type="dxa"/>
          </w:tcPr>
          <w:p w14:paraId="46B8EB00" w14:textId="3FF3A096" w:rsidR="00E8264B" w:rsidRPr="00B27100" w:rsidRDefault="00E8264B" w:rsidP="00E8264B">
            <w:pPr>
              <w:rPr>
                <w:b/>
                <w:sz w:val="20"/>
              </w:rPr>
            </w:pPr>
            <w:r w:rsidRPr="00B27100">
              <w:rPr>
                <w:b/>
                <w:bCs/>
                <w:sz w:val="20"/>
              </w:rPr>
              <w:t>Total</w:t>
            </w:r>
          </w:p>
        </w:tc>
        <w:tc>
          <w:tcPr>
            <w:tcW w:w="2405" w:type="dxa"/>
          </w:tcPr>
          <w:p w14:paraId="398D3A0F" w14:textId="290F347F" w:rsidR="00E8264B" w:rsidRPr="009778EA" w:rsidRDefault="00E8264B" w:rsidP="00E8264B">
            <w:pPr>
              <w:jc w:val="right"/>
              <w:rPr>
                <w:b/>
                <w:sz w:val="20"/>
              </w:rPr>
            </w:pPr>
            <w:r w:rsidRPr="009778EA">
              <w:rPr>
                <w:sz w:val="20"/>
              </w:rPr>
              <w:t>TBD</w:t>
            </w:r>
          </w:p>
        </w:tc>
        <w:tc>
          <w:tcPr>
            <w:tcW w:w="2552" w:type="dxa"/>
          </w:tcPr>
          <w:p w14:paraId="351AF9A7" w14:textId="73727A23" w:rsidR="00E8264B" w:rsidRPr="009778EA" w:rsidRDefault="00E8264B" w:rsidP="00E8264B">
            <w:pPr>
              <w:jc w:val="right"/>
              <w:rPr>
                <w:b/>
                <w:sz w:val="20"/>
              </w:rPr>
            </w:pPr>
            <w:r w:rsidRPr="009778EA">
              <w:rPr>
                <w:sz w:val="20"/>
              </w:rPr>
              <w:t>TBD</w:t>
            </w:r>
          </w:p>
        </w:tc>
        <w:tc>
          <w:tcPr>
            <w:tcW w:w="2441" w:type="dxa"/>
          </w:tcPr>
          <w:p w14:paraId="5B9FFEB1" w14:textId="20528453" w:rsidR="00E8264B" w:rsidRPr="009778EA" w:rsidRDefault="00E8264B" w:rsidP="00E8264B">
            <w:pPr>
              <w:jc w:val="right"/>
              <w:rPr>
                <w:b/>
                <w:sz w:val="20"/>
              </w:rPr>
            </w:pPr>
            <w:r w:rsidRPr="009778EA">
              <w:rPr>
                <w:sz w:val="20"/>
              </w:rPr>
              <w:t>TBD</w:t>
            </w:r>
          </w:p>
        </w:tc>
      </w:tr>
    </w:tbl>
    <w:p w14:paraId="16FEF1DF" w14:textId="77777777" w:rsidR="00BB22C1" w:rsidRDefault="00BB22C1" w:rsidP="00BB22C1">
      <w:pPr>
        <w:pStyle w:val="Heading2"/>
        <w:ind w:left="1080"/>
      </w:pPr>
    </w:p>
    <w:p w14:paraId="690AC4F8" w14:textId="77777777" w:rsidR="00BB22C1" w:rsidRDefault="00BB22C1">
      <w:pPr>
        <w:overflowPunct/>
        <w:autoSpaceDE/>
        <w:autoSpaceDN/>
        <w:adjustRightInd/>
        <w:textAlignment w:val="auto"/>
        <w:rPr>
          <w:b/>
        </w:rPr>
      </w:pPr>
      <w:r>
        <w:br w:type="page"/>
      </w:r>
    </w:p>
    <w:p w14:paraId="6FC688DB" w14:textId="4D91AF9C" w:rsidR="0318B9F2" w:rsidRDefault="4217B8B4" w:rsidP="0092145B">
      <w:pPr>
        <w:pStyle w:val="Heading2"/>
        <w:numPr>
          <w:ilvl w:val="0"/>
          <w:numId w:val="13"/>
        </w:numPr>
      </w:pPr>
      <w:r>
        <w:lastRenderedPageBreak/>
        <w:t xml:space="preserve">Collection of PG&amp;E's </w:t>
      </w:r>
      <w:r w:rsidR="00C779E9">
        <w:t>2020</w:t>
      </w:r>
      <w:r>
        <w:t xml:space="preserve"> Demand Response portion of Integrated Demand-Side Management (IDSM) Budget in Rates</w:t>
      </w:r>
    </w:p>
    <w:p w14:paraId="08B8A149" w14:textId="6B23D10F" w:rsidR="0318B9F2" w:rsidRDefault="0318B9F2"/>
    <w:p w14:paraId="78F41FDC" w14:textId="463DF9B1" w:rsidR="007C5312" w:rsidRPr="002814DA" w:rsidRDefault="007C5312" w:rsidP="002814DA">
      <w:pPr>
        <w:jc w:val="center"/>
        <w:rPr>
          <w:b/>
        </w:rPr>
      </w:pPr>
      <w:r w:rsidRPr="009D4472">
        <w:rPr>
          <w:b/>
        </w:rPr>
        <w:t xml:space="preserve">Table </w:t>
      </w:r>
      <w:r w:rsidR="00B62550">
        <w:rPr>
          <w:b/>
        </w:rPr>
        <w:t>4</w:t>
      </w:r>
      <w:r w:rsidRPr="009D4472">
        <w:rPr>
          <w:b/>
        </w:rPr>
        <w:t>:</w:t>
      </w:r>
      <w:r w:rsidRPr="002814DA">
        <w:rPr>
          <w:b/>
        </w:rPr>
        <w:t xml:space="preserve"> Authorized Demand Response IDSM Funding in </w:t>
      </w:r>
      <w:r w:rsidR="00C779E9">
        <w:rPr>
          <w:b/>
        </w:rPr>
        <w:t>2020</w:t>
      </w:r>
      <w:r w:rsidRPr="002814DA">
        <w:rPr>
          <w:b/>
        </w:rPr>
        <w:t xml:space="preserve"> Rates</w:t>
      </w:r>
    </w:p>
    <w:p w14:paraId="7801D015" w14:textId="77777777" w:rsidR="007C5312" w:rsidRDefault="007C5312"/>
    <w:tbl>
      <w:tblPr>
        <w:tblStyle w:val="TableGrid"/>
        <w:tblW w:w="0" w:type="auto"/>
        <w:tblLook w:val="04A0" w:firstRow="1" w:lastRow="0" w:firstColumn="1" w:lastColumn="0" w:noHBand="0" w:noVBand="1"/>
      </w:tblPr>
      <w:tblGrid>
        <w:gridCol w:w="3355"/>
        <w:gridCol w:w="5995"/>
      </w:tblGrid>
      <w:tr w:rsidR="007C5312" w14:paraId="4B36896E" w14:textId="77777777" w:rsidTr="00F45A0B">
        <w:tc>
          <w:tcPr>
            <w:tcW w:w="3355" w:type="dxa"/>
            <w:shd w:val="clear" w:color="auto" w:fill="BFBFBF" w:themeFill="background1" w:themeFillShade="BF"/>
          </w:tcPr>
          <w:p w14:paraId="2972372F" w14:textId="11AD7921" w:rsidR="007C5312" w:rsidRPr="00721DA3" w:rsidRDefault="007C5312" w:rsidP="00721DA3">
            <w:pPr>
              <w:jc w:val="center"/>
              <w:rPr>
                <w:b/>
                <w:sz w:val="20"/>
              </w:rPr>
            </w:pPr>
            <w:r w:rsidRPr="00721DA3">
              <w:rPr>
                <w:b/>
                <w:sz w:val="20"/>
              </w:rPr>
              <w:t>Category</w:t>
            </w:r>
          </w:p>
        </w:tc>
        <w:tc>
          <w:tcPr>
            <w:tcW w:w="5995" w:type="dxa"/>
            <w:shd w:val="clear" w:color="auto" w:fill="BFBFBF" w:themeFill="background1" w:themeFillShade="BF"/>
          </w:tcPr>
          <w:p w14:paraId="1DBBDDBE" w14:textId="22F6D144" w:rsidR="007C5312" w:rsidRPr="00721DA3" w:rsidRDefault="00717DEC" w:rsidP="00721DA3">
            <w:pPr>
              <w:jc w:val="center"/>
              <w:rPr>
                <w:b/>
                <w:sz w:val="20"/>
              </w:rPr>
            </w:pPr>
            <w:r>
              <w:rPr>
                <w:b/>
                <w:sz w:val="20"/>
              </w:rPr>
              <w:t xml:space="preserve">PG&amp;E </w:t>
            </w:r>
            <w:r w:rsidR="007C5312" w:rsidRPr="00721DA3">
              <w:rPr>
                <w:b/>
                <w:sz w:val="20"/>
              </w:rPr>
              <w:t>Electric Demand Response Funds</w:t>
            </w:r>
            <w:r w:rsidR="007C5312" w:rsidRPr="00721DA3">
              <w:rPr>
                <w:rStyle w:val="FootnoteReference"/>
                <w:b/>
                <w:sz w:val="20"/>
              </w:rPr>
              <w:footnoteReference w:id="12"/>
            </w:r>
          </w:p>
        </w:tc>
      </w:tr>
      <w:tr w:rsidR="007C5312" w14:paraId="1FD4DD0A" w14:textId="77777777" w:rsidTr="00F45A0B">
        <w:tc>
          <w:tcPr>
            <w:tcW w:w="3355" w:type="dxa"/>
          </w:tcPr>
          <w:p w14:paraId="06431EC6" w14:textId="5BE53B31" w:rsidR="007C5312" w:rsidRPr="00721DA3" w:rsidRDefault="00717DEC">
            <w:pPr>
              <w:rPr>
                <w:sz w:val="20"/>
              </w:rPr>
            </w:pPr>
            <w:r>
              <w:rPr>
                <w:sz w:val="20"/>
              </w:rPr>
              <w:t>Energy Effi</w:t>
            </w:r>
            <w:r w:rsidR="006A5BEE">
              <w:rPr>
                <w:sz w:val="20"/>
              </w:rPr>
              <w:t>ciency</w:t>
            </w:r>
          </w:p>
        </w:tc>
        <w:tc>
          <w:tcPr>
            <w:tcW w:w="5995" w:type="dxa"/>
          </w:tcPr>
          <w:p w14:paraId="5800554A" w14:textId="16CF683E" w:rsidR="007C5312" w:rsidRPr="009778EA" w:rsidRDefault="0006038B" w:rsidP="002814DA">
            <w:pPr>
              <w:jc w:val="right"/>
              <w:rPr>
                <w:sz w:val="20"/>
              </w:rPr>
            </w:pPr>
            <w:r w:rsidRPr="009778EA">
              <w:rPr>
                <w:sz w:val="20"/>
              </w:rPr>
              <w:t>TBD</w:t>
            </w:r>
          </w:p>
        </w:tc>
      </w:tr>
      <w:tr w:rsidR="007C5312" w14:paraId="32AC2AD5" w14:textId="77777777" w:rsidTr="00F45A0B">
        <w:tc>
          <w:tcPr>
            <w:tcW w:w="3355" w:type="dxa"/>
          </w:tcPr>
          <w:p w14:paraId="4430845A" w14:textId="275309BE" w:rsidR="007C5312" w:rsidRPr="00721DA3" w:rsidRDefault="00717DEC">
            <w:pPr>
              <w:rPr>
                <w:b/>
                <w:sz w:val="20"/>
              </w:rPr>
            </w:pPr>
            <w:r>
              <w:rPr>
                <w:sz w:val="20"/>
              </w:rPr>
              <w:t>Demand Response</w:t>
            </w:r>
          </w:p>
        </w:tc>
        <w:tc>
          <w:tcPr>
            <w:tcW w:w="5995" w:type="dxa"/>
          </w:tcPr>
          <w:p w14:paraId="1452419F" w14:textId="001029D3" w:rsidR="007C5312" w:rsidRPr="009778EA" w:rsidRDefault="0006038B" w:rsidP="002814DA">
            <w:pPr>
              <w:jc w:val="right"/>
              <w:rPr>
                <w:sz w:val="20"/>
              </w:rPr>
            </w:pPr>
            <w:r w:rsidRPr="009778EA">
              <w:rPr>
                <w:sz w:val="20"/>
              </w:rPr>
              <w:t>TBD</w:t>
            </w:r>
          </w:p>
        </w:tc>
      </w:tr>
      <w:tr w:rsidR="00717DEC" w14:paraId="27F5E146" w14:textId="77777777" w:rsidTr="00F45A0B">
        <w:tc>
          <w:tcPr>
            <w:tcW w:w="3355" w:type="dxa"/>
          </w:tcPr>
          <w:p w14:paraId="0673F2B5" w14:textId="05D2589A" w:rsidR="00717DEC" w:rsidRPr="00721DA3" w:rsidRDefault="00717DEC">
            <w:pPr>
              <w:rPr>
                <w:b/>
                <w:sz w:val="20"/>
              </w:rPr>
            </w:pPr>
            <w:r w:rsidRPr="00721DA3">
              <w:rPr>
                <w:b/>
                <w:sz w:val="20"/>
              </w:rPr>
              <w:t>Total PG&amp;E</w:t>
            </w:r>
          </w:p>
        </w:tc>
        <w:tc>
          <w:tcPr>
            <w:tcW w:w="5995" w:type="dxa"/>
          </w:tcPr>
          <w:p w14:paraId="18EBC51E" w14:textId="075CA133" w:rsidR="00717DEC" w:rsidRPr="009778EA" w:rsidRDefault="0006038B" w:rsidP="002814DA">
            <w:pPr>
              <w:jc w:val="right"/>
              <w:rPr>
                <w:b/>
                <w:sz w:val="20"/>
              </w:rPr>
            </w:pPr>
            <w:r w:rsidRPr="009778EA">
              <w:rPr>
                <w:b/>
                <w:sz w:val="20"/>
              </w:rPr>
              <w:t>TBD</w:t>
            </w:r>
          </w:p>
        </w:tc>
      </w:tr>
    </w:tbl>
    <w:p w14:paraId="6FA367F5" w14:textId="77777777" w:rsidR="009D4472" w:rsidRDefault="009D4472" w:rsidP="00691D72">
      <w:pPr>
        <w:jc w:val="both"/>
      </w:pPr>
    </w:p>
    <w:p w14:paraId="6C8B1BD4" w14:textId="77777777" w:rsidR="007C5312" w:rsidRDefault="007C5312" w:rsidP="4217B8B4">
      <w:pPr>
        <w:jc w:val="both"/>
      </w:pPr>
    </w:p>
    <w:p w14:paraId="1BD1D536" w14:textId="6453856D" w:rsidR="00BB4982" w:rsidRDefault="4217B8B4" w:rsidP="0092145B">
      <w:pPr>
        <w:pStyle w:val="Heading2"/>
        <w:numPr>
          <w:ilvl w:val="0"/>
          <w:numId w:val="13"/>
        </w:numPr>
      </w:pPr>
      <w:r>
        <w:t>Electric and Gas Benefit Split</w:t>
      </w:r>
    </w:p>
    <w:p w14:paraId="34671854" w14:textId="77777777" w:rsidR="4217B8B4" w:rsidRDefault="4217B8B4"/>
    <w:p w14:paraId="7EF4248D" w14:textId="5B6D2268" w:rsidR="00DC3E9B" w:rsidRDefault="001026D9" w:rsidP="009778EA">
      <w:pPr>
        <w:ind w:left="720"/>
      </w:pPr>
      <w:r>
        <w:t>TBD</w:t>
      </w:r>
    </w:p>
    <w:p w14:paraId="198FBB96" w14:textId="77777777" w:rsidR="001026D9" w:rsidRDefault="001026D9" w:rsidP="002814DA"/>
    <w:p w14:paraId="037516A1" w14:textId="77777777" w:rsidR="00142760" w:rsidRDefault="00142760" w:rsidP="002814DA"/>
    <w:p w14:paraId="46C3992D" w14:textId="07D65BFC" w:rsidR="0006038B" w:rsidRPr="00740F34" w:rsidRDefault="0006038B" w:rsidP="0092145B">
      <w:pPr>
        <w:pStyle w:val="Heading2"/>
        <w:numPr>
          <w:ilvl w:val="0"/>
          <w:numId w:val="7"/>
        </w:numPr>
        <w:rPr>
          <w:color w:val="000000"/>
        </w:rPr>
      </w:pPr>
      <w:r>
        <w:t>Unspent Funds</w:t>
      </w:r>
    </w:p>
    <w:p w14:paraId="41ADE1FE" w14:textId="1C817478" w:rsidR="0006038B" w:rsidRDefault="0006038B" w:rsidP="002814DA"/>
    <w:p w14:paraId="2949C821" w14:textId="77777777" w:rsidR="001026D9" w:rsidRPr="00FA78B5" w:rsidRDefault="001026D9" w:rsidP="001026D9">
      <w:pPr>
        <w:pStyle w:val="ListParagraph"/>
        <w:numPr>
          <w:ilvl w:val="0"/>
          <w:numId w:val="31"/>
        </w:numPr>
        <w:overflowPunct/>
        <w:autoSpaceDE/>
        <w:autoSpaceDN/>
        <w:adjustRightInd/>
        <w:spacing w:after="200"/>
        <w:ind w:left="1080"/>
        <w:jc w:val="both"/>
        <w:textAlignment w:val="auto"/>
        <w:rPr>
          <w:rFonts w:cs="Arial"/>
          <w:szCs w:val="24"/>
        </w:rPr>
      </w:pPr>
      <w:r w:rsidRPr="00FA78B5">
        <w:rPr>
          <w:b/>
          <w:szCs w:val="24"/>
        </w:rPr>
        <w:t>PG&amp;E Prior Years’ Unspent Funds</w:t>
      </w:r>
    </w:p>
    <w:p w14:paraId="0E8F539D" w14:textId="7269C487" w:rsidR="001026D9" w:rsidRPr="008A0E5F" w:rsidRDefault="001026D9" w:rsidP="001026D9">
      <w:pPr>
        <w:jc w:val="both"/>
        <w:rPr>
          <w:szCs w:val="24"/>
        </w:rPr>
      </w:pPr>
      <w:r w:rsidRPr="008A0E5F">
        <w:rPr>
          <w:szCs w:val="24"/>
        </w:rPr>
        <w:t xml:space="preserve">Table </w:t>
      </w:r>
      <w:r w:rsidR="00B62550" w:rsidRPr="009778EA">
        <w:rPr>
          <w:szCs w:val="24"/>
        </w:rPr>
        <w:t>5</w:t>
      </w:r>
      <w:r w:rsidRPr="008A0E5F">
        <w:rPr>
          <w:szCs w:val="24"/>
        </w:rPr>
        <w:t xml:space="preserve"> illustrates PG&amp;E’s unspent funds for prior years’ program cycles.  Balances are through June 30, 2019.  This data is also presented in the Appendices on Table 6: Committed Energy Efficiency Program Funding Not Yet Spent, and Table 7: 2019 Authorized and Spent/Unspent Detail.  As of June 30, 2019, PG&amp;E estimates that approximately $13.3 million of funds may be unspent and uncommitted, and available to offset 2020 EE revenue collections. </w:t>
      </w:r>
    </w:p>
    <w:p w14:paraId="2053D34B" w14:textId="77777777" w:rsidR="001026D9" w:rsidRPr="008A0E5F" w:rsidRDefault="001026D9" w:rsidP="001026D9">
      <w:pPr>
        <w:jc w:val="both"/>
        <w:rPr>
          <w:color w:val="000000"/>
          <w:szCs w:val="24"/>
        </w:rPr>
      </w:pPr>
    </w:p>
    <w:tbl>
      <w:tblPr>
        <w:tblW w:w="9372" w:type="dxa"/>
        <w:jc w:val="center"/>
        <w:tblLook w:val="04A0" w:firstRow="1" w:lastRow="0" w:firstColumn="1" w:lastColumn="0" w:noHBand="0" w:noVBand="1"/>
      </w:tblPr>
      <w:tblGrid>
        <w:gridCol w:w="1806"/>
        <w:gridCol w:w="1228"/>
        <w:gridCol w:w="1231"/>
        <w:gridCol w:w="1229"/>
        <w:gridCol w:w="1230"/>
        <w:gridCol w:w="1322"/>
        <w:gridCol w:w="1326"/>
      </w:tblGrid>
      <w:tr w:rsidR="00BE06EA" w:rsidRPr="000A7DCC" w14:paraId="5D626A1C" w14:textId="77777777" w:rsidTr="00451302">
        <w:trPr>
          <w:trHeight w:val="279"/>
          <w:jc w:val="center"/>
        </w:trPr>
        <w:tc>
          <w:tcPr>
            <w:tcW w:w="9372" w:type="dxa"/>
            <w:gridSpan w:val="7"/>
            <w:tcBorders>
              <w:top w:val="nil"/>
              <w:left w:val="nil"/>
              <w:bottom w:val="nil"/>
              <w:right w:val="nil"/>
            </w:tcBorders>
            <w:shd w:val="clear" w:color="auto" w:fill="auto"/>
            <w:noWrap/>
            <w:vAlign w:val="bottom"/>
            <w:hideMark/>
          </w:tcPr>
          <w:p w14:paraId="0F05678E" w14:textId="690E215B" w:rsidR="00BE06EA" w:rsidRPr="000A7DCC" w:rsidRDefault="00BE06EA" w:rsidP="009778EA">
            <w:pPr>
              <w:jc w:val="center"/>
              <w:rPr>
                <w:rFonts w:ascii="Times New Roman" w:hAnsi="Times New Roman"/>
                <w:sz w:val="20"/>
              </w:rPr>
            </w:pPr>
            <w:r w:rsidRPr="008A0E5F">
              <w:rPr>
                <w:rFonts w:cs="Arial"/>
                <w:b/>
                <w:color w:val="000000"/>
                <w:szCs w:val="24"/>
              </w:rPr>
              <w:t xml:space="preserve">Table </w:t>
            </w:r>
            <w:r w:rsidRPr="009778EA">
              <w:rPr>
                <w:rFonts w:cs="Arial"/>
                <w:b/>
                <w:bCs/>
                <w:color w:val="000000"/>
                <w:szCs w:val="24"/>
              </w:rPr>
              <w:t>5</w:t>
            </w:r>
            <w:r w:rsidRPr="008A0E5F">
              <w:rPr>
                <w:rFonts w:cs="Arial"/>
                <w:b/>
                <w:color w:val="000000"/>
                <w:szCs w:val="24"/>
              </w:rPr>
              <w:t>: Prior Years’ Unspent Funds as of June 2019</w:t>
            </w:r>
          </w:p>
        </w:tc>
      </w:tr>
      <w:tr w:rsidR="001026D9" w:rsidRPr="000A7DCC" w14:paraId="41FF4CF6" w14:textId="77777777" w:rsidTr="001026D9">
        <w:trPr>
          <w:trHeight w:val="382"/>
          <w:jc w:val="center"/>
        </w:trPr>
        <w:tc>
          <w:tcPr>
            <w:tcW w:w="180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238D9581" w14:textId="77777777" w:rsidR="001026D9" w:rsidRPr="000A7DCC" w:rsidRDefault="001026D9" w:rsidP="00CF5A0F">
            <w:pPr>
              <w:jc w:val="center"/>
              <w:rPr>
                <w:rFonts w:cs="Arial"/>
                <w:color w:val="000000"/>
                <w:sz w:val="18"/>
                <w:szCs w:val="18"/>
              </w:rPr>
            </w:pPr>
            <w:r w:rsidRPr="000A7DCC">
              <w:rPr>
                <w:rFonts w:cs="Arial"/>
                <w:color w:val="000000"/>
                <w:sz w:val="18"/>
                <w:szCs w:val="18"/>
              </w:rPr>
              <w:t> </w:t>
            </w:r>
          </w:p>
        </w:tc>
        <w:tc>
          <w:tcPr>
            <w:tcW w:w="1228" w:type="dxa"/>
            <w:tcBorders>
              <w:top w:val="single" w:sz="8" w:space="0" w:color="auto"/>
              <w:left w:val="nil"/>
              <w:bottom w:val="single" w:sz="8" w:space="0" w:color="auto"/>
              <w:right w:val="single" w:sz="8" w:space="0" w:color="auto"/>
            </w:tcBorders>
            <w:shd w:val="clear" w:color="000000" w:fill="D9D9D9"/>
            <w:vAlign w:val="center"/>
            <w:hideMark/>
          </w:tcPr>
          <w:p w14:paraId="09AD4DD5" w14:textId="77777777" w:rsidR="001026D9" w:rsidRPr="009778EA" w:rsidRDefault="001026D9" w:rsidP="00CF5A0F">
            <w:pPr>
              <w:jc w:val="center"/>
              <w:rPr>
                <w:rFonts w:cs="Arial"/>
                <w:b/>
                <w:bCs/>
                <w:color w:val="000000"/>
                <w:sz w:val="16"/>
                <w:szCs w:val="18"/>
              </w:rPr>
            </w:pPr>
            <w:r w:rsidRPr="009778EA">
              <w:rPr>
                <w:rFonts w:cs="Arial"/>
                <w:b/>
                <w:bCs/>
                <w:color w:val="000000"/>
                <w:sz w:val="16"/>
                <w:szCs w:val="18"/>
              </w:rPr>
              <w:t>PY2013-2015</w:t>
            </w:r>
          </w:p>
        </w:tc>
        <w:tc>
          <w:tcPr>
            <w:tcW w:w="1231" w:type="dxa"/>
            <w:tcBorders>
              <w:top w:val="single" w:sz="8" w:space="0" w:color="auto"/>
              <w:left w:val="nil"/>
              <w:bottom w:val="single" w:sz="8" w:space="0" w:color="auto"/>
              <w:right w:val="single" w:sz="8" w:space="0" w:color="auto"/>
            </w:tcBorders>
            <w:shd w:val="clear" w:color="000000" w:fill="D9D9D9"/>
            <w:vAlign w:val="center"/>
            <w:hideMark/>
          </w:tcPr>
          <w:p w14:paraId="588FA14B" w14:textId="77777777" w:rsidR="001026D9" w:rsidRPr="009778EA" w:rsidRDefault="001026D9" w:rsidP="00CF5A0F">
            <w:pPr>
              <w:jc w:val="center"/>
              <w:rPr>
                <w:rFonts w:cs="Arial"/>
                <w:b/>
                <w:bCs/>
                <w:color w:val="000000"/>
                <w:sz w:val="16"/>
                <w:szCs w:val="18"/>
              </w:rPr>
            </w:pPr>
            <w:r w:rsidRPr="009778EA">
              <w:rPr>
                <w:rFonts w:cs="Arial"/>
                <w:b/>
                <w:bCs/>
                <w:color w:val="000000"/>
                <w:sz w:val="16"/>
                <w:szCs w:val="18"/>
              </w:rPr>
              <w:t>PY 2016</w:t>
            </w:r>
          </w:p>
        </w:tc>
        <w:tc>
          <w:tcPr>
            <w:tcW w:w="1229" w:type="dxa"/>
            <w:tcBorders>
              <w:top w:val="single" w:sz="8" w:space="0" w:color="auto"/>
              <w:left w:val="nil"/>
              <w:bottom w:val="single" w:sz="8" w:space="0" w:color="auto"/>
              <w:right w:val="single" w:sz="8" w:space="0" w:color="auto"/>
            </w:tcBorders>
            <w:shd w:val="clear" w:color="000000" w:fill="D9D9D9"/>
            <w:vAlign w:val="center"/>
            <w:hideMark/>
          </w:tcPr>
          <w:p w14:paraId="192BADF0" w14:textId="77777777" w:rsidR="001026D9" w:rsidRPr="009778EA" w:rsidRDefault="001026D9" w:rsidP="00CF5A0F">
            <w:pPr>
              <w:jc w:val="center"/>
              <w:rPr>
                <w:rFonts w:cs="Arial"/>
                <w:b/>
                <w:bCs/>
                <w:color w:val="000000"/>
                <w:sz w:val="16"/>
                <w:szCs w:val="18"/>
              </w:rPr>
            </w:pPr>
            <w:r w:rsidRPr="009778EA">
              <w:rPr>
                <w:rFonts w:cs="Arial"/>
                <w:b/>
                <w:bCs/>
                <w:color w:val="000000"/>
                <w:sz w:val="16"/>
                <w:szCs w:val="18"/>
              </w:rPr>
              <w:t>PY 2017</w:t>
            </w:r>
          </w:p>
        </w:tc>
        <w:tc>
          <w:tcPr>
            <w:tcW w:w="1230" w:type="dxa"/>
            <w:tcBorders>
              <w:top w:val="single" w:sz="8" w:space="0" w:color="auto"/>
              <w:left w:val="nil"/>
              <w:bottom w:val="single" w:sz="8" w:space="0" w:color="auto"/>
              <w:right w:val="single" w:sz="8" w:space="0" w:color="auto"/>
            </w:tcBorders>
            <w:shd w:val="clear" w:color="000000" w:fill="D9D9D9"/>
            <w:vAlign w:val="center"/>
            <w:hideMark/>
          </w:tcPr>
          <w:p w14:paraId="3BBC950C" w14:textId="77777777" w:rsidR="001026D9" w:rsidRPr="009778EA" w:rsidRDefault="001026D9" w:rsidP="00CF5A0F">
            <w:pPr>
              <w:jc w:val="center"/>
              <w:rPr>
                <w:rFonts w:cs="Arial"/>
                <w:b/>
                <w:bCs/>
                <w:color w:val="000000"/>
                <w:sz w:val="16"/>
                <w:szCs w:val="18"/>
              </w:rPr>
            </w:pPr>
            <w:r w:rsidRPr="009778EA">
              <w:rPr>
                <w:rFonts w:cs="Arial"/>
                <w:b/>
                <w:bCs/>
                <w:color w:val="000000"/>
                <w:sz w:val="16"/>
                <w:szCs w:val="18"/>
              </w:rPr>
              <w:t>PY 2018</w:t>
            </w:r>
          </w:p>
        </w:tc>
        <w:tc>
          <w:tcPr>
            <w:tcW w:w="1322" w:type="dxa"/>
            <w:tcBorders>
              <w:top w:val="single" w:sz="8" w:space="0" w:color="auto"/>
              <w:left w:val="nil"/>
              <w:bottom w:val="single" w:sz="8" w:space="0" w:color="auto"/>
              <w:right w:val="single" w:sz="8" w:space="0" w:color="auto"/>
            </w:tcBorders>
            <w:shd w:val="clear" w:color="000000" w:fill="D9D9D9"/>
            <w:vAlign w:val="center"/>
            <w:hideMark/>
          </w:tcPr>
          <w:p w14:paraId="4CAEC46D" w14:textId="77777777" w:rsidR="001026D9" w:rsidRPr="009778EA" w:rsidRDefault="001026D9" w:rsidP="00CF5A0F">
            <w:pPr>
              <w:jc w:val="center"/>
              <w:rPr>
                <w:rFonts w:cs="Arial"/>
                <w:b/>
                <w:bCs/>
                <w:color w:val="000000"/>
                <w:sz w:val="16"/>
                <w:szCs w:val="18"/>
              </w:rPr>
            </w:pPr>
            <w:r w:rsidRPr="009778EA">
              <w:rPr>
                <w:rFonts w:cs="Arial"/>
                <w:b/>
                <w:bCs/>
                <w:color w:val="000000"/>
                <w:sz w:val="16"/>
                <w:szCs w:val="18"/>
              </w:rPr>
              <w:t>PY 2019</w:t>
            </w:r>
          </w:p>
        </w:tc>
        <w:tc>
          <w:tcPr>
            <w:tcW w:w="1326" w:type="dxa"/>
            <w:tcBorders>
              <w:top w:val="single" w:sz="8" w:space="0" w:color="auto"/>
              <w:left w:val="nil"/>
              <w:bottom w:val="single" w:sz="8" w:space="0" w:color="auto"/>
              <w:right w:val="single" w:sz="8" w:space="0" w:color="auto"/>
            </w:tcBorders>
            <w:shd w:val="clear" w:color="000000" w:fill="D9D9D9"/>
            <w:vAlign w:val="center"/>
            <w:hideMark/>
          </w:tcPr>
          <w:p w14:paraId="67B265FB" w14:textId="77777777" w:rsidR="001026D9" w:rsidRPr="000A7DCC" w:rsidRDefault="001026D9" w:rsidP="00CF5A0F">
            <w:pPr>
              <w:jc w:val="center"/>
              <w:rPr>
                <w:rFonts w:cs="Arial"/>
                <w:b/>
                <w:bCs/>
                <w:color w:val="000000"/>
                <w:sz w:val="18"/>
                <w:szCs w:val="18"/>
              </w:rPr>
            </w:pPr>
            <w:r w:rsidRPr="009778EA">
              <w:rPr>
                <w:rFonts w:cs="Arial"/>
                <w:b/>
                <w:bCs/>
                <w:color w:val="000000"/>
                <w:sz w:val="16"/>
                <w:szCs w:val="18"/>
              </w:rPr>
              <w:t>Totals</w:t>
            </w:r>
          </w:p>
        </w:tc>
      </w:tr>
      <w:tr w:rsidR="001026D9" w:rsidRPr="000A7DCC" w14:paraId="0EEF7D64" w14:textId="77777777" w:rsidTr="001026D9">
        <w:trPr>
          <w:trHeight w:val="258"/>
          <w:jc w:val="center"/>
        </w:trPr>
        <w:tc>
          <w:tcPr>
            <w:tcW w:w="4265" w:type="dxa"/>
            <w:gridSpan w:val="3"/>
            <w:tcBorders>
              <w:top w:val="single" w:sz="8" w:space="0" w:color="auto"/>
              <w:left w:val="single" w:sz="8" w:space="0" w:color="auto"/>
              <w:bottom w:val="single" w:sz="8" w:space="0" w:color="auto"/>
              <w:right w:val="nil"/>
            </w:tcBorders>
            <w:shd w:val="clear" w:color="000000" w:fill="FFFFFF"/>
            <w:noWrap/>
            <w:vAlign w:val="center"/>
            <w:hideMark/>
          </w:tcPr>
          <w:p w14:paraId="7A386017" w14:textId="77777777" w:rsidR="001026D9" w:rsidRPr="000A7DCC" w:rsidRDefault="001026D9" w:rsidP="00CF5A0F">
            <w:pPr>
              <w:rPr>
                <w:rFonts w:cs="Arial"/>
                <w:b/>
                <w:bCs/>
                <w:color w:val="000000"/>
                <w:sz w:val="18"/>
                <w:szCs w:val="18"/>
              </w:rPr>
            </w:pPr>
            <w:r w:rsidRPr="000A7DCC">
              <w:rPr>
                <w:rFonts w:cs="Arial"/>
                <w:b/>
                <w:bCs/>
                <w:color w:val="000000"/>
                <w:sz w:val="18"/>
                <w:szCs w:val="18"/>
              </w:rPr>
              <w:t>Unspent &amp; Committed</w:t>
            </w:r>
          </w:p>
        </w:tc>
        <w:tc>
          <w:tcPr>
            <w:tcW w:w="1229" w:type="dxa"/>
            <w:tcBorders>
              <w:top w:val="nil"/>
              <w:left w:val="nil"/>
              <w:bottom w:val="single" w:sz="8" w:space="0" w:color="auto"/>
              <w:right w:val="single" w:sz="8" w:space="0" w:color="000000"/>
            </w:tcBorders>
            <w:shd w:val="clear" w:color="000000" w:fill="FFFFFF"/>
            <w:noWrap/>
            <w:vAlign w:val="center"/>
            <w:hideMark/>
          </w:tcPr>
          <w:p w14:paraId="5FCB53AE" w14:textId="77777777" w:rsidR="001026D9" w:rsidRPr="000A7DCC" w:rsidRDefault="001026D9" w:rsidP="00CF5A0F">
            <w:pPr>
              <w:rPr>
                <w:rFonts w:cs="Arial"/>
                <w:b/>
                <w:bCs/>
                <w:color w:val="000000"/>
                <w:sz w:val="18"/>
                <w:szCs w:val="18"/>
              </w:rPr>
            </w:pPr>
            <w:r w:rsidRPr="000A7DCC">
              <w:rPr>
                <w:rFonts w:cs="Arial"/>
                <w:b/>
                <w:bCs/>
                <w:color w:val="000000"/>
                <w:sz w:val="18"/>
                <w:szCs w:val="18"/>
              </w:rPr>
              <w:t> </w:t>
            </w:r>
          </w:p>
        </w:tc>
        <w:tc>
          <w:tcPr>
            <w:tcW w:w="1230" w:type="dxa"/>
            <w:tcBorders>
              <w:top w:val="nil"/>
              <w:left w:val="nil"/>
              <w:bottom w:val="single" w:sz="8" w:space="0" w:color="auto"/>
              <w:right w:val="single" w:sz="8" w:space="0" w:color="000000"/>
            </w:tcBorders>
            <w:shd w:val="clear" w:color="000000" w:fill="FFFFFF"/>
            <w:noWrap/>
            <w:vAlign w:val="center"/>
            <w:hideMark/>
          </w:tcPr>
          <w:p w14:paraId="165627D5" w14:textId="77777777" w:rsidR="001026D9" w:rsidRPr="000A7DCC" w:rsidRDefault="001026D9" w:rsidP="00CF5A0F">
            <w:pPr>
              <w:ind w:firstLineChars="100" w:firstLine="181"/>
              <w:rPr>
                <w:rFonts w:cs="Arial"/>
                <w:b/>
                <w:bCs/>
                <w:color w:val="000000"/>
                <w:sz w:val="18"/>
                <w:szCs w:val="18"/>
              </w:rPr>
            </w:pPr>
            <w:r w:rsidRPr="000A7DCC">
              <w:rPr>
                <w:rFonts w:cs="Arial"/>
                <w:b/>
                <w:bCs/>
                <w:color w:val="000000"/>
                <w:sz w:val="18"/>
                <w:szCs w:val="18"/>
              </w:rPr>
              <w:t> </w:t>
            </w:r>
          </w:p>
        </w:tc>
        <w:tc>
          <w:tcPr>
            <w:tcW w:w="1322" w:type="dxa"/>
            <w:tcBorders>
              <w:top w:val="nil"/>
              <w:left w:val="nil"/>
              <w:bottom w:val="single" w:sz="8" w:space="0" w:color="auto"/>
              <w:right w:val="single" w:sz="8" w:space="0" w:color="000000"/>
            </w:tcBorders>
            <w:shd w:val="clear" w:color="000000" w:fill="FFFFFF"/>
            <w:noWrap/>
            <w:vAlign w:val="center"/>
            <w:hideMark/>
          </w:tcPr>
          <w:p w14:paraId="0242E642" w14:textId="77777777" w:rsidR="001026D9" w:rsidRPr="000A7DCC" w:rsidRDefault="001026D9" w:rsidP="00CF5A0F">
            <w:pPr>
              <w:ind w:firstLineChars="100" w:firstLine="181"/>
              <w:rPr>
                <w:rFonts w:cs="Arial"/>
                <w:b/>
                <w:bCs/>
                <w:color w:val="000000"/>
                <w:sz w:val="18"/>
                <w:szCs w:val="18"/>
              </w:rPr>
            </w:pPr>
            <w:r w:rsidRPr="000A7DCC">
              <w:rPr>
                <w:rFonts w:cs="Arial"/>
                <w:b/>
                <w:bCs/>
                <w:color w:val="000000"/>
                <w:sz w:val="18"/>
                <w:szCs w:val="18"/>
              </w:rPr>
              <w:t> </w:t>
            </w:r>
          </w:p>
        </w:tc>
        <w:tc>
          <w:tcPr>
            <w:tcW w:w="1326" w:type="dxa"/>
            <w:tcBorders>
              <w:top w:val="nil"/>
              <w:left w:val="nil"/>
              <w:bottom w:val="single" w:sz="8" w:space="0" w:color="auto"/>
              <w:right w:val="single" w:sz="8" w:space="0" w:color="000000"/>
            </w:tcBorders>
            <w:shd w:val="clear" w:color="000000" w:fill="FFFFFF"/>
            <w:vAlign w:val="center"/>
            <w:hideMark/>
          </w:tcPr>
          <w:p w14:paraId="5B881737" w14:textId="77777777" w:rsidR="001026D9" w:rsidRPr="000A7DCC" w:rsidRDefault="001026D9" w:rsidP="00CF5A0F">
            <w:pPr>
              <w:ind w:firstLineChars="100" w:firstLine="181"/>
              <w:rPr>
                <w:rFonts w:cs="Arial"/>
                <w:b/>
                <w:bCs/>
                <w:color w:val="000000"/>
                <w:sz w:val="18"/>
                <w:szCs w:val="18"/>
              </w:rPr>
            </w:pPr>
            <w:r w:rsidRPr="000A7DCC">
              <w:rPr>
                <w:rFonts w:cs="Arial"/>
                <w:b/>
                <w:bCs/>
                <w:color w:val="000000"/>
                <w:sz w:val="18"/>
                <w:szCs w:val="18"/>
              </w:rPr>
              <w:t> </w:t>
            </w:r>
          </w:p>
        </w:tc>
      </w:tr>
      <w:tr w:rsidR="001026D9" w:rsidRPr="000A7DCC" w14:paraId="237C1B62" w14:textId="77777777" w:rsidTr="001026D9">
        <w:trPr>
          <w:trHeight w:val="258"/>
          <w:jc w:val="center"/>
        </w:trPr>
        <w:tc>
          <w:tcPr>
            <w:tcW w:w="1806" w:type="dxa"/>
            <w:tcBorders>
              <w:top w:val="nil"/>
              <w:left w:val="single" w:sz="8" w:space="0" w:color="auto"/>
              <w:bottom w:val="single" w:sz="8" w:space="0" w:color="auto"/>
              <w:right w:val="single" w:sz="8" w:space="0" w:color="auto"/>
            </w:tcBorders>
            <w:shd w:val="clear" w:color="auto" w:fill="auto"/>
            <w:noWrap/>
            <w:vAlign w:val="center"/>
            <w:hideMark/>
          </w:tcPr>
          <w:p w14:paraId="14AA18BB" w14:textId="77777777" w:rsidR="001026D9" w:rsidRPr="000A7DCC" w:rsidRDefault="001026D9" w:rsidP="00CF5A0F">
            <w:pPr>
              <w:rPr>
                <w:rFonts w:cs="Arial"/>
                <w:color w:val="000000"/>
                <w:sz w:val="18"/>
                <w:szCs w:val="18"/>
              </w:rPr>
            </w:pPr>
            <w:r w:rsidRPr="000A7DCC">
              <w:rPr>
                <w:rFonts w:cs="Arial"/>
                <w:color w:val="000000"/>
                <w:sz w:val="18"/>
                <w:szCs w:val="18"/>
              </w:rPr>
              <w:t>EM&amp;V [1]</w:t>
            </w:r>
          </w:p>
        </w:tc>
        <w:tc>
          <w:tcPr>
            <w:tcW w:w="1228" w:type="dxa"/>
            <w:tcBorders>
              <w:top w:val="nil"/>
              <w:left w:val="nil"/>
              <w:bottom w:val="single" w:sz="8" w:space="0" w:color="auto"/>
              <w:right w:val="single" w:sz="8" w:space="0" w:color="auto"/>
            </w:tcBorders>
            <w:shd w:val="clear" w:color="auto" w:fill="auto"/>
            <w:noWrap/>
            <w:vAlign w:val="center"/>
            <w:hideMark/>
          </w:tcPr>
          <w:p w14:paraId="5C8388A3" w14:textId="77777777" w:rsidR="001026D9" w:rsidRPr="000A7DCC" w:rsidRDefault="001026D9" w:rsidP="00CF5A0F">
            <w:pPr>
              <w:jc w:val="right"/>
              <w:rPr>
                <w:rFonts w:cs="Arial"/>
                <w:color w:val="000000"/>
                <w:sz w:val="18"/>
                <w:szCs w:val="18"/>
              </w:rPr>
            </w:pPr>
            <w:r w:rsidRPr="000A7DCC">
              <w:rPr>
                <w:rFonts w:cs="Arial"/>
                <w:color w:val="000000"/>
                <w:sz w:val="18"/>
                <w:szCs w:val="18"/>
              </w:rPr>
              <w:t>$5,179,004</w:t>
            </w:r>
          </w:p>
        </w:tc>
        <w:tc>
          <w:tcPr>
            <w:tcW w:w="1231" w:type="dxa"/>
            <w:tcBorders>
              <w:top w:val="nil"/>
              <w:left w:val="nil"/>
              <w:bottom w:val="single" w:sz="8" w:space="0" w:color="auto"/>
              <w:right w:val="single" w:sz="8" w:space="0" w:color="auto"/>
            </w:tcBorders>
            <w:shd w:val="clear" w:color="auto" w:fill="auto"/>
            <w:noWrap/>
            <w:vAlign w:val="center"/>
            <w:hideMark/>
          </w:tcPr>
          <w:p w14:paraId="3D1DB2BA" w14:textId="77777777" w:rsidR="001026D9" w:rsidRPr="000A7DCC" w:rsidRDefault="001026D9" w:rsidP="00CF5A0F">
            <w:pPr>
              <w:jc w:val="right"/>
              <w:rPr>
                <w:rFonts w:cs="Arial"/>
                <w:color w:val="000000"/>
                <w:sz w:val="18"/>
                <w:szCs w:val="18"/>
              </w:rPr>
            </w:pPr>
            <w:r w:rsidRPr="000A7DCC">
              <w:rPr>
                <w:rFonts w:cs="Arial"/>
                <w:color w:val="000000"/>
                <w:sz w:val="18"/>
                <w:szCs w:val="18"/>
              </w:rPr>
              <w:t>$15,672,827</w:t>
            </w:r>
          </w:p>
        </w:tc>
        <w:tc>
          <w:tcPr>
            <w:tcW w:w="1229" w:type="dxa"/>
            <w:tcBorders>
              <w:top w:val="nil"/>
              <w:left w:val="nil"/>
              <w:bottom w:val="single" w:sz="8" w:space="0" w:color="auto"/>
              <w:right w:val="single" w:sz="8" w:space="0" w:color="auto"/>
            </w:tcBorders>
            <w:shd w:val="clear" w:color="auto" w:fill="auto"/>
            <w:noWrap/>
            <w:vAlign w:val="center"/>
            <w:hideMark/>
          </w:tcPr>
          <w:p w14:paraId="375E576C" w14:textId="77777777" w:rsidR="001026D9" w:rsidRPr="000A7DCC" w:rsidRDefault="001026D9" w:rsidP="00CF5A0F">
            <w:pPr>
              <w:jc w:val="right"/>
              <w:rPr>
                <w:rFonts w:cs="Arial"/>
                <w:color w:val="000000"/>
                <w:sz w:val="18"/>
                <w:szCs w:val="18"/>
              </w:rPr>
            </w:pPr>
            <w:r w:rsidRPr="000A7DCC">
              <w:rPr>
                <w:rFonts w:cs="Arial"/>
                <w:color w:val="000000"/>
                <w:sz w:val="18"/>
                <w:szCs w:val="18"/>
              </w:rPr>
              <w:t>$14,479,143</w:t>
            </w:r>
          </w:p>
        </w:tc>
        <w:tc>
          <w:tcPr>
            <w:tcW w:w="1230" w:type="dxa"/>
            <w:tcBorders>
              <w:top w:val="nil"/>
              <w:left w:val="nil"/>
              <w:bottom w:val="single" w:sz="8" w:space="0" w:color="auto"/>
              <w:right w:val="single" w:sz="8" w:space="0" w:color="auto"/>
            </w:tcBorders>
            <w:shd w:val="clear" w:color="auto" w:fill="auto"/>
            <w:noWrap/>
            <w:vAlign w:val="center"/>
            <w:hideMark/>
          </w:tcPr>
          <w:p w14:paraId="394C9982" w14:textId="77777777" w:rsidR="001026D9" w:rsidRPr="000A7DCC" w:rsidRDefault="001026D9" w:rsidP="00CF5A0F">
            <w:pPr>
              <w:jc w:val="right"/>
              <w:rPr>
                <w:rFonts w:cs="Arial"/>
                <w:color w:val="000000"/>
                <w:sz w:val="18"/>
                <w:szCs w:val="18"/>
              </w:rPr>
            </w:pPr>
            <w:r w:rsidRPr="000A7DCC">
              <w:rPr>
                <w:rFonts w:cs="Arial"/>
                <w:color w:val="000000"/>
                <w:sz w:val="18"/>
                <w:szCs w:val="18"/>
              </w:rPr>
              <w:t>$11,501,157</w:t>
            </w:r>
          </w:p>
        </w:tc>
        <w:tc>
          <w:tcPr>
            <w:tcW w:w="1322" w:type="dxa"/>
            <w:tcBorders>
              <w:top w:val="nil"/>
              <w:left w:val="nil"/>
              <w:bottom w:val="single" w:sz="8" w:space="0" w:color="auto"/>
              <w:right w:val="single" w:sz="8" w:space="0" w:color="auto"/>
            </w:tcBorders>
            <w:shd w:val="clear" w:color="auto" w:fill="auto"/>
            <w:noWrap/>
            <w:vAlign w:val="center"/>
            <w:hideMark/>
          </w:tcPr>
          <w:p w14:paraId="4AA9F0CF" w14:textId="77777777" w:rsidR="001026D9" w:rsidRPr="000A7DCC" w:rsidRDefault="001026D9" w:rsidP="00CF5A0F">
            <w:pPr>
              <w:jc w:val="right"/>
              <w:rPr>
                <w:rFonts w:cs="Arial"/>
                <w:color w:val="000000"/>
                <w:sz w:val="18"/>
                <w:szCs w:val="18"/>
              </w:rPr>
            </w:pPr>
            <w:r w:rsidRPr="000A7DCC">
              <w:rPr>
                <w:rFonts w:cs="Arial"/>
                <w:color w:val="000000"/>
                <w:sz w:val="18"/>
                <w:szCs w:val="18"/>
              </w:rPr>
              <w:t>$5,657,498</w:t>
            </w:r>
          </w:p>
        </w:tc>
        <w:tc>
          <w:tcPr>
            <w:tcW w:w="1326" w:type="dxa"/>
            <w:tcBorders>
              <w:top w:val="nil"/>
              <w:left w:val="nil"/>
              <w:bottom w:val="single" w:sz="8" w:space="0" w:color="auto"/>
              <w:right w:val="single" w:sz="8" w:space="0" w:color="auto"/>
            </w:tcBorders>
            <w:shd w:val="clear" w:color="auto" w:fill="auto"/>
            <w:vAlign w:val="center"/>
            <w:hideMark/>
          </w:tcPr>
          <w:p w14:paraId="74881435" w14:textId="77777777" w:rsidR="001026D9" w:rsidRPr="000A7DCC" w:rsidRDefault="001026D9" w:rsidP="00CF5A0F">
            <w:pPr>
              <w:jc w:val="right"/>
              <w:rPr>
                <w:rFonts w:cs="Arial"/>
                <w:color w:val="000000"/>
                <w:sz w:val="18"/>
                <w:szCs w:val="18"/>
              </w:rPr>
            </w:pPr>
            <w:r w:rsidRPr="000A7DCC">
              <w:rPr>
                <w:rFonts w:cs="Arial"/>
                <w:color w:val="000000"/>
                <w:sz w:val="18"/>
                <w:szCs w:val="18"/>
              </w:rPr>
              <w:t>$52,489,62</w:t>
            </w:r>
            <w:r>
              <w:rPr>
                <w:rFonts w:cs="Arial"/>
                <w:color w:val="000000"/>
                <w:sz w:val="18"/>
                <w:szCs w:val="18"/>
              </w:rPr>
              <w:t>9</w:t>
            </w:r>
          </w:p>
        </w:tc>
      </w:tr>
      <w:tr w:rsidR="001026D9" w:rsidRPr="000A7DCC" w14:paraId="78CD35DB" w14:textId="77777777" w:rsidTr="001026D9">
        <w:trPr>
          <w:trHeight w:val="258"/>
          <w:jc w:val="center"/>
        </w:trPr>
        <w:tc>
          <w:tcPr>
            <w:tcW w:w="1806" w:type="dxa"/>
            <w:tcBorders>
              <w:top w:val="nil"/>
              <w:left w:val="single" w:sz="8" w:space="0" w:color="auto"/>
              <w:bottom w:val="single" w:sz="8" w:space="0" w:color="auto"/>
              <w:right w:val="single" w:sz="8" w:space="0" w:color="auto"/>
            </w:tcBorders>
            <w:shd w:val="clear" w:color="auto" w:fill="auto"/>
            <w:noWrap/>
            <w:vAlign w:val="center"/>
            <w:hideMark/>
          </w:tcPr>
          <w:p w14:paraId="6B334841" w14:textId="77777777" w:rsidR="001026D9" w:rsidRPr="000A7DCC" w:rsidRDefault="001026D9" w:rsidP="00CF5A0F">
            <w:pPr>
              <w:rPr>
                <w:rFonts w:cs="Arial"/>
                <w:color w:val="000000"/>
                <w:sz w:val="18"/>
                <w:szCs w:val="18"/>
              </w:rPr>
            </w:pPr>
            <w:r w:rsidRPr="000A7DCC">
              <w:rPr>
                <w:rFonts w:cs="Arial"/>
                <w:color w:val="000000"/>
                <w:sz w:val="18"/>
                <w:szCs w:val="18"/>
              </w:rPr>
              <w:t>Financing Pilots [2]</w:t>
            </w:r>
          </w:p>
        </w:tc>
        <w:tc>
          <w:tcPr>
            <w:tcW w:w="1228" w:type="dxa"/>
            <w:tcBorders>
              <w:top w:val="nil"/>
              <w:left w:val="nil"/>
              <w:bottom w:val="single" w:sz="8" w:space="0" w:color="auto"/>
              <w:right w:val="single" w:sz="8" w:space="0" w:color="auto"/>
            </w:tcBorders>
            <w:shd w:val="clear" w:color="auto" w:fill="auto"/>
            <w:noWrap/>
            <w:vAlign w:val="center"/>
            <w:hideMark/>
          </w:tcPr>
          <w:p w14:paraId="2967D4A9" w14:textId="77777777" w:rsidR="001026D9" w:rsidRPr="000A7DCC" w:rsidRDefault="001026D9" w:rsidP="00CF5A0F">
            <w:pPr>
              <w:jc w:val="right"/>
              <w:rPr>
                <w:rFonts w:cs="Arial"/>
                <w:color w:val="000000"/>
                <w:sz w:val="18"/>
                <w:szCs w:val="18"/>
              </w:rPr>
            </w:pPr>
            <w:r w:rsidRPr="000A7DCC">
              <w:rPr>
                <w:rFonts w:cs="Arial"/>
                <w:color w:val="000000"/>
                <w:sz w:val="18"/>
                <w:szCs w:val="18"/>
              </w:rPr>
              <w:t>$2,257,726</w:t>
            </w:r>
          </w:p>
        </w:tc>
        <w:tc>
          <w:tcPr>
            <w:tcW w:w="1231" w:type="dxa"/>
            <w:tcBorders>
              <w:top w:val="nil"/>
              <w:left w:val="nil"/>
              <w:bottom w:val="single" w:sz="8" w:space="0" w:color="auto"/>
              <w:right w:val="single" w:sz="8" w:space="0" w:color="auto"/>
            </w:tcBorders>
            <w:shd w:val="clear" w:color="auto" w:fill="auto"/>
            <w:noWrap/>
            <w:vAlign w:val="center"/>
            <w:hideMark/>
          </w:tcPr>
          <w:p w14:paraId="0F56125E" w14:textId="77777777" w:rsidR="001026D9" w:rsidRPr="000A7DCC" w:rsidRDefault="001026D9" w:rsidP="00CF5A0F">
            <w:pPr>
              <w:jc w:val="right"/>
              <w:rPr>
                <w:rFonts w:cs="Arial"/>
                <w:color w:val="000000"/>
                <w:sz w:val="18"/>
                <w:szCs w:val="18"/>
              </w:rPr>
            </w:pPr>
            <w:r w:rsidRPr="000A7DCC">
              <w:rPr>
                <w:rFonts w:cs="Arial"/>
                <w:color w:val="000000"/>
                <w:sz w:val="18"/>
                <w:szCs w:val="18"/>
              </w:rPr>
              <w:t>$0</w:t>
            </w:r>
          </w:p>
        </w:tc>
        <w:tc>
          <w:tcPr>
            <w:tcW w:w="1229" w:type="dxa"/>
            <w:tcBorders>
              <w:top w:val="nil"/>
              <w:left w:val="nil"/>
              <w:bottom w:val="single" w:sz="8" w:space="0" w:color="auto"/>
              <w:right w:val="single" w:sz="8" w:space="0" w:color="auto"/>
            </w:tcBorders>
            <w:shd w:val="clear" w:color="auto" w:fill="auto"/>
            <w:noWrap/>
            <w:vAlign w:val="center"/>
            <w:hideMark/>
          </w:tcPr>
          <w:p w14:paraId="740B51C0" w14:textId="77777777" w:rsidR="001026D9" w:rsidRPr="000A7DCC" w:rsidRDefault="001026D9" w:rsidP="00CF5A0F">
            <w:pPr>
              <w:jc w:val="right"/>
              <w:rPr>
                <w:rFonts w:cs="Arial"/>
                <w:color w:val="000000"/>
                <w:sz w:val="18"/>
                <w:szCs w:val="18"/>
              </w:rPr>
            </w:pPr>
            <w:r w:rsidRPr="000A7DCC">
              <w:rPr>
                <w:rFonts w:cs="Arial"/>
                <w:color w:val="000000"/>
                <w:sz w:val="18"/>
                <w:szCs w:val="18"/>
              </w:rPr>
              <w:t>$165,400</w:t>
            </w:r>
          </w:p>
        </w:tc>
        <w:tc>
          <w:tcPr>
            <w:tcW w:w="1230" w:type="dxa"/>
            <w:tcBorders>
              <w:top w:val="nil"/>
              <w:left w:val="nil"/>
              <w:bottom w:val="single" w:sz="8" w:space="0" w:color="auto"/>
              <w:right w:val="single" w:sz="8" w:space="0" w:color="auto"/>
            </w:tcBorders>
            <w:shd w:val="clear" w:color="auto" w:fill="auto"/>
            <w:noWrap/>
            <w:vAlign w:val="center"/>
            <w:hideMark/>
          </w:tcPr>
          <w:p w14:paraId="714C1607" w14:textId="77777777" w:rsidR="001026D9" w:rsidRPr="000A7DCC" w:rsidRDefault="001026D9" w:rsidP="00CF5A0F">
            <w:pPr>
              <w:jc w:val="right"/>
              <w:rPr>
                <w:rFonts w:cs="Arial"/>
                <w:color w:val="000000"/>
                <w:sz w:val="18"/>
                <w:szCs w:val="18"/>
              </w:rPr>
            </w:pPr>
            <w:r w:rsidRPr="000A7DCC">
              <w:rPr>
                <w:rFonts w:cs="Arial"/>
                <w:color w:val="000000"/>
                <w:sz w:val="18"/>
                <w:szCs w:val="18"/>
              </w:rPr>
              <w:t>$220,797</w:t>
            </w:r>
          </w:p>
        </w:tc>
        <w:tc>
          <w:tcPr>
            <w:tcW w:w="1322" w:type="dxa"/>
            <w:tcBorders>
              <w:top w:val="nil"/>
              <w:left w:val="nil"/>
              <w:bottom w:val="single" w:sz="8" w:space="0" w:color="auto"/>
              <w:right w:val="single" w:sz="8" w:space="0" w:color="auto"/>
            </w:tcBorders>
            <w:shd w:val="clear" w:color="auto" w:fill="auto"/>
            <w:noWrap/>
            <w:vAlign w:val="center"/>
            <w:hideMark/>
          </w:tcPr>
          <w:p w14:paraId="0EF5FE4F" w14:textId="77777777" w:rsidR="001026D9" w:rsidRPr="000A7DCC" w:rsidRDefault="001026D9" w:rsidP="00CF5A0F">
            <w:pPr>
              <w:jc w:val="right"/>
              <w:rPr>
                <w:rFonts w:cs="Arial"/>
                <w:color w:val="000000"/>
                <w:sz w:val="18"/>
                <w:szCs w:val="18"/>
              </w:rPr>
            </w:pPr>
            <w:r w:rsidRPr="000A7DCC">
              <w:rPr>
                <w:rFonts w:cs="Arial"/>
                <w:color w:val="000000"/>
                <w:sz w:val="18"/>
                <w:szCs w:val="18"/>
              </w:rPr>
              <w:t>$439,288</w:t>
            </w:r>
          </w:p>
        </w:tc>
        <w:tc>
          <w:tcPr>
            <w:tcW w:w="1326" w:type="dxa"/>
            <w:tcBorders>
              <w:top w:val="nil"/>
              <w:left w:val="nil"/>
              <w:bottom w:val="single" w:sz="8" w:space="0" w:color="auto"/>
              <w:right w:val="single" w:sz="8" w:space="0" w:color="auto"/>
            </w:tcBorders>
            <w:shd w:val="clear" w:color="auto" w:fill="auto"/>
            <w:vAlign w:val="center"/>
            <w:hideMark/>
          </w:tcPr>
          <w:p w14:paraId="0E29E89B" w14:textId="77777777" w:rsidR="001026D9" w:rsidRPr="000A7DCC" w:rsidRDefault="001026D9" w:rsidP="00CF5A0F">
            <w:pPr>
              <w:jc w:val="right"/>
              <w:rPr>
                <w:rFonts w:cs="Arial"/>
                <w:color w:val="000000"/>
                <w:sz w:val="18"/>
                <w:szCs w:val="18"/>
              </w:rPr>
            </w:pPr>
            <w:r w:rsidRPr="000A7DCC">
              <w:rPr>
                <w:rFonts w:cs="Arial"/>
                <w:color w:val="000000"/>
                <w:sz w:val="18"/>
                <w:szCs w:val="18"/>
              </w:rPr>
              <w:t>$3,083,211</w:t>
            </w:r>
          </w:p>
        </w:tc>
      </w:tr>
      <w:tr w:rsidR="001026D9" w:rsidRPr="000A7DCC" w14:paraId="723418B1" w14:textId="77777777" w:rsidTr="001026D9">
        <w:trPr>
          <w:trHeight w:val="258"/>
          <w:jc w:val="center"/>
        </w:trPr>
        <w:tc>
          <w:tcPr>
            <w:tcW w:w="1806" w:type="dxa"/>
            <w:tcBorders>
              <w:top w:val="nil"/>
              <w:left w:val="single" w:sz="8" w:space="0" w:color="auto"/>
              <w:bottom w:val="single" w:sz="8" w:space="0" w:color="auto"/>
              <w:right w:val="single" w:sz="8" w:space="0" w:color="auto"/>
            </w:tcBorders>
            <w:shd w:val="clear" w:color="auto" w:fill="auto"/>
            <w:noWrap/>
            <w:vAlign w:val="center"/>
            <w:hideMark/>
          </w:tcPr>
          <w:p w14:paraId="7398118F" w14:textId="77777777" w:rsidR="001026D9" w:rsidRPr="000A7DCC" w:rsidRDefault="001026D9" w:rsidP="00CF5A0F">
            <w:pPr>
              <w:rPr>
                <w:rFonts w:cs="Arial"/>
                <w:color w:val="000000"/>
                <w:sz w:val="18"/>
                <w:szCs w:val="18"/>
              </w:rPr>
            </w:pPr>
            <w:proofErr w:type="spellStart"/>
            <w:r w:rsidRPr="000A7DCC">
              <w:rPr>
                <w:rFonts w:cs="Arial"/>
                <w:color w:val="000000"/>
                <w:sz w:val="18"/>
                <w:szCs w:val="18"/>
              </w:rPr>
              <w:t>BayREN</w:t>
            </w:r>
            <w:proofErr w:type="spellEnd"/>
          </w:p>
        </w:tc>
        <w:tc>
          <w:tcPr>
            <w:tcW w:w="1228" w:type="dxa"/>
            <w:tcBorders>
              <w:top w:val="nil"/>
              <w:left w:val="nil"/>
              <w:bottom w:val="single" w:sz="8" w:space="0" w:color="auto"/>
              <w:right w:val="single" w:sz="8" w:space="0" w:color="auto"/>
            </w:tcBorders>
            <w:shd w:val="clear" w:color="auto" w:fill="auto"/>
            <w:noWrap/>
            <w:vAlign w:val="center"/>
            <w:hideMark/>
          </w:tcPr>
          <w:p w14:paraId="2BE696A8" w14:textId="77777777" w:rsidR="001026D9" w:rsidRPr="000A7DCC" w:rsidRDefault="001026D9" w:rsidP="00CF5A0F">
            <w:pPr>
              <w:jc w:val="right"/>
              <w:rPr>
                <w:rFonts w:cs="Arial"/>
                <w:color w:val="000000"/>
                <w:sz w:val="18"/>
                <w:szCs w:val="18"/>
              </w:rPr>
            </w:pPr>
            <w:r w:rsidRPr="000A7DCC">
              <w:rPr>
                <w:rFonts w:cs="Arial"/>
                <w:color w:val="000000"/>
                <w:sz w:val="18"/>
                <w:szCs w:val="18"/>
              </w:rPr>
              <w:t>$3,760,885</w:t>
            </w:r>
          </w:p>
        </w:tc>
        <w:tc>
          <w:tcPr>
            <w:tcW w:w="1231" w:type="dxa"/>
            <w:tcBorders>
              <w:top w:val="nil"/>
              <w:left w:val="nil"/>
              <w:bottom w:val="single" w:sz="8" w:space="0" w:color="auto"/>
              <w:right w:val="single" w:sz="8" w:space="0" w:color="auto"/>
            </w:tcBorders>
            <w:shd w:val="clear" w:color="auto" w:fill="auto"/>
            <w:noWrap/>
            <w:vAlign w:val="center"/>
            <w:hideMark/>
          </w:tcPr>
          <w:p w14:paraId="482E80AD" w14:textId="77777777" w:rsidR="001026D9" w:rsidRPr="000A7DCC" w:rsidRDefault="001026D9" w:rsidP="00CF5A0F">
            <w:pPr>
              <w:jc w:val="right"/>
              <w:rPr>
                <w:rFonts w:cs="Arial"/>
                <w:color w:val="000000"/>
                <w:sz w:val="18"/>
                <w:szCs w:val="18"/>
              </w:rPr>
            </w:pPr>
            <w:r w:rsidRPr="000A7DCC">
              <w:rPr>
                <w:rFonts w:cs="Arial"/>
                <w:color w:val="000000"/>
                <w:sz w:val="18"/>
                <w:szCs w:val="18"/>
              </w:rPr>
              <w:t>$0</w:t>
            </w:r>
          </w:p>
        </w:tc>
        <w:tc>
          <w:tcPr>
            <w:tcW w:w="1229" w:type="dxa"/>
            <w:tcBorders>
              <w:top w:val="nil"/>
              <w:left w:val="nil"/>
              <w:bottom w:val="single" w:sz="8" w:space="0" w:color="auto"/>
              <w:right w:val="single" w:sz="8" w:space="0" w:color="auto"/>
            </w:tcBorders>
            <w:shd w:val="clear" w:color="auto" w:fill="auto"/>
            <w:noWrap/>
            <w:vAlign w:val="center"/>
            <w:hideMark/>
          </w:tcPr>
          <w:p w14:paraId="3B0B37ED" w14:textId="77777777" w:rsidR="001026D9" w:rsidRPr="000A7DCC" w:rsidRDefault="001026D9" w:rsidP="00CF5A0F">
            <w:pPr>
              <w:jc w:val="right"/>
              <w:rPr>
                <w:rFonts w:cs="Arial"/>
                <w:color w:val="000000"/>
                <w:sz w:val="18"/>
                <w:szCs w:val="18"/>
              </w:rPr>
            </w:pPr>
            <w:r w:rsidRPr="000A7DCC">
              <w:rPr>
                <w:rFonts w:cs="Arial"/>
                <w:color w:val="000000"/>
                <w:sz w:val="18"/>
                <w:szCs w:val="18"/>
              </w:rPr>
              <w:t>$42,769</w:t>
            </w:r>
          </w:p>
        </w:tc>
        <w:tc>
          <w:tcPr>
            <w:tcW w:w="1230" w:type="dxa"/>
            <w:tcBorders>
              <w:top w:val="nil"/>
              <w:left w:val="nil"/>
              <w:bottom w:val="single" w:sz="8" w:space="0" w:color="auto"/>
              <w:right w:val="single" w:sz="8" w:space="0" w:color="auto"/>
            </w:tcBorders>
            <w:shd w:val="clear" w:color="auto" w:fill="auto"/>
            <w:noWrap/>
            <w:vAlign w:val="center"/>
            <w:hideMark/>
          </w:tcPr>
          <w:p w14:paraId="386D5916" w14:textId="77777777" w:rsidR="001026D9" w:rsidRPr="000A7DCC" w:rsidRDefault="001026D9" w:rsidP="00CF5A0F">
            <w:pPr>
              <w:jc w:val="right"/>
              <w:rPr>
                <w:rFonts w:cs="Arial"/>
                <w:color w:val="000000"/>
                <w:sz w:val="18"/>
                <w:szCs w:val="18"/>
              </w:rPr>
            </w:pPr>
            <w:r w:rsidRPr="000A7DCC">
              <w:rPr>
                <w:rFonts w:cs="Arial"/>
                <w:color w:val="000000"/>
                <w:sz w:val="18"/>
                <w:szCs w:val="18"/>
              </w:rPr>
              <w:t>$5,218,732</w:t>
            </w:r>
          </w:p>
        </w:tc>
        <w:tc>
          <w:tcPr>
            <w:tcW w:w="1322" w:type="dxa"/>
            <w:tcBorders>
              <w:top w:val="nil"/>
              <w:left w:val="nil"/>
              <w:bottom w:val="single" w:sz="8" w:space="0" w:color="auto"/>
              <w:right w:val="single" w:sz="8" w:space="0" w:color="auto"/>
            </w:tcBorders>
            <w:shd w:val="clear" w:color="auto" w:fill="auto"/>
            <w:noWrap/>
            <w:vAlign w:val="center"/>
            <w:hideMark/>
          </w:tcPr>
          <w:p w14:paraId="55FF809A" w14:textId="77777777" w:rsidR="001026D9" w:rsidRPr="000A7DCC" w:rsidRDefault="001026D9" w:rsidP="00CF5A0F">
            <w:pPr>
              <w:jc w:val="right"/>
              <w:rPr>
                <w:rFonts w:cs="Arial"/>
                <w:color w:val="000000"/>
                <w:sz w:val="18"/>
                <w:szCs w:val="18"/>
              </w:rPr>
            </w:pPr>
            <w:r w:rsidRPr="000A7DCC">
              <w:rPr>
                <w:rFonts w:cs="Arial"/>
                <w:color w:val="000000"/>
                <w:sz w:val="18"/>
                <w:szCs w:val="18"/>
              </w:rPr>
              <w:t>$12,792,398</w:t>
            </w:r>
          </w:p>
        </w:tc>
        <w:tc>
          <w:tcPr>
            <w:tcW w:w="1326" w:type="dxa"/>
            <w:tcBorders>
              <w:top w:val="nil"/>
              <w:left w:val="nil"/>
              <w:bottom w:val="single" w:sz="8" w:space="0" w:color="auto"/>
              <w:right w:val="single" w:sz="8" w:space="0" w:color="auto"/>
            </w:tcBorders>
            <w:shd w:val="clear" w:color="auto" w:fill="auto"/>
            <w:vAlign w:val="center"/>
            <w:hideMark/>
          </w:tcPr>
          <w:p w14:paraId="45F56518" w14:textId="77777777" w:rsidR="001026D9" w:rsidRPr="000A7DCC" w:rsidRDefault="001026D9" w:rsidP="00CF5A0F">
            <w:pPr>
              <w:jc w:val="right"/>
              <w:rPr>
                <w:rFonts w:cs="Arial"/>
                <w:color w:val="000000"/>
                <w:sz w:val="18"/>
                <w:szCs w:val="18"/>
              </w:rPr>
            </w:pPr>
            <w:r w:rsidRPr="000A7DCC">
              <w:rPr>
                <w:rFonts w:cs="Arial"/>
                <w:color w:val="000000"/>
                <w:sz w:val="18"/>
                <w:szCs w:val="18"/>
              </w:rPr>
              <w:t>$21,814,784</w:t>
            </w:r>
          </w:p>
        </w:tc>
      </w:tr>
      <w:tr w:rsidR="001026D9" w:rsidRPr="000A7DCC" w14:paraId="1E4FB11B" w14:textId="77777777" w:rsidTr="001026D9">
        <w:trPr>
          <w:trHeight w:val="258"/>
          <w:jc w:val="center"/>
        </w:trPr>
        <w:tc>
          <w:tcPr>
            <w:tcW w:w="1806" w:type="dxa"/>
            <w:tcBorders>
              <w:top w:val="nil"/>
              <w:left w:val="single" w:sz="8" w:space="0" w:color="auto"/>
              <w:bottom w:val="single" w:sz="8" w:space="0" w:color="auto"/>
              <w:right w:val="single" w:sz="8" w:space="0" w:color="auto"/>
            </w:tcBorders>
            <w:shd w:val="clear" w:color="auto" w:fill="auto"/>
            <w:noWrap/>
            <w:vAlign w:val="center"/>
            <w:hideMark/>
          </w:tcPr>
          <w:p w14:paraId="53A4295F" w14:textId="77777777" w:rsidR="001026D9" w:rsidRPr="000A7DCC" w:rsidRDefault="001026D9" w:rsidP="00CF5A0F">
            <w:pPr>
              <w:rPr>
                <w:rFonts w:cs="Arial"/>
                <w:color w:val="000000"/>
                <w:sz w:val="18"/>
                <w:szCs w:val="18"/>
              </w:rPr>
            </w:pPr>
            <w:r w:rsidRPr="000A7DCC">
              <w:rPr>
                <w:rFonts w:cs="Arial"/>
                <w:color w:val="000000"/>
                <w:sz w:val="18"/>
                <w:szCs w:val="18"/>
              </w:rPr>
              <w:t>MCE</w:t>
            </w:r>
          </w:p>
        </w:tc>
        <w:tc>
          <w:tcPr>
            <w:tcW w:w="1228" w:type="dxa"/>
            <w:tcBorders>
              <w:top w:val="nil"/>
              <w:left w:val="nil"/>
              <w:bottom w:val="single" w:sz="8" w:space="0" w:color="auto"/>
              <w:right w:val="single" w:sz="8" w:space="0" w:color="auto"/>
            </w:tcBorders>
            <w:shd w:val="clear" w:color="auto" w:fill="auto"/>
            <w:noWrap/>
            <w:vAlign w:val="center"/>
            <w:hideMark/>
          </w:tcPr>
          <w:p w14:paraId="5BD41114" w14:textId="77777777" w:rsidR="001026D9" w:rsidRPr="000A7DCC" w:rsidRDefault="001026D9" w:rsidP="00CF5A0F">
            <w:pPr>
              <w:jc w:val="right"/>
              <w:rPr>
                <w:rFonts w:cs="Arial"/>
                <w:color w:val="000000"/>
                <w:sz w:val="18"/>
                <w:szCs w:val="18"/>
              </w:rPr>
            </w:pPr>
            <w:r w:rsidRPr="000A7DCC">
              <w:rPr>
                <w:rFonts w:cs="Arial"/>
                <w:color w:val="000000"/>
                <w:sz w:val="18"/>
                <w:szCs w:val="18"/>
              </w:rPr>
              <w:t>$36,182</w:t>
            </w:r>
          </w:p>
        </w:tc>
        <w:tc>
          <w:tcPr>
            <w:tcW w:w="1231" w:type="dxa"/>
            <w:tcBorders>
              <w:top w:val="nil"/>
              <w:left w:val="nil"/>
              <w:bottom w:val="single" w:sz="8" w:space="0" w:color="auto"/>
              <w:right w:val="single" w:sz="8" w:space="0" w:color="auto"/>
            </w:tcBorders>
            <w:shd w:val="clear" w:color="auto" w:fill="auto"/>
            <w:noWrap/>
            <w:vAlign w:val="center"/>
            <w:hideMark/>
          </w:tcPr>
          <w:p w14:paraId="71A017DC" w14:textId="77777777" w:rsidR="001026D9" w:rsidRPr="000A7DCC" w:rsidRDefault="001026D9" w:rsidP="00CF5A0F">
            <w:pPr>
              <w:jc w:val="right"/>
              <w:rPr>
                <w:rFonts w:cs="Arial"/>
                <w:color w:val="000000"/>
                <w:sz w:val="18"/>
                <w:szCs w:val="18"/>
              </w:rPr>
            </w:pPr>
            <w:r w:rsidRPr="000A7DCC">
              <w:rPr>
                <w:rFonts w:cs="Arial"/>
                <w:color w:val="000000"/>
                <w:sz w:val="18"/>
                <w:szCs w:val="18"/>
              </w:rPr>
              <w:t>$104,615</w:t>
            </w:r>
          </w:p>
        </w:tc>
        <w:tc>
          <w:tcPr>
            <w:tcW w:w="1229" w:type="dxa"/>
            <w:tcBorders>
              <w:top w:val="nil"/>
              <w:left w:val="nil"/>
              <w:bottom w:val="single" w:sz="8" w:space="0" w:color="auto"/>
              <w:right w:val="single" w:sz="8" w:space="0" w:color="auto"/>
            </w:tcBorders>
            <w:shd w:val="clear" w:color="auto" w:fill="auto"/>
            <w:noWrap/>
            <w:vAlign w:val="center"/>
            <w:hideMark/>
          </w:tcPr>
          <w:p w14:paraId="25C04CD5" w14:textId="77777777" w:rsidR="001026D9" w:rsidRPr="000A7DCC" w:rsidRDefault="001026D9" w:rsidP="00CF5A0F">
            <w:pPr>
              <w:jc w:val="right"/>
              <w:rPr>
                <w:rFonts w:cs="Arial"/>
                <w:color w:val="000000"/>
                <w:sz w:val="18"/>
                <w:szCs w:val="18"/>
              </w:rPr>
            </w:pPr>
            <w:r w:rsidRPr="000A7DCC">
              <w:rPr>
                <w:rFonts w:cs="Arial"/>
                <w:color w:val="000000"/>
                <w:sz w:val="18"/>
                <w:szCs w:val="18"/>
              </w:rPr>
              <w:t>$0</w:t>
            </w:r>
          </w:p>
        </w:tc>
        <w:tc>
          <w:tcPr>
            <w:tcW w:w="1230" w:type="dxa"/>
            <w:tcBorders>
              <w:top w:val="nil"/>
              <w:left w:val="nil"/>
              <w:bottom w:val="single" w:sz="8" w:space="0" w:color="auto"/>
              <w:right w:val="single" w:sz="8" w:space="0" w:color="auto"/>
            </w:tcBorders>
            <w:shd w:val="clear" w:color="auto" w:fill="auto"/>
            <w:noWrap/>
            <w:vAlign w:val="center"/>
            <w:hideMark/>
          </w:tcPr>
          <w:p w14:paraId="5D504F3C" w14:textId="77777777" w:rsidR="001026D9" w:rsidRPr="000A7DCC" w:rsidRDefault="001026D9" w:rsidP="00CF5A0F">
            <w:pPr>
              <w:jc w:val="right"/>
              <w:rPr>
                <w:rFonts w:cs="Arial"/>
                <w:color w:val="000000"/>
                <w:sz w:val="18"/>
                <w:szCs w:val="18"/>
              </w:rPr>
            </w:pPr>
            <w:r>
              <w:rPr>
                <w:rFonts w:cs="Arial"/>
                <w:color w:val="000000"/>
                <w:sz w:val="18"/>
                <w:szCs w:val="18"/>
              </w:rPr>
              <w:t>$223,670</w:t>
            </w:r>
          </w:p>
        </w:tc>
        <w:tc>
          <w:tcPr>
            <w:tcW w:w="1322" w:type="dxa"/>
            <w:tcBorders>
              <w:top w:val="nil"/>
              <w:left w:val="nil"/>
              <w:bottom w:val="single" w:sz="8" w:space="0" w:color="auto"/>
              <w:right w:val="single" w:sz="8" w:space="0" w:color="auto"/>
            </w:tcBorders>
            <w:shd w:val="clear" w:color="auto" w:fill="auto"/>
            <w:noWrap/>
            <w:vAlign w:val="center"/>
            <w:hideMark/>
          </w:tcPr>
          <w:p w14:paraId="6CFC920D" w14:textId="77777777" w:rsidR="001026D9" w:rsidRPr="000A7DCC" w:rsidRDefault="001026D9" w:rsidP="00CF5A0F">
            <w:pPr>
              <w:jc w:val="right"/>
              <w:rPr>
                <w:rFonts w:cs="Arial"/>
                <w:color w:val="000000"/>
                <w:sz w:val="18"/>
                <w:szCs w:val="18"/>
              </w:rPr>
            </w:pPr>
            <w:r>
              <w:rPr>
                <w:rFonts w:cs="Arial"/>
                <w:color w:val="000000"/>
                <w:sz w:val="18"/>
                <w:szCs w:val="18"/>
              </w:rPr>
              <w:t>$1,528,991</w:t>
            </w:r>
          </w:p>
        </w:tc>
        <w:tc>
          <w:tcPr>
            <w:tcW w:w="1326" w:type="dxa"/>
            <w:tcBorders>
              <w:top w:val="nil"/>
              <w:left w:val="nil"/>
              <w:bottom w:val="single" w:sz="8" w:space="0" w:color="auto"/>
              <w:right w:val="single" w:sz="8" w:space="0" w:color="auto"/>
            </w:tcBorders>
            <w:shd w:val="clear" w:color="auto" w:fill="auto"/>
            <w:vAlign w:val="center"/>
            <w:hideMark/>
          </w:tcPr>
          <w:p w14:paraId="307BF416" w14:textId="77777777" w:rsidR="001026D9" w:rsidRPr="000A7DCC" w:rsidRDefault="001026D9" w:rsidP="00CF5A0F">
            <w:pPr>
              <w:jc w:val="right"/>
              <w:rPr>
                <w:rFonts w:cs="Arial"/>
                <w:color w:val="000000"/>
                <w:sz w:val="18"/>
                <w:szCs w:val="18"/>
              </w:rPr>
            </w:pPr>
            <w:r>
              <w:rPr>
                <w:rFonts w:cs="Arial"/>
                <w:color w:val="000000"/>
                <w:sz w:val="18"/>
                <w:szCs w:val="18"/>
              </w:rPr>
              <w:t>$1,893,458</w:t>
            </w:r>
          </w:p>
        </w:tc>
      </w:tr>
      <w:tr w:rsidR="001026D9" w:rsidRPr="000A7DCC" w14:paraId="27377502" w14:textId="77777777" w:rsidTr="001026D9">
        <w:trPr>
          <w:trHeight w:val="258"/>
          <w:jc w:val="center"/>
        </w:trPr>
        <w:tc>
          <w:tcPr>
            <w:tcW w:w="1806" w:type="dxa"/>
            <w:tcBorders>
              <w:top w:val="nil"/>
              <w:left w:val="single" w:sz="8" w:space="0" w:color="auto"/>
              <w:bottom w:val="single" w:sz="8" w:space="0" w:color="auto"/>
              <w:right w:val="single" w:sz="8" w:space="0" w:color="auto"/>
            </w:tcBorders>
            <w:shd w:val="clear" w:color="auto" w:fill="auto"/>
            <w:noWrap/>
            <w:vAlign w:val="center"/>
            <w:hideMark/>
          </w:tcPr>
          <w:p w14:paraId="724A2CBA" w14:textId="77777777" w:rsidR="001026D9" w:rsidRPr="000A7DCC" w:rsidRDefault="001026D9" w:rsidP="00CF5A0F">
            <w:pPr>
              <w:rPr>
                <w:rFonts w:cs="Arial"/>
                <w:color w:val="000000"/>
                <w:sz w:val="18"/>
                <w:szCs w:val="18"/>
              </w:rPr>
            </w:pPr>
            <w:r w:rsidRPr="000A7DCC">
              <w:rPr>
                <w:rFonts w:cs="Arial"/>
                <w:color w:val="000000"/>
                <w:sz w:val="18"/>
                <w:szCs w:val="18"/>
              </w:rPr>
              <w:t>3C REN</w:t>
            </w:r>
          </w:p>
        </w:tc>
        <w:tc>
          <w:tcPr>
            <w:tcW w:w="1228" w:type="dxa"/>
            <w:tcBorders>
              <w:top w:val="nil"/>
              <w:left w:val="nil"/>
              <w:bottom w:val="single" w:sz="8" w:space="0" w:color="auto"/>
              <w:right w:val="single" w:sz="8" w:space="0" w:color="auto"/>
            </w:tcBorders>
            <w:shd w:val="clear" w:color="auto" w:fill="auto"/>
            <w:noWrap/>
            <w:vAlign w:val="center"/>
            <w:hideMark/>
          </w:tcPr>
          <w:p w14:paraId="22A2C632" w14:textId="77777777" w:rsidR="001026D9" w:rsidRPr="000A7DCC" w:rsidRDefault="001026D9" w:rsidP="00CF5A0F">
            <w:pPr>
              <w:jc w:val="right"/>
              <w:rPr>
                <w:rFonts w:cs="Arial"/>
                <w:color w:val="000000"/>
                <w:sz w:val="18"/>
                <w:szCs w:val="18"/>
              </w:rPr>
            </w:pPr>
            <w:r w:rsidRPr="000A7DCC">
              <w:rPr>
                <w:rFonts w:cs="Arial"/>
                <w:color w:val="000000"/>
                <w:sz w:val="18"/>
                <w:szCs w:val="18"/>
              </w:rPr>
              <w:t>$0</w:t>
            </w:r>
          </w:p>
        </w:tc>
        <w:tc>
          <w:tcPr>
            <w:tcW w:w="1231" w:type="dxa"/>
            <w:tcBorders>
              <w:top w:val="nil"/>
              <w:left w:val="nil"/>
              <w:bottom w:val="single" w:sz="8" w:space="0" w:color="auto"/>
              <w:right w:val="single" w:sz="8" w:space="0" w:color="auto"/>
            </w:tcBorders>
            <w:shd w:val="clear" w:color="auto" w:fill="auto"/>
            <w:noWrap/>
            <w:vAlign w:val="center"/>
            <w:hideMark/>
          </w:tcPr>
          <w:p w14:paraId="599A31EC" w14:textId="77777777" w:rsidR="001026D9" w:rsidRPr="000A7DCC" w:rsidRDefault="001026D9" w:rsidP="00CF5A0F">
            <w:pPr>
              <w:jc w:val="right"/>
              <w:rPr>
                <w:rFonts w:cs="Arial"/>
                <w:color w:val="000000"/>
                <w:sz w:val="18"/>
                <w:szCs w:val="18"/>
              </w:rPr>
            </w:pPr>
            <w:r w:rsidRPr="000A7DCC">
              <w:rPr>
                <w:rFonts w:cs="Arial"/>
                <w:color w:val="000000"/>
                <w:sz w:val="18"/>
                <w:szCs w:val="18"/>
              </w:rPr>
              <w:t>$0</w:t>
            </w:r>
          </w:p>
        </w:tc>
        <w:tc>
          <w:tcPr>
            <w:tcW w:w="1229" w:type="dxa"/>
            <w:tcBorders>
              <w:top w:val="nil"/>
              <w:left w:val="nil"/>
              <w:bottom w:val="single" w:sz="8" w:space="0" w:color="auto"/>
              <w:right w:val="single" w:sz="8" w:space="0" w:color="auto"/>
            </w:tcBorders>
            <w:shd w:val="clear" w:color="auto" w:fill="auto"/>
            <w:noWrap/>
            <w:vAlign w:val="center"/>
            <w:hideMark/>
          </w:tcPr>
          <w:p w14:paraId="0B7A08B3" w14:textId="77777777" w:rsidR="001026D9" w:rsidRPr="000A7DCC" w:rsidRDefault="001026D9" w:rsidP="00CF5A0F">
            <w:pPr>
              <w:jc w:val="right"/>
              <w:rPr>
                <w:rFonts w:cs="Arial"/>
                <w:color w:val="000000"/>
                <w:sz w:val="18"/>
                <w:szCs w:val="18"/>
              </w:rPr>
            </w:pPr>
            <w:r w:rsidRPr="000A7DCC">
              <w:rPr>
                <w:rFonts w:cs="Arial"/>
                <w:color w:val="000000"/>
                <w:sz w:val="18"/>
                <w:szCs w:val="18"/>
              </w:rPr>
              <w:t>$0</w:t>
            </w:r>
          </w:p>
        </w:tc>
        <w:tc>
          <w:tcPr>
            <w:tcW w:w="1230" w:type="dxa"/>
            <w:tcBorders>
              <w:top w:val="nil"/>
              <w:left w:val="nil"/>
              <w:bottom w:val="single" w:sz="8" w:space="0" w:color="auto"/>
              <w:right w:val="single" w:sz="8" w:space="0" w:color="auto"/>
            </w:tcBorders>
            <w:shd w:val="clear" w:color="auto" w:fill="auto"/>
            <w:noWrap/>
            <w:vAlign w:val="center"/>
            <w:hideMark/>
          </w:tcPr>
          <w:p w14:paraId="63AC65F6" w14:textId="77777777" w:rsidR="001026D9" w:rsidRPr="000A7DCC" w:rsidRDefault="001026D9" w:rsidP="00CF5A0F">
            <w:pPr>
              <w:jc w:val="right"/>
              <w:rPr>
                <w:rFonts w:cs="Arial"/>
                <w:color w:val="000000"/>
                <w:sz w:val="18"/>
                <w:szCs w:val="18"/>
              </w:rPr>
            </w:pPr>
            <w:r w:rsidRPr="000A7DCC">
              <w:rPr>
                <w:rFonts w:cs="Arial"/>
                <w:color w:val="000000"/>
                <w:sz w:val="18"/>
                <w:szCs w:val="18"/>
              </w:rPr>
              <w:t>$0</w:t>
            </w:r>
          </w:p>
        </w:tc>
        <w:tc>
          <w:tcPr>
            <w:tcW w:w="1322" w:type="dxa"/>
            <w:tcBorders>
              <w:top w:val="nil"/>
              <w:left w:val="nil"/>
              <w:bottom w:val="single" w:sz="8" w:space="0" w:color="auto"/>
              <w:right w:val="single" w:sz="8" w:space="0" w:color="auto"/>
            </w:tcBorders>
            <w:shd w:val="clear" w:color="auto" w:fill="auto"/>
            <w:noWrap/>
            <w:vAlign w:val="center"/>
            <w:hideMark/>
          </w:tcPr>
          <w:p w14:paraId="67D06B47" w14:textId="77777777" w:rsidR="001026D9" w:rsidRPr="000A7DCC" w:rsidRDefault="001026D9" w:rsidP="00CF5A0F">
            <w:pPr>
              <w:jc w:val="right"/>
              <w:rPr>
                <w:rFonts w:cs="Arial"/>
                <w:color w:val="000000"/>
                <w:sz w:val="18"/>
                <w:szCs w:val="18"/>
              </w:rPr>
            </w:pPr>
            <w:r w:rsidRPr="000A7DCC">
              <w:rPr>
                <w:rFonts w:cs="Arial"/>
                <w:color w:val="000000"/>
                <w:sz w:val="18"/>
                <w:szCs w:val="18"/>
              </w:rPr>
              <w:t>$2,833,090</w:t>
            </w:r>
          </w:p>
        </w:tc>
        <w:tc>
          <w:tcPr>
            <w:tcW w:w="1326" w:type="dxa"/>
            <w:tcBorders>
              <w:top w:val="nil"/>
              <w:left w:val="nil"/>
              <w:bottom w:val="single" w:sz="8" w:space="0" w:color="auto"/>
              <w:right w:val="single" w:sz="8" w:space="0" w:color="auto"/>
            </w:tcBorders>
            <w:shd w:val="clear" w:color="auto" w:fill="auto"/>
            <w:vAlign w:val="center"/>
            <w:hideMark/>
          </w:tcPr>
          <w:p w14:paraId="41B065A0" w14:textId="77777777" w:rsidR="001026D9" w:rsidRPr="000A7DCC" w:rsidRDefault="001026D9" w:rsidP="00CF5A0F">
            <w:pPr>
              <w:jc w:val="right"/>
              <w:rPr>
                <w:rFonts w:cs="Arial"/>
                <w:color w:val="000000"/>
                <w:sz w:val="18"/>
                <w:szCs w:val="18"/>
              </w:rPr>
            </w:pPr>
            <w:r w:rsidRPr="000A7DCC">
              <w:rPr>
                <w:rFonts w:cs="Arial"/>
                <w:color w:val="000000"/>
                <w:sz w:val="18"/>
                <w:szCs w:val="18"/>
              </w:rPr>
              <w:t>$2,833,090</w:t>
            </w:r>
          </w:p>
        </w:tc>
      </w:tr>
      <w:tr w:rsidR="001026D9" w:rsidRPr="000A7DCC" w14:paraId="4DB998D3" w14:textId="77777777" w:rsidTr="001026D9">
        <w:trPr>
          <w:trHeight w:val="269"/>
          <w:jc w:val="center"/>
        </w:trPr>
        <w:tc>
          <w:tcPr>
            <w:tcW w:w="1806" w:type="dxa"/>
            <w:tcBorders>
              <w:top w:val="nil"/>
              <w:left w:val="single" w:sz="8" w:space="0" w:color="auto"/>
              <w:bottom w:val="double" w:sz="6" w:space="0" w:color="auto"/>
              <w:right w:val="single" w:sz="8" w:space="0" w:color="auto"/>
            </w:tcBorders>
            <w:shd w:val="clear" w:color="auto" w:fill="auto"/>
            <w:noWrap/>
            <w:vAlign w:val="center"/>
            <w:hideMark/>
          </w:tcPr>
          <w:p w14:paraId="159084F4" w14:textId="77777777" w:rsidR="001026D9" w:rsidRPr="000A7DCC" w:rsidRDefault="001026D9" w:rsidP="00CF5A0F">
            <w:pPr>
              <w:rPr>
                <w:rFonts w:cs="Arial"/>
                <w:b/>
                <w:bCs/>
                <w:color w:val="000000"/>
                <w:sz w:val="18"/>
                <w:szCs w:val="18"/>
              </w:rPr>
            </w:pPr>
            <w:r w:rsidRPr="000A7DCC">
              <w:rPr>
                <w:rFonts w:cs="Arial"/>
                <w:b/>
                <w:bCs/>
                <w:color w:val="000000"/>
                <w:sz w:val="18"/>
                <w:szCs w:val="18"/>
              </w:rPr>
              <w:t>Total</w:t>
            </w:r>
          </w:p>
        </w:tc>
        <w:tc>
          <w:tcPr>
            <w:tcW w:w="1228" w:type="dxa"/>
            <w:tcBorders>
              <w:top w:val="nil"/>
              <w:left w:val="nil"/>
              <w:bottom w:val="double" w:sz="6" w:space="0" w:color="auto"/>
              <w:right w:val="single" w:sz="8" w:space="0" w:color="auto"/>
            </w:tcBorders>
            <w:shd w:val="clear" w:color="auto" w:fill="auto"/>
            <w:noWrap/>
            <w:vAlign w:val="center"/>
            <w:hideMark/>
          </w:tcPr>
          <w:p w14:paraId="64493318" w14:textId="77777777" w:rsidR="001026D9" w:rsidRPr="000A7DCC" w:rsidRDefault="001026D9" w:rsidP="00CF5A0F">
            <w:pPr>
              <w:jc w:val="right"/>
              <w:rPr>
                <w:rFonts w:cs="Arial"/>
                <w:b/>
                <w:bCs/>
                <w:color w:val="000000"/>
                <w:sz w:val="18"/>
                <w:szCs w:val="18"/>
              </w:rPr>
            </w:pPr>
            <w:r w:rsidRPr="000A7DCC">
              <w:rPr>
                <w:rFonts w:cs="Arial"/>
                <w:b/>
                <w:bCs/>
                <w:color w:val="000000"/>
                <w:sz w:val="18"/>
                <w:szCs w:val="18"/>
              </w:rPr>
              <w:t>$11,233,797</w:t>
            </w:r>
          </w:p>
        </w:tc>
        <w:tc>
          <w:tcPr>
            <w:tcW w:w="1231" w:type="dxa"/>
            <w:tcBorders>
              <w:top w:val="nil"/>
              <w:left w:val="nil"/>
              <w:bottom w:val="double" w:sz="6" w:space="0" w:color="auto"/>
              <w:right w:val="single" w:sz="8" w:space="0" w:color="auto"/>
            </w:tcBorders>
            <w:shd w:val="clear" w:color="auto" w:fill="auto"/>
            <w:noWrap/>
            <w:vAlign w:val="center"/>
            <w:hideMark/>
          </w:tcPr>
          <w:p w14:paraId="673A113C" w14:textId="77777777" w:rsidR="001026D9" w:rsidRPr="000A7DCC" w:rsidRDefault="001026D9" w:rsidP="00CF5A0F">
            <w:pPr>
              <w:jc w:val="right"/>
              <w:rPr>
                <w:rFonts w:cs="Arial"/>
                <w:b/>
                <w:bCs/>
                <w:color w:val="000000"/>
                <w:sz w:val="18"/>
                <w:szCs w:val="18"/>
              </w:rPr>
            </w:pPr>
            <w:r w:rsidRPr="000A7DCC">
              <w:rPr>
                <w:rFonts w:cs="Arial"/>
                <w:b/>
                <w:bCs/>
                <w:color w:val="000000"/>
                <w:sz w:val="18"/>
                <w:szCs w:val="18"/>
              </w:rPr>
              <w:t>$15,777,442</w:t>
            </w:r>
          </w:p>
        </w:tc>
        <w:tc>
          <w:tcPr>
            <w:tcW w:w="1229" w:type="dxa"/>
            <w:tcBorders>
              <w:top w:val="nil"/>
              <w:left w:val="nil"/>
              <w:bottom w:val="double" w:sz="6" w:space="0" w:color="auto"/>
              <w:right w:val="single" w:sz="8" w:space="0" w:color="auto"/>
            </w:tcBorders>
            <w:shd w:val="clear" w:color="auto" w:fill="auto"/>
            <w:noWrap/>
            <w:vAlign w:val="center"/>
            <w:hideMark/>
          </w:tcPr>
          <w:p w14:paraId="39B40BC1" w14:textId="77777777" w:rsidR="001026D9" w:rsidRPr="000A7DCC" w:rsidRDefault="001026D9" w:rsidP="00CF5A0F">
            <w:pPr>
              <w:jc w:val="right"/>
              <w:rPr>
                <w:rFonts w:cs="Arial"/>
                <w:b/>
                <w:bCs/>
                <w:color w:val="000000"/>
                <w:sz w:val="18"/>
                <w:szCs w:val="18"/>
              </w:rPr>
            </w:pPr>
            <w:r w:rsidRPr="000A7DCC">
              <w:rPr>
                <w:rFonts w:cs="Arial"/>
                <w:b/>
                <w:bCs/>
                <w:color w:val="000000"/>
                <w:sz w:val="18"/>
                <w:szCs w:val="18"/>
              </w:rPr>
              <w:t>$14,687,312</w:t>
            </w:r>
          </w:p>
        </w:tc>
        <w:tc>
          <w:tcPr>
            <w:tcW w:w="1230" w:type="dxa"/>
            <w:tcBorders>
              <w:top w:val="nil"/>
              <w:left w:val="nil"/>
              <w:bottom w:val="double" w:sz="6" w:space="0" w:color="auto"/>
              <w:right w:val="single" w:sz="8" w:space="0" w:color="auto"/>
            </w:tcBorders>
            <w:shd w:val="clear" w:color="auto" w:fill="auto"/>
            <w:noWrap/>
            <w:vAlign w:val="center"/>
            <w:hideMark/>
          </w:tcPr>
          <w:p w14:paraId="4B33C69A" w14:textId="77777777" w:rsidR="001026D9" w:rsidRPr="000A7DCC" w:rsidRDefault="001026D9" w:rsidP="00CF5A0F">
            <w:pPr>
              <w:jc w:val="right"/>
              <w:rPr>
                <w:rFonts w:cs="Arial"/>
                <w:b/>
                <w:bCs/>
                <w:color w:val="000000"/>
                <w:sz w:val="18"/>
                <w:szCs w:val="18"/>
              </w:rPr>
            </w:pPr>
            <w:r>
              <w:rPr>
                <w:rFonts w:cs="Arial"/>
                <w:b/>
                <w:bCs/>
                <w:color w:val="000000"/>
                <w:sz w:val="18"/>
                <w:szCs w:val="18"/>
              </w:rPr>
              <w:t>$17,164,356</w:t>
            </w:r>
          </w:p>
        </w:tc>
        <w:tc>
          <w:tcPr>
            <w:tcW w:w="1322" w:type="dxa"/>
            <w:tcBorders>
              <w:top w:val="nil"/>
              <w:left w:val="nil"/>
              <w:bottom w:val="double" w:sz="6" w:space="0" w:color="auto"/>
              <w:right w:val="single" w:sz="8" w:space="0" w:color="auto"/>
            </w:tcBorders>
            <w:shd w:val="clear" w:color="auto" w:fill="auto"/>
            <w:noWrap/>
            <w:vAlign w:val="center"/>
            <w:hideMark/>
          </w:tcPr>
          <w:p w14:paraId="1C56D378" w14:textId="77777777" w:rsidR="001026D9" w:rsidRPr="000A7DCC" w:rsidRDefault="001026D9" w:rsidP="00CF5A0F">
            <w:pPr>
              <w:jc w:val="right"/>
              <w:rPr>
                <w:rFonts w:cs="Arial"/>
                <w:b/>
                <w:bCs/>
                <w:color w:val="000000"/>
                <w:sz w:val="18"/>
                <w:szCs w:val="18"/>
              </w:rPr>
            </w:pPr>
            <w:r>
              <w:rPr>
                <w:rFonts w:cs="Arial"/>
                <w:b/>
                <w:bCs/>
                <w:color w:val="000000"/>
                <w:sz w:val="18"/>
                <w:szCs w:val="18"/>
              </w:rPr>
              <w:t>$23,251,265</w:t>
            </w:r>
          </w:p>
        </w:tc>
        <w:tc>
          <w:tcPr>
            <w:tcW w:w="1326" w:type="dxa"/>
            <w:tcBorders>
              <w:top w:val="nil"/>
              <w:left w:val="nil"/>
              <w:bottom w:val="double" w:sz="6" w:space="0" w:color="auto"/>
              <w:right w:val="single" w:sz="8" w:space="0" w:color="auto"/>
            </w:tcBorders>
            <w:shd w:val="clear" w:color="auto" w:fill="auto"/>
            <w:vAlign w:val="center"/>
            <w:hideMark/>
          </w:tcPr>
          <w:p w14:paraId="49FB6E0C" w14:textId="77777777" w:rsidR="001026D9" w:rsidRPr="000A7DCC" w:rsidRDefault="001026D9" w:rsidP="00CF5A0F">
            <w:pPr>
              <w:jc w:val="right"/>
              <w:rPr>
                <w:rFonts w:cs="Arial"/>
                <w:b/>
                <w:bCs/>
                <w:color w:val="000000"/>
                <w:sz w:val="18"/>
                <w:szCs w:val="18"/>
              </w:rPr>
            </w:pPr>
            <w:r>
              <w:rPr>
                <w:rFonts w:cs="Arial"/>
                <w:b/>
                <w:bCs/>
                <w:color w:val="000000"/>
                <w:sz w:val="18"/>
                <w:szCs w:val="18"/>
              </w:rPr>
              <w:t>$82,114,172</w:t>
            </w:r>
          </w:p>
        </w:tc>
      </w:tr>
      <w:tr w:rsidR="001026D9" w:rsidRPr="000A7DCC" w14:paraId="0497416F" w14:textId="77777777" w:rsidTr="001026D9">
        <w:trPr>
          <w:trHeight w:val="269"/>
          <w:jc w:val="center"/>
        </w:trPr>
        <w:tc>
          <w:tcPr>
            <w:tcW w:w="5494" w:type="dxa"/>
            <w:gridSpan w:val="4"/>
            <w:tcBorders>
              <w:top w:val="double" w:sz="6" w:space="0" w:color="auto"/>
              <w:left w:val="single" w:sz="8" w:space="0" w:color="auto"/>
              <w:bottom w:val="single" w:sz="8" w:space="0" w:color="auto"/>
              <w:right w:val="single" w:sz="8" w:space="0" w:color="000000"/>
            </w:tcBorders>
            <w:shd w:val="clear" w:color="000000" w:fill="FFFFFF"/>
            <w:noWrap/>
            <w:vAlign w:val="center"/>
            <w:hideMark/>
          </w:tcPr>
          <w:p w14:paraId="6428C804" w14:textId="77777777" w:rsidR="001026D9" w:rsidRPr="000A7DCC" w:rsidRDefault="001026D9" w:rsidP="00CF5A0F">
            <w:pPr>
              <w:rPr>
                <w:rFonts w:cs="Arial"/>
                <w:b/>
                <w:bCs/>
                <w:color w:val="000000"/>
                <w:sz w:val="18"/>
                <w:szCs w:val="18"/>
              </w:rPr>
            </w:pPr>
            <w:r w:rsidRPr="000A7DCC">
              <w:rPr>
                <w:rFonts w:cs="Arial"/>
                <w:b/>
                <w:bCs/>
                <w:color w:val="000000"/>
                <w:sz w:val="18"/>
                <w:szCs w:val="18"/>
              </w:rPr>
              <w:t>Estimated Unspent &amp; Uncommitted for 2020 Offset</w:t>
            </w:r>
          </w:p>
        </w:tc>
        <w:tc>
          <w:tcPr>
            <w:tcW w:w="1230" w:type="dxa"/>
            <w:tcBorders>
              <w:top w:val="nil"/>
              <w:left w:val="nil"/>
              <w:bottom w:val="single" w:sz="8" w:space="0" w:color="auto"/>
              <w:right w:val="single" w:sz="8" w:space="0" w:color="000000"/>
            </w:tcBorders>
            <w:shd w:val="clear" w:color="000000" w:fill="FFFFFF"/>
            <w:noWrap/>
            <w:vAlign w:val="center"/>
            <w:hideMark/>
          </w:tcPr>
          <w:p w14:paraId="0B8E3AD7" w14:textId="77777777" w:rsidR="001026D9" w:rsidRPr="000A7DCC" w:rsidRDefault="001026D9" w:rsidP="00CF5A0F">
            <w:pPr>
              <w:ind w:firstLineChars="100" w:firstLine="181"/>
              <w:rPr>
                <w:rFonts w:cs="Arial"/>
                <w:b/>
                <w:bCs/>
                <w:color w:val="000000"/>
                <w:sz w:val="18"/>
                <w:szCs w:val="18"/>
              </w:rPr>
            </w:pPr>
            <w:r w:rsidRPr="000A7DCC">
              <w:rPr>
                <w:rFonts w:cs="Arial"/>
                <w:b/>
                <w:bCs/>
                <w:color w:val="000000"/>
                <w:sz w:val="18"/>
                <w:szCs w:val="18"/>
              </w:rPr>
              <w:t> </w:t>
            </w:r>
          </w:p>
        </w:tc>
        <w:tc>
          <w:tcPr>
            <w:tcW w:w="1322" w:type="dxa"/>
            <w:tcBorders>
              <w:top w:val="nil"/>
              <w:left w:val="nil"/>
              <w:bottom w:val="single" w:sz="8" w:space="0" w:color="auto"/>
              <w:right w:val="single" w:sz="8" w:space="0" w:color="000000"/>
            </w:tcBorders>
            <w:shd w:val="clear" w:color="000000" w:fill="FFFFFF"/>
            <w:noWrap/>
            <w:vAlign w:val="center"/>
            <w:hideMark/>
          </w:tcPr>
          <w:p w14:paraId="6A740778" w14:textId="77777777" w:rsidR="001026D9" w:rsidRPr="000A7DCC" w:rsidRDefault="001026D9" w:rsidP="00CF5A0F">
            <w:pPr>
              <w:ind w:firstLineChars="100" w:firstLine="181"/>
              <w:rPr>
                <w:rFonts w:cs="Arial"/>
                <w:b/>
                <w:bCs/>
                <w:color w:val="000000"/>
                <w:sz w:val="18"/>
                <w:szCs w:val="18"/>
              </w:rPr>
            </w:pPr>
            <w:r w:rsidRPr="000A7DCC">
              <w:rPr>
                <w:rFonts w:cs="Arial"/>
                <w:b/>
                <w:bCs/>
                <w:color w:val="000000"/>
                <w:sz w:val="18"/>
                <w:szCs w:val="18"/>
              </w:rPr>
              <w:t> </w:t>
            </w:r>
          </w:p>
        </w:tc>
        <w:tc>
          <w:tcPr>
            <w:tcW w:w="1326" w:type="dxa"/>
            <w:tcBorders>
              <w:top w:val="nil"/>
              <w:left w:val="nil"/>
              <w:bottom w:val="single" w:sz="8" w:space="0" w:color="auto"/>
              <w:right w:val="single" w:sz="8" w:space="0" w:color="000000"/>
            </w:tcBorders>
            <w:shd w:val="clear" w:color="000000" w:fill="FFFFFF"/>
            <w:vAlign w:val="center"/>
            <w:hideMark/>
          </w:tcPr>
          <w:p w14:paraId="004F7DBC" w14:textId="77777777" w:rsidR="001026D9" w:rsidRPr="000A7DCC" w:rsidRDefault="001026D9" w:rsidP="00CF5A0F">
            <w:pPr>
              <w:ind w:firstLineChars="100" w:firstLine="181"/>
              <w:rPr>
                <w:rFonts w:cs="Arial"/>
                <w:b/>
                <w:bCs/>
                <w:color w:val="000000"/>
                <w:sz w:val="18"/>
                <w:szCs w:val="18"/>
              </w:rPr>
            </w:pPr>
            <w:r w:rsidRPr="000A7DCC">
              <w:rPr>
                <w:rFonts w:cs="Arial"/>
                <w:b/>
                <w:bCs/>
                <w:color w:val="000000"/>
                <w:sz w:val="18"/>
                <w:szCs w:val="18"/>
              </w:rPr>
              <w:t> </w:t>
            </w:r>
          </w:p>
        </w:tc>
      </w:tr>
      <w:tr w:rsidR="001026D9" w:rsidRPr="000A7DCC" w14:paraId="120597A9" w14:textId="77777777" w:rsidTr="001026D9">
        <w:trPr>
          <w:trHeight w:val="227"/>
          <w:jc w:val="center"/>
        </w:trPr>
        <w:tc>
          <w:tcPr>
            <w:tcW w:w="1806" w:type="dxa"/>
            <w:tcBorders>
              <w:top w:val="nil"/>
              <w:left w:val="single" w:sz="8" w:space="0" w:color="auto"/>
              <w:bottom w:val="single" w:sz="8" w:space="0" w:color="auto"/>
              <w:right w:val="single" w:sz="8" w:space="0" w:color="auto"/>
            </w:tcBorders>
            <w:shd w:val="clear" w:color="auto" w:fill="auto"/>
            <w:noWrap/>
            <w:vAlign w:val="center"/>
            <w:hideMark/>
          </w:tcPr>
          <w:p w14:paraId="39B5F247" w14:textId="77777777" w:rsidR="001026D9" w:rsidRPr="000A7DCC" w:rsidRDefault="001026D9" w:rsidP="00CF5A0F">
            <w:pPr>
              <w:rPr>
                <w:rFonts w:cs="Arial"/>
                <w:color w:val="000000"/>
                <w:sz w:val="18"/>
                <w:szCs w:val="18"/>
              </w:rPr>
            </w:pPr>
            <w:r w:rsidRPr="000A7DCC">
              <w:rPr>
                <w:rFonts w:cs="Arial"/>
                <w:color w:val="000000"/>
                <w:sz w:val="18"/>
                <w:szCs w:val="18"/>
              </w:rPr>
              <w:t>Utility Program Funds</w:t>
            </w:r>
          </w:p>
        </w:tc>
        <w:tc>
          <w:tcPr>
            <w:tcW w:w="1228" w:type="dxa"/>
            <w:tcBorders>
              <w:top w:val="nil"/>
              <w:left w:val="nil"/>
              <w:bottom w:val="single" w:sz="8" w:space="0" w:color="auto"/>
              <w:right w:val="single" w:sz="8" w:space="0" w:color="auto"/>
            </w:tcBorders>
            <w:shd w:val="clear" w:color="auto" w:fill="auto"/>
            <w:noWrap/>
            <w:vAlign w:val="center"/>
            <w:hideMark/>
          </w:tcPr>
          <w:p w14:paraId="141C636D" w14:textId="77777777" w:rsidR="001026D9" w:rsidRPr="000A7DCC" w:rsidRDefault="001026D9" w:rsidP="00CF5A0F">
            <w:pPr>
              <w:jc w:val="right"/>
              <w:rPr>
                <w:rFonts w:cs="Arial"/>
                <w:color w:val="000000"/>
                <w:sz w:val="18"/>
                <w:szCs w:val="18"/>
              </w:rPr>
            </w:pPr>
            <w:r w:rsidRPr="000A7DCC">
              <w:rPr>
                <w:rFonts w:cs="Arial"/>
                <w:color w:val="000000"/>
                <w:sz w:val="18"/>
                <w:szCs w:val="18"/>
              </w:rPr>
              <w:t>$0</w:t>
            </w:r>
          </w:p>
        </w:tc>
        <w:tc>
          <w:tcPr>
            <w:tcW w:w="1231" w:type="dxa"/>
            <w:tcBorders>
              <w:top w:val="nil"/>
              <w:left w:val="nil"/>
              <w:bottom w:val="single" w:sz="8" w:space="0" w:color="auto"/>
              <w:right w:val="single" w:sz="8" w:space="0" w:color="auto"/>
            </w:tcBorders>
            <w:shd w:val="clear" w:color="auto" w:fill="auto"/>
            <w:noWrap/>
            <w:vAlign w:val="center"/>
            <w:hideMark/>
          </w:tcPr>
          <w:p w14:paraId="201F00D3" w14:textId="77777777" w:rsidR="001026D9" w:rsidRPr="000A7DCC" w:rsidRDefault="001026D9" w:rsidP="00CF5A0F">
            <w:pPr>
              <w:jc w:val="right"/>
              <w:rPr>
                <w:rFonts w:cs="Arial"/>
                <w:color w:val="000000"/>
                <w:sz w:val="18"/>
                <w:szCs w:val="18"/>
              </w:rPr>
            </w:pPr>
            <w:r w:rsidRPr="000A7DCC">
              <w:rPr>
                <w:rFonts w:cs="Arial"/>
                <w:color w:val="000000"/>
                <w:sz w:val="18"/>
                <w:szCs w:val="18"/>
              </w:rPr>
              <w:t>$0</w:t>
            </w:r>
          </w:p>
        </w:tc>
        <w:tc>
          <w:tcPr>
            <w:tcW w:w="1229" w:type="dxa"/>
            <w:tcBorders>
              <w:top w:val="nil"/>
              <w:left w:val="nil"/>
              <w:bottom w:val="single" w:sz="8" w:space="0" w:color="auto"/>
              <w:right w:val="single" w:sz="8" w:space="0" w:color="auto"/>
            </w:tcBorders>
            <w:shd w:val="clear" w:color="auto" w:fill="auto"/>
            <w:noWrap/>
            <w:vAlign w:val="center"/>
            <w:hideMark/>
          </w:tcPr>
          <w:p w14:paraId="606F6947" w14:textId="77777777" w:rsidR="001026D9" w:rsidRPr="000A7DCC" w:rsidRDefault="001026D9" w:rsidP="00CF5A0F">
            <w:pPr>
              <w:jc w:val="right"/>
              <w:rPr>
                <w:rFonts w:cs="Arial"/>
                <w:color w:val="000000"/>
                <w:sz w:val="18"/>
                <w:szCs w:val="18"/>
              </w:rPr>
            </w:pPr>
            <w:r w:rsidRPr="000A7DCC">
              <w:rPr>
                <w:rFonts w:cs="Arial"/>
                <w:color w:val="000000"/>
                <w:sz w:val="18"/>
                <w:szCs w:val="18"/>
              </w:rPr>
              <w:t>$0</w:t>
            </w:r>
          </w:p>
        </w:tc>
        <w:tc>
          <w:tcPr>
            <w:tcW w:w="1230" w:type="dxa"/>
            <w:tcBorders>
              <w:top w:val="nil"/>
              <w:left w:val="nil"/>
              <w:bottom w:val="single" w:sz="8" w:space="0" w:color="auto"/>
              <w:right w:val="single" w:sz="8" w:space="0" w:color="auto"/>
            </w:tcBorders>
            <w:shd w:val="clear" w:color="auto" w:fill="auto"/>
            <w:noWrap/>
            <w:vAlign w:val="center"/>
            <w:hideMark/>
          </w:tcPr>
          <w:p w14:paraId="2D26C5B3" w14:textId="77777777" w:rsidR="001026D9" w:rsidRPr="000A7DCC" w:rsidRDefault="001026D9" w:rsidP="00CF5A0F">
            <w:pPr>
              <w:jc w:val="right"/>
              <w:rPr>
                <w:rFonts w:cs="Arial"/>
                <w:color w:val="000000"/>
                <w:sz w:val="18"/>
                <w:szCs w:val="18"/>
              </w:rPr>
            </w:pPr>
            <w:r w:rsidRPr="000A7DCC">
              <w:rPr>
                <w:rFonts w:cs="Arial"/>
                <w:color w:val="000000"/>
                <w:sz w:val="18"/>
                <w:szCs w:val="18"/>
              </w:rPr>
              <w:t>$0</w:t>
            </w:r>
          </w:p>
        </w:tc>
        <w:tc>
          <w:tcPr>
            <w:tcW w:w="1322" w:type="dxa"/>
            <w:tcBorders>
              <w:top w:val="nil"/>
              <w:left w:val="nil"/>
              <w:bottom w:val="single" w:sz="8" w:space="0" w:color="auto"/>
              <w:right w:val="single" w:sz="8" w:space="0" w:color="auto"/>
            </w:tcBorders>
            <w:shd w:val="clear" w:color="auto" w:fill="auto"/>
            <w:noWrap/>
            <w:vAlign w:val="center"/>
            <w:hideMark/>
          </w:tcPr>
          <w:p w14:paraId="437B3600" w14:textId="77777777" w:rsidR="001026D9" w:rsidRPr="000A7DCC" w:rsidRDefault="001026D9" w:rsidP="00CF5A0F">
            <w:pPr>
              <w:jc w:val="right"/>
              <w:rPr>
                <w:rFonts w:cs="Arial"/>
                <w:color w:val="000000"/>
                <w:sz w:val="18"/>
                <w:szCs w:val="18"/>
              </w:rPr>
            </w:pPr>
            <w:r w:rsidRPr="000A7DCC">
              <w:rPr>
                <w:rFonts w:cs="Arial"/>
                <w:color w:val="000000"/>
                <w:sz w:val="18"/>
                <w:szCs w:val="18"/>
              </w:rPr>
              <w:t>$13,324,000</w:t>
            </w:r>
          </w:p>
        </w:tc>
        <w:tc>
          <w:tcPr>
            <w:tcW w:w="1326" w:type="dxa"/>
            <w:tcBorders>
              <w:top w:val="nil"/>
              <w:left w:val="nil"/>
              <w:bottom w:val="single" w:sz="8" w:space="0" w:color="auto"/>
              <w:right w:val="single" w:sz="8" w:space="0" w:color="auto"/>
            </w:tcBorders>
            <w:shd w:val="clear" w:color="auto" w:fill="auto"/>
            <w:vAlign w:val="center"/>
            <w:hideMark/>
          </w:tcPr>
          <w:p w14:paraId="68D36CE6" w14:textId="77777777" w:rsidR="001026D9" w:rsidRPr="000A7DCC" w:rsidRDefault="001026D9" w:rsidP="00CF5A0F">
            <w:pPr>
              <w:jc w:val="right"/>
              <w:rPr>
                <w:rFonts w:cs="Arial"/>
                <w:color w:val="000000"/>
                <w:sz w:val="18"/>
                <w:szCs w:val="18"/>
              </w:rPr>
            </w:pPr>
            <w:r w:rsidRPr="000A7DCC">
              <w:rPr>
                <w:rFonts w:cs="Arial"/>
                <w:color w:val="000000"/>
                <w:sz w:val="18"/>
                <w:szCs w:val="18"/>
              </w:rPr>
              <w:t>$13,324,000</w:t>
            </w:r>
          </w:p>
        </w:tc>
      </w:tr>
      <w:tr w:rsidR="001026D9" w:rsidRPr="000A7DCC" w14:paraId="109DCD33" w14:textId="77777777" w:rsidTr="001026D9">
        <w:trPr>
          <w:trHeight w:val="248"/>
          <w:jc w:val="center"/>
        </w:trPr>
        <w:tc>
          <w:tcPr>
            <w:tcW w:w="9372" w:type="dxa"/>
            <w:gridSpan w:val="7"/>
            <w:tcBorders>
              <w:top w:val="single" w:sz="8" w:space="0" w:color="auto"/>
              <w:left w:val="nil"/>
              <w:bottom w:val="nil"/>
              <w:right w:val="nil"/>
            </w:tcBorders>
            <w:shd w:val="clear" w:color="auto" w:fill="auto"/>
            <w:noWrap/>
            <w:vAlign w:val="bottom"/>
            <w:hideMark/>
          </w:tcPr>
          <w:p w14:paraId="7B97FBA4" w14:textId="77777777" w:rsidR="001026D9" w:rsidRPr="000A7DCC" w:rsidRDefault="001026D9" w:rsidP="00CF5A0F">
            <w:pPr>
              <w:rPr>
                <w:rFonts w:ascii="Calibri" w:hAnsi="Calibri" w:cs="Calibri"/>
                <w:color w:val="000000"/>
                <w:sz w:val="18"/>
                <w:szCs w:val="18"/>
              </w:rPr>
            </w:pPr>
            <w:r w:rsidRPr="000A7DCC">
              <w:rPr>
                <w:rFonts w:ascii="Calibri" w:hAnsi="Calibri" w:cs="Calibri"/>
                <w:color w:val="000000"/>
                <w:sz w:val="18"/>
                <w:szCs w:val="18"/>
              </w:rPr>
              <w:t xml:space="preserve"> [1</w:t>
            </w:r>
            <w:proofErr w:type="gramStart"/>
            <w:r w:rsidRPr="000A7DCC">
              <w:rPr>
                <w:rFonts w:ascii="Calibri" w:hAnsi="Calibri" w:cs="Calibri"/>
                <w:color w:val="000000"/>
                <w:sz w:val="18"/>
                <w:szCs w:val="18"/>
              </w:rPr>
              <w:t>]  Includes</w:t>
            </w:r>
            <w:proofErr w:type="gramEnd"/>
            <w:r w:rsidRPr="000A7DCC">
              <w:rPr>
                <w:rFonts w:ascii="Calibri" w:hAnsi="Calibri" w:cs="Calibri"/>
                <w:color w:val="000000"/>
                <w:sz w:val="18"/>
                <w:szCs w:val="18"/>
              </w:rPr>
              <w:t xml:space="preserve"> unspent funds from the CPUC ($40.7 million) and PG&amp;E ($11.8 million) </w:t>
            </w:r>
          </w:p>
        </w:tc>
      </w:tr>
      <w:tr w:rsidR="001026D9" w:rsidRPr="000A7DCC" w14:paraId="75F96272" w14:textId="77777777" w:rsidTr="001026D9">
        <w:trPr>
          <w:trHeight w:val="196"/>
          <w:jc w:val="center"/>
        </w:trPr>
        <w:tc>
          <w:tcPr>
            <w:tcW w:w="9372" w:type="dxa"/>
            <w:gridSpan w:val="7"/>
            <w:tcBorders>
              <w:top w:val="nil"/>
              <w:left w:val="nil"/>
              <w:bottom w:val="nil"/>
              <w:right w:val="nil"/>
            </w:tcBorders>
            <w:shd w:val="clear" w:color="auto" w:fill="auto"/>
            <w:noWrap/>
            <w:vAlign w:val="bottom"/>
            <w:hideMark/>
          </w:tcPr>
          <w:p w14:paraId="10D5D281" w14:textId="77777777" w:rsidR="001026D9" w:rsidRPr="000A7DCC" w:rsidRDefault="001026D9" w:rsidP="00CF5A0F">
            <w:pPr>
              <w:rPr>
                <w:rFonts w:ascii="Calibri" w:hAnsi="Calibri" w:cs="Calibri"/>
                <w:color w:val="000000"/>
                <w:sz w:val="18"/>
                <w:szCs w:val="18"/>
              </w:rPr>
            </w:pPr>
            <w:r w:rsidRPr="000A7DCC">
              <w:rPr>
                <w:rFonts w:ascii="Calibri" w:hAnsi="Calibri" w:cs="Calibri"/>
                <w:color w:val="000000"/>
                <w:sz w:val="18"/>
                <w:szCs w:val="18"/>
              </w:rPr>
              <w:t xml:space="preserve"> [2] 2017, 2018 &amp; 2019 committed funds were authorized in AL 3904-G/5175-E, approved effective December 3, 2017. </w:t>
            </w:r>
          </w:p>
        </w:tc>
      </w:tr>
    </w:tbl>
    <w:p w14:paraId="476C5CC0" w14:textId="77777777" w:rsidR="001026D9" w:rsidRPr="00FA78B5" w:rsidRDefault="001026D9" w:rsidP="009778EA">
      <w:pPr>
        <w:pStyle w:val="ListParagraph"/>
        <w:numPr>
          <w:ilvl w:val="0"/>
          <w:numId w:val="31"/>
        </w:numPr>
        <w:overflowPunct/>
        <w:autoSpaceDE/>
        <w:autoSpaceDN/>
        <w:adjustRightInd/>
        <w:spacing w:after="200"/>
        <w:ind w:left="1170"/>
        <w:jc w:val="both"/>
        <w:textAlignment w:val="auto"/>
        <w:rPr>
          <w:rFonts w:cs="Arial"/>
          <w:b/>
          <w:szCs w:val="24"/>
        </w:rPr>
      </w:pPr>
      <w:r w:rsidRPr="00FA78B5">
        <w:rPr>
          <w:b/>
          <w:color w:val="000000"/>
          <w:szCs w:val="24"/>
        </w:rPr>
        <w:lastRenderedPageBreak/>
        <w:t>PG&amp;E’s MCE Sub-Account Prior Years’ Unspent Funds</w:t>
      </w:r>
    </w:p>
    <w:p w14:paraId="232F0AD8" w14:textId="77777777" w:rsidR="001026D9" w:rsidRDefault="001026D9" w:rsidP="001026D9">
      <w:pPr>
        <w:jc w:val="both"/>
        <w:rPr>
          <w:rFonts w:cs="Arial"/>
          <w:szCs w:val="24"/>
        </w:rPr>
      </w:pPr>
      <w:r w:rsidRPr="00E1353A">
        <w:rPr>
          <w:rFonts w:cs="Arial"/>
          <w:szCs w:val="24"/>
        </w:rPr>
        <w:t>In D.14-10-046, the Commission instructed PG&amp;E to offset MCE’s unspent funds against payments to be made to MCE under its authorized electric EE portfolio budget</w:t>
      </w:r>
      <w:r>
        <w:rPr>
          <w:rFonts w:cs="Arial"/>
          <w:szCs w:val="24"/>
        </w:rPr>
        <w:t xml:space="preserve">.  As of June 30, 2019, PG&amp;E estimates that all of MCE’s 2019 electric funds (authorized in ABAL 33-E and supplements) will be paid to MCE by the end of 2019. </w:t>
      </w:r>
    </w:p>
    <w:p w14:paraId="2D5DEE0C" w14:textId="6E851560" w:rsidR="001026D9" w:rsidRDefault="001026D9" w:rsidP="002814DA"/>
    <w:p w14:paraId="45DBE6BC" w14:textId="77777777" w:rsidR="00DC3E9B" w:rsidRPr="00DC3E9B" w:rsidRDefault="00DC3E9B" w:rsidP="002814DA">
      <w:pPr>
        <w:ind w:left="360"/>
      </w:pPr>
    </w:p>
    <w:p w14:paraId="03873233" w14:textId="7D8F2F6B" w:rsidR="008E6649" w:rsidRPr="00740F34" w:rsidRDefault="0006038B" w:rsidP="0092145B">
      <w:pPr>
        <w:pStyle w:val="Heading2"/>
        <w:numPr>
          <w:ilvl w:val="0"/>
          <w:numId w:val="7"/>
        </w:numPr>
        <w:rPr>
          <w:color w:val="000000"/>
        </w:rPr>
      </w:pPr>
      <w:r>
        <w:t>2020</w:t>
      </w:r>
      <w:r w:rsidR="00A46933">
        <w:rPr>
          <w:color w:val="000000"/>
        </w:rPr>
        <w:t xml:space="preserve"> </w:t>
      </w:r>
      <w:r w:rsidR="008E6649" w:rsidRPr="00740F34">
        <w:rPr>
          <w:color w:val="000000"/>
        </w:rPr>
        <w:t>Program</w:t>
      </w:r>
      <w:r w:rsidR="00685585">
        <w:rPr>
          <w:color w:val="000000"/>
        </w:rPr>
        <w:t xml:space="preserve"> </w:t>
      </w:r>
      <w:r w:rsidR="00A46933">
        <w:rPr>
          <w:color w:val="000000"/>
        </w:rPr>
        <w:t>Change</w:t>
      </w:r>
      <w:r w:rsidR="008E6649" w:rsidRPr="00740F34">
        <w:rPr>
          <w:color w:val="000000"/>
        </w:rPr>
        <w:t>s</w:t>
      </w:r>
    </w:p>
    <w:p w14:paraId="749D86CC" w14:textId="77777777" w:rsidR="008E6649" w:rsidRDefault="008E6649" w:rsidP="00150AC1">
      <w:pPr>
        <w:jc w:val="both"/>
        <w:rPr>
          <w:b/>
        </w:rPr>
      </w:pPr>
    </w:p>
    <w:p w14:paraId="43E04138" w14:textId="0DF8B0AB" w:rsidR="008A0E5F" w:rsidRPr="00A35C32" w:rsidRDefault="005B578E" w:rsidP="00F45A0B">
      <w:r w:rsidRPr="00A35C32">
        <w:t>This</w:t>
      </w:r>
      <w:r w:rsidR="008E6649" w:rsidRPr="00A35C32">
        <w:t xml:space="preserve"> section</w:t>
      </w:r>
      <w:r w:rsidRPr="00A35C32">
        <w:t xml:space="preserve"> </w:t>
      </w:r>
      <w:r w:rsidR="008E6649" w:rsidRPr="00A35C32">
        <w:t>identifies changes to PG&amp;E’s proposed programmatic activity in compliance with the R</w:t>
      </w:r>
      <w:r w:rsidR="00A90A86" w:rsidRPr="00A35C32">
        <w:t xml:space="preserve">olling </w:t>
      </w:r>
      <w:r w:rsidR="008E6649" w:rsidRPr="00A35C32">
        <w:t>P</w:t>
      </w:r>
      <w:r w:rsidR="00A90A86" w:rsidRPr="00A35C32">
        <w:t>ortfolio</w:t>
      </w:r>
      <w:r w:rsidR="008E6649" w:rsidRPr="00A35C32">
        <w:t xml:space="preserve"> Decision</w:t>
      </w:r>
      <w:r w:rsidR="003A7CCF" w:rsidRPr="009778EA">
        <w:rPr>
          <w:vertAlign w:val="superscript"/>
        </w:rPr>
        <w:footnoteReference w:id="13"/>
      </w:r>
      <w:r w:rsidR="003A7CCF" w:rsidRPr="00A35C32">
        <w:t xml:space="preserve"> </w:t>
      </w:r>
      <w:r w:rsidR="004F383A" w:rsidRPr="00A35C32">
        <w:t xml:space="preserve">and </w:t>
      </w:r>
      <w:r w:rsidR="00675406" w:rsidRPr="00A35C32">
        <w:t>Business Plan</w:t>
      </w:r>
      <w:r w:rsidR="004F383A" w:rsidRPr="00A35C32">
        <w:t xml:space="preserve"> Decision.</w:t>
      </w:r>
      <w:r w:rsidR="004F383A" w:rsidRPr="009778EA">
        <w:rPr>
          <w:vertAlign w:val="superscript"/>
        </w:rPr>
        <w:footnoteReference w:id="14"/>
      </w:r>
      <w:r w:rsidR="00F31737" w:rsidRPr="00A35C32">
        <w:t xml:space="preserve"> </w:t>
      </w:r>
      <w:r w:rsidR="00A70A3F" w:rsidRPr="00A35C32">
        <w:t>PG&amp;E’s 2020 portfolio forecast represents significant budget adjustments to</w:t>
      </w:r>
      <w:r w:rsidR="005B4D78">
        <w:t xml:space="preserve"> </w:t>
      </w:r>
      <w:r w:rsidR="00A70A3F" w:rsidRPr="00A35C32">
        <w:t>existing programs</w:t>
      </w:r>
      <w:r w:rsidR="005B4D78">
        <w:t xml:space="preserve"> across the portfolio sectors</w:t>
      </w:r>
      <w:r w:rsidR="00A70A3F" w:rsidRPr="00A35C32">
        <w:t>. These budget adjustments are</w:t>
      </w:r>
      <w:r w:rsidR="0006038B" w:rsidRPr="00A35C32">
        <w:t xml:space="preserve"> subject to change, pending the results of </w:t>
      </w:r>
      <w:r w:rsidR="007C472C" w:rsidRPr="00A35C32">
        <w:t xml:space="preserve">the </w:t>
      </w:r>
      <w:r w:rsidR="0006038B" w:rsidRPr="00A35C32">
        <w:t xml:space="preserve">solicitations </w:t>
      </w:r>
      <w:r w:rsidR="007C472C" w:rsidRPr="00A35C32">
        <w:t xml:space="preserve">process </w:t>
      </w:r>
      <w:r w:rsidR="007A535F" w:rsidRPr="00A35C32">
        <w:t>that will continue through 2019 and 2020</w:t>
      </w:r>
      <w:r w:rsidR="00A70A3F" w:rsidRPr="00A35C32">
        <w:t xml:space="preserve"> and subsequent contract negotiations. Budget reductions were driven by the removal of sunset measures (largely lighting) and the associated incentive budgets, as well as budget reductions necessary to make room for sector-level third-party program placeholders. </w:t>
      </w:r>
    </w:p>
    <w:p w14:paraId="18D363F3" w14:textId="77777777" w:rsidR="008A0E5F" w:rsidRPr="00A35C32" w:rsidRDefault="008A0E5F" w:rsidP="00F45A0B"/>
    <w:p w14:paraId="2AD8D08D" w14:textId="48CBCE95" w:rsidR="0006038B" w:rsidRPr="00A35C32" w:rsidRDefault="008A0E5F" w:rsidP="00F45A0B">
      <w:r w:rsidRPr="00A35C32">
        <w:t>While the 2020 budget assumptions in this advice letter are subject to change, PG&amp;E’s 2020 program budgets will be finalized through the third-party solicitation portfolio balancing process</w:t>
      </w:r>
      <w:r w:rsidR="005B4D78">
        <w:t xml:space="preserve"> described in Section C</w:t>
      </w:r>
      <w:r w:rsidRPr="00A35C32">
        <w:t xml:space="preserve">. In this process, new programs </w:t>
      </w:r>
      <w:r w:rsidR="005B4D78">
        <w:t xml:space="preserve">across sectors </w:t>
      </w:r>
      <w:r w:rsidRPr="00A35C32">
        <w:t xml:space="preserve">will be selected for inclusion into the portfolio and existing programs will be reviewed for continuation, modification, or closure. This process will result in contract negotiations that will determine final 2020 program budgets. The portfolio balancing activities, and subsequent contract negotiations, are dependent on the scope of new third-party programs that are reviewed and selected. Given the solicitations schedule, the scope of these new programs is uncertain at the time of this 2020 EE budget advice letter filing. </w:t>
      </w:r>
    </w:p>
    <w:p w14:paraId="67665721" w14:textId="77777777" w:rsidR="0006038B" w:rsidRPr="00A35C32" w:rsidRDefault="0006038B" w:rsidP="00F45A0B"/>
    <w:p w14:paraId="0BA7E896" w14:textId="20A5472F" w:rsidR="006A5BEE" w:rsidRPr="00A35C32" w:rsidRDefault="008A0E5F" w:rsidP="00F45A0B">
      <w:r w:rsidRPr="00A35C32">
        <w:t xml:space="preserve">Despite the uncertainties of 2020 program budgets resulting from solicitations, </w:t>
      </w:r>
      <w:r w:rsidR="00E5180D" w:rsidRPr="00A35C32">
        <w:t>PG&amp;E</w:t>
      </w:r>
      <w:r w:rsidRPr="00A35C32">
        <w:t xml:space="preserve"> has developed the 2020 budget presented in this advice letter using the best information that is currently available. The</w:t>
      </w:r>
      <w:r w:rsidR="00A82C13" w:rsidRPr="00A35C32">
        <w:t xml:space="preserve"> </w:t>
      </w:r>
      <w:r w:rsidR="00443994" w:rsidRPr="00A35C32">
        <w:t>2020</w:t>
      </w:r>
      <w:r w:rsidR="00A82C13" w:rsidRPr="00A35C32">
        <w:t xml:space="preserve"> budget allocation</w:t>
      </w:r>
      <w:r w:rsidRPr="00A35C32">
        <w:t xml:space="preserve"> in this advice letter</w:t>
      </w:r>
      <w:r w:rsidR="00A82C13" w:rsidRPr="00A35C32">
        <w:t xml:space="preserve"> represents a</w:t>
      </w:r>
      <w:r w:rsidR="003D7972" w:rsidRPr="00A35C32">
        <w:t xml:space="preserve"> </w:t>
      </w:r>
      <w:r w:rsidR="00771F4E" w:rsidRPr="00A35C32">
        <w:t>17</w:t>
      </w:r>
      <w:r w:rsidR="003D7972" w:rsidRPr="00A35C32">
        <w:t xml:space="preserve">% </w:t>
      </w:r>
      <w:r w:rsidR="00A82C13" w:rsidRPr="00A35C32">
        <w:t>drop</w:t>
      </w:r>
      <w:r w:rsidR="003D7972" w:rsidRPr="00A35C32">
        <w:t xml:space="preserve"> from </w:t>
      </w:r>
      <w:r w:rsidR="00C221EE" w:rsidRPr="00A35C32">
        <w:t xml:space="preserve">its </w:t>
      </w:r>
      <w:r w:rsidR="003D7972" w:rsidRPr="00A35C32">
        <w:t>201</w:t>
      </w:r>
      <w:r w:rsidR="007A535F" w:rsidRPr="00A35C32">
        <w:t>9</w:t>
      </w:r>
      <w:r w:rsidR="00C221EE" w:rsidRPr="00A35C32">
        <w:t xml:space="preserve"> ABAL budget</w:t>
      </w:r>
      <w:r w:rsidR="003D7972" w:rsidRPr="00A35C32">
        <w:t xml:space="preserve">, with </w:t>
      </w:r>
      <w:r w:rsidR="00E5180D" w:rsidRPr="00A35C32">
        <w:t xml:space="preserve">reductions </w:t>
      </w:r>
      <w:r w:rsidR="003D7972" w:rsidRPr="00A35C32">
        <w:t xml:space="preserve">across multiple sectors. </w:t>
      </w:r>
    </w:p>
    <w:p w14:paraId="6D7829FE" w14:textId="77777777" w:rsidR="00456074" w:rsidRPr="00C57748" w:rsidRDefault="00456074" w:rsidP="00F45A0B">
      <w:pPr>
        <w:rPr>
          <w:b/>
        </w:rPr>
      </w:pPr>
      <w:bookmarkStart w:id="4" w:name="_Hlk522623066"/>
    </w:p>
    <w:bookmarkEnd w:id="4"/>
    <w:p w14:paraId="247CAB44" w14:textId="3E5B276F" w:rsidR="00A72252" w:rsidRDefault="00A72252" w:rsidP="00150AC1">
      <w:pPr>
        <w:jc w:val="both"/>
        <w:rPr>
          <w:color w:val="000000"/>
        </w:rPr>
      </w:pPr>
    </w:p>
    <w:p w14:paraId="3D26F490" w14:textId="1B183213" w:rsidR="00AD0BF9" w:rsidRPr="00740F34" w:rsidRDefault="009778EA" w:rsidP="0044476C">
      <w:pPr>
        <w:pStyle w:val="Heading2"/>
        <w:ind w:left="360"/>
        <w:rPr>
          <w:color w:val="000000"/>
        </w:rPr>
      </w:pPr>
      <w:r>
        <w:t>G</w:t>
      </w:r>
      <w:r w:rsidR="00AE50FC">
        <w:t xml:space="preserve">. </w:t>
      </w:r>
      <w:r w:rsidR="00AD0BF9" w:rsidRPr="00B103F1">
        <w:t>EM&amp;V</w:t>
      </w:r>
    </w:p>
    <w:p w14:paraId="1A811F7E" w14:textId="77777777" w:rsidR="00AD0BF9" w:rsidRDefault="00AD0BF9" w:rsidP="00AD0BF9">
      <w:pPr>
        <w:jc w:val="both"/>
        <w:rPr>
          <w:color w:val="000000"/>
        </w:rPr>
      </w:pPr>
    </w:p>
    <w:p w14:paraId="5689EDA7" w14:textId="44147A70" w:rsidR="00286406" w:rsidRPr="009F2500" w:rsidRDefault="00013513" w:rsidP="00AD0BF9">
      <w:pPr>
        <w:jc w:val="both"/>
        <w:rPr>
          <w:color w:val="000000"/>
        </w:rPr>
      </w:pPr>
      <w:r>
        <w:rPr>
          <w:color w:val="000000"/>
        </w:rPr>
        <w:t>PG&amp;E proposes a</w:t>
      </w:r>
      <w:r w:rsidR="00517612">
        <w:rPr>
          <w:color w:val="000000"/>
        </w:rPr>
        <w:t xml:space="preserve"> PG&amp;E</w:t>
      </w:r>
      <w:r>
        <w:rPr>
          <w:color w:val="000000"/>
        </w:rPr>
        <w:t xml:space="preserve"> EM&amp;V </w:t>
      </w:r>
      <w:r w:rsidRPr="009F2500">
        <w:rPr>
          <w:color w:val="000000"/>
        </w:rPr>
        <w:t>budget of $</w:t>
      </w:r>
      <w:r w:rsidR="00F268A7" w:rsidRPr="009F2500">
        <w:rPr>
          <w:color w:val="000000"/>
        </w:rPr>
        <w:t>10,</w:t>
      </w:r>
      <w:r w:rsidR="00F87348" w:rsidRPr="009F2500">
        <w:rPr>
          <w:color w:val="000000"/>
        </w:rPr>
        <w:t>269</w:t>
      </w:r>
      <w:r w:rsidR="00F268A7" w:rsidRPr="009F2500">
        <w:rPr>
          <w:color w:val="000000"/>
        </w:rPr>
        <w:t>,</w:t>
      </w:r>
      <w:r w:rsidR="00F87348" w:rsidRPr="009F2500">
        <w:rPr>
          <w:color w:val="000000"/>
        </w:rPr>
        <w:t>083</w:t>
      </w:r>
      <w:r w:rsidR="002566DF" w:rsidRPr="009F2500">
        <w:rPr>
          <w:color w:val="000000"/>
        </w:rPr>
        <w:t>,</w:t>
      </w:r>
      <w:r w:rsidR="0097625B" w:rsidRPr="009F2500">
        <w:rPr>
          <w:color w:val="000000"/>
        </w:rPr>
        <w:t xml:space="preserve"> </w:t>
      </w:r>
      <w:r w:rsidR="00AD0BF9" w:rsidRPr="009F2500">
        <w:rPr>
          <w:color w:val="000000"/>
        </w:rPr>
        <w:t xml:space="preserve">consistent with the 4% EM&amp;V budget cap originally </w:t>
      </w:r>
      <w:r w:rsidR="00F90B22" w:rsidRPr="009F2500">
        <w:rPr>
          <w:color w:val="000000"/>
        </w:rPr>
        <w:t xml:space="preserve">adopted in D.09-09-047 and further reviewed and </w:t>
      </w:r>
      <w:r w:rsidR="005D0CD8" w:rsidRPr="009F2500">
        <w:rPr>
          <w:color w:val="000000"/>
        </w:rPr>
        <w:t>upheld</w:t>
      </w:r>
      <w:r w:rsidR="00F90B22" w:rsidRPr="009F2500">
        <w:rPr>
          <w:color w:val="000000"/>
        </w:rPr>
        <w:t xml:space="preserve"> in </w:t>
      </w:r>
      <w:r w:rsidR="00F90B22" w:rsidRPr="009F2500">
        <w:rPr>
          <w:color w:val="000000"/>
        </w:rPr>
        <w:lastRenderedPageBreak/>
        <w:t>subsequent EE budget Decisions</w:t>
      </w:r>
      <w:r w:rsidR="00622638" w:rsidRPr="009F2500">
        <w:rPr>
          <w:color w:val="000000"/>
        </w:rPr>
        <w:t>.</w:t>
      </w:r>
      <w:r w:rsidR="00F90B22" w:rsidRPr="009F2500">
        <w:rPr>
          <w:rStyle w:val="FootnoteReference"/>
          <w:color w:val="000000"/>
        </w:rPr>
        <w:footnoteReference w:id="15"/>
      </w:r>
      <w:r w:rsidR="00F90B22" w:rsidRPr="009F2500">
        <w:rPr>
          <w:color w:val="000000"/>
        </w:rPr>
        <w:t xml:space="preserve"> </w:t>
      </w:r>
      <w:r w:rsidR="00517612" w:rsidRPr="009F2500">
        <w:rPr>
          <w:color w:val="000000"/>
        </w:rPr>
        <w:t xml:space="preserve">Following that same guidance, Table </w:t>
      </w:r>
      <w:r w:rsidR="006846A9" w:rsidRPr="009F2500">
        <w:rPr>
          <w:color w:val="000000"/>
        </w:rPr>
        <w:t xml:space="preserve">6 </w:t>
      </w:r>
      <w:r w:rsidR="00517612" w:rsidRPr="009F2500">
        <w:rPr>
          <w:color w:val="000000"/>
        </w:rPr>
        <w:t>reflects the 4% EM&amp;V budget cap for each of the program administrators</w:t>
      </w:r>
      <w:r w:rsidR="00957522">
        <w:rPr>
          <w:color w:val="000000"/>
        </w:rPr>
        <w:t>.</w:t>
      </w:r>
    </w:p>
    <w:p w14:paraId="6AA13908" w14:textId="77777777" w:rsidR="00AD0BF9" w:rsidRPr="009F2500" w:rsidRDefault="00AD0BF9" w:rsidP="00AD0BF9">
      <w:pPr>
        <w:jc w:val="both"/>
        <w:rPr>
          <w:color w:val="000000"/>
        </w:rPr>
      </w:pPr>
    </w:p>
    <w:p w14:paraId="3A3DE7A2" w14:textId="1B4C8FE7" w:rsidR="009C4910" w:rsidRPr="009F2500" w:rsidRDefault="005D0CD8" w:rsidP="00AD0BF9">
      <w:pPr>
        <w:jc w:val="both"/>
        <w:rPr>
          <w:color w:val="000000"/>
        </w:rPr>
      </w:pPr>
      <w:r w:rsidRPr="009F2500">
        <w:rPr>
          <w:color w:val="000000"/>
        </w:rPr>
        <w:t>D.16-08-019 established grounds to</w:t>
      </w:r>
      <w:r w:rsidR="00570952" w:rsidRPr="009F2500">
        <w:rPr>
          <w:color w:val="000000"/>
        </w:rPr>
        <w:t xml:space="preserve"> </w:t>
      </w:r>
      <w:r w:rsidR="00AD0BF9" w:rsidRPr="009F2500">
        <w:rPr>
          <w:color w:val="000000"/>
        </w:rPr>
        <w:t>revise the allocation of EM&amp;V fund</w:t>
      </w:r>
      <w:r w:rsidR="00570952" w:rsidRPr="009F2500">
        <w:rPr>
          <w:color w:val="000000"/>
        </w:rPr>
        <w:t xml:space="preserve"> split between Commission and IOU EM&amp;V efforts -</w:t>
      </w:r>
      <w:r w:rsidR="00AD0BF9" w:rsidRPr="009F2500">
        <w:rPr>
          <w:color w:val="000000"/>
        </w:rPr>
        <w:t xml:space="preserve"> beginning after the EE </w:t>
      </w:r>
      <w:r w:rsidR="00675406" w:rsidRPr="009F2500">
        <w:rPr>
          <w:color w:val="000000"/>
        </w:rPr>
        <w:t>Business Plans</w:t>
      </w:r>
      <w:r w:rsidR="00AD0BF9" w:rsidRPr="009F2500">
        <w:rPr>
          <w:color w:val="000000"/>
        </w:rPr>
        <w:t xml:space="preserve"> are approved by the Commission</w:t>
      </w:r>
      <w:r w:rsidR="00570952" w:rsidRPr="009F2500">
        <w:rPr>
          <w:color w:val="000000"/>
        </w:rPr>
        <w:t xml:space="preserve"> -</w:t>
      </w:r>
      <w:r w:rsidR="00AD0BF9" w:rsidRPr="009F2500">
        <w:rPr>
          <w:color w:val="000000"/>
        </w:rPr>
        <w:t xml:space="preserve"> to </w:t>
      </w:r>
      <w:r w:rsidR="003B2ED8" w:rsidRPr="009F2500">
        <w:rPr>
          <w:color w:val="000000"/>
        </w:rPr>
        <w:t xml:space="preserve">at least </w:t>
      </w:r>
      <w:r w:rsidR="00AD0BF9" w:rsidRPr="009F2500">
        <w:rPr>
          <w:color w:val="000000"/>
        </w:rPr>
        <w:t>60</w:t>
      </w:r>
      <w:r w:rsidR="003A2432" w:rsidRPr="009F2500">
        <w:rPr>
          <w:color w:val="000000"/>
        </w:rPr>
        <w:t>%</w:t>
      </w:r>
      <w:r w:rsidR="00AD0BF9" w:rsidRPr="009F2500">
        <w:rPr>
          <w:color w:val="000000"/>
        </w:rPr>
        <w:t xml:space="preserve"> reserved for Commission staff evaluation efforts and up to 40</w:t>
      </w:r>
      <w:r w:rsidR="003A2432" w:rsidRPr="009F2500">
        <w:rPr>
          <w:color w:val="000000"/>
        </w:rPr>
        <w:t>%</w:t>
      </w:r>
      <w:r w:rsidR="00AD0BF9" w:rsidRPr="009F2500">
        <w:rPr>
          <w:color w:val="000000"/>
        </w:rPr>
        <w:t xml:space="preserve"> for </w:t>
      </w:r>
      <w:r w:rsidR="002566DF" w:rsidRPr="009F2500">
        <w:rPr>
          <w:color w:val="000000"/>
        </w:rPr>
        <w:t>PAs</w:t>
      </w:r>
      <w:r w:rsidR="00AD0BF9" w:rsidRPr="009F2500">
        <w:rPr>
          <w:rStyle w:val="FootnoteReference"/>
          <w:color w:val="000000"/>
        </w:rPr>
        <w:footnoteReference w:id="16"/>
      </w:r>
      <w:r w:rsidR="00AD0BF9" w:rsidRPr="009F2500">
        <w:rPr>
          <w:color w:val="000000"/>
        </w:rPr>
        <w:t>.</w:t>
      </w:r>
      <w:r w:rsidR="00446DE2" w:rsidRPr="009F2500">
        <w:rPr>
          <w:color w:val="000000"/>
        </w:rPr>
        <w:t xml:space="preserve"> </w:t>
      </w:r>
    </w:p>
    <w:p w14:paraId="268DD2A1" w14:textId="77777777" w:rsidR="009C4910" w:rsidRPr="009F2500" w:rsidRDefault="009C4910" w:rsidP="00AD0BF9">
      <w:pPr>
        <w:jc w:val="both"/>
        <w:rPr>
          <w:color w:val="000000"/>
        </w:rPr>
      </w:pPr>
    </w:p>
    <w:p w14:paraId="63764432" w14:textId="3803D7C9" w:rsidR="00D0399E" w:rsidRDefault="00446DE2" w:rsidP="00D0399E">
      <w:pPr>
        <w:jc w:val="both"/>
        <w:rPr>
          <w:color w:val="000000"/>
        </w:rPr>
      </w:pPr>
      <w:r w:rsidRPr="009F2500">
        <w:rPr>
          <w:color w:val="000000"/>
        </w:rPr>
        <w:t xml:space="preserve">Table </w:t>
      </w:r>
      <w:r w:rsidR="00B62550" w:rsidRPr="009F2500">
        <w:rPr>
          <w:color w:val="000000"/>
        </w:rPr>
        <w:t>6</w:t>
      </w:r>
      <w:r w:rsidR="007579A6" w:rsidRPr="009F2500">
        <w:rPr>
          <w:color w:val="000000"/>
        </w:rPr>
        <w:t xml:space="preserve"> </w:t>
      </w:r>
      <w:r w:rsidRPr="009F2500">
        <w:rPr>
          <w:color w:val="000000"/>
        </w:rPr>
        <w:t xml:space="preserve">presents the allocation as requested by </w:t>
      </w:r>
      <w:r w:rsidR="007579A6" w:rsidRPr="009F2500">
        <w:rPr>
          <w:color w:val="000000"/>
        </w:rPr>
        <w:t xml:space="preserve">PG&amp;E, </w:t>
      </w:r>
      <w:proofErr w:type="spellStart"/>
      <w:r w:rsidRPr="009F2500">
        <w:rPr>
          <w:color w:val="000000"/>
        </w:rPr>
        <w:t>BayREN</w:t>
      </w:r>
      <w:proofErr w:type="spellEnd"/>
      <w:r w:rsidRPr="009F2500">
        <w:rPr>
          <w:color w:val="000000"/>
        </w:rPr>
        <w:t xml:space="preserve">, MCE and 3C-REN in their </w:t>
      </w:r>
      <w:r w:rsidR="0065572A" w:rsidRPr="009F2500">
        <w:rPr>
          <w:color w:val="000000"/>
        </w:rPr>
        <w:t>20</w:t>
      </w:r>
      <w:r w:rsidR="00957522">
        <w:rPr>
          <w:color w:val="000000"/>
        </w:rPr>
        <w:t>20</w:t>
      </w:r>
      <w:r w:rsidR="0065572A" w:rsidRPr="009F2500">
        <w:rPr>
          <w:color w:val="000000"/>
        </w:rPr>
        <w:t xml:space="preserve"> </w:t>
      </w:r>
      <w:r w:rsidRPr="009F2500">
        <w:rPr>
          <w:color w:val="000000"/>
        </w:rPr>
        <w:t>ABAL</w:t>
      </w:r>
      <w:r w:rsidR="00957522">
        <w:rPr>
          <w:color w:val="000000"/>
        </w:rPr>
        <w:t>s</w:t>
      </w:r>
      <w:r w:rsidR="009C4910" w:rsidRPr="009F2500">
        <w:rPr>
          <w:color w:val="000000"/>
        </w:rPr>
        <w:t>. These allocation requests</w:t>
      </w:r>
      <w:r w:rsidRPr="009F2500">
        <w:rPr>
          <w:color w:val="000000"/>
        </w:rPr>
        <w:t xml:space="preserve"> </w:t>
      </w:r>
      <w:r w:rsidR="00E8264B" w:rsidRPr="009F2500">
        <w:rPr>
          <w:color w:val="000000"/>
        </w:rPr>
        <w:t xml:space="preserve">may </w:t>
      </w:r>
      <w:r w:rsidRPr="009F2500">
        <w:rPr>
          <w:color w:val="000000"/>
        </w:rPr>
        <w:t>var</w:t>
      </w:r>
      <w:r w:rsidR="009C4910" w:rsidRPr="009F2500">
        <w:rPr>
          <w:color w:val="000000"/>
        </w:rPr>
        <w:t>y</w:t>
      </w:r>
      <w:r w:rsidRPr="009F2500">
        <w:rPr>
          <w:color w:val="000000"/>
        </w:rPr>
        <w:t xml:space="preserve"> by PA</w:t>
      </w:r>
      <w:r w:rsidR="00E8264B" w:rsidRPr="009F2500">
        <w:rPr>
          <w:color w:val="000000"/>
        </w:rPr>
        <w:t>.</w:t>
      </w:r>
      <w:r w:rsidR="00B62550" w:rsidRPr="009F2500">
        <w:rPr>
          <w:color w:val="000000"/>
        </w:rPr>
        <w:t xml:space="preserve"> </w:t>
      </w:r>
    </w:p>
    <w:p w14:paraId="4B232E3F" w14:textId="77777777" w:rsidR="00D0399E" w:rsidRDefault="00D0399E" w:rsidP="00D0399E">
      <w:pPr>
        <w:jc w:val="both"/>
        <w:rPr>
          <w:b/>
          <w:color w:val="000000"/>
        </w:rPr>
      </w:pPr>
    </w:p>
    <w:p w14:paraId="1FB1F8EF" w14:textId="491CA9DA" w:rsidR="00D0399E" w:rsidRDefault="00D0399E" w:rsidP="00D0399E">
      <w:pPr>
        <w:jc w:val="center"/>
        <w:rPr>
          <w:b/>
          <w:color w:val="000000"/>
        </w:rPr>
      </w:pPr>
      <w:r w:rsidRPr="009F2500">
        <w:rPr>
          <w:b/>
          <w:color w:val="000000"/>
        </w:rPr>
        <w:t xml:space="preserve">Table </w:t>
      </w:r>
      <w:r w:rsidR="00B62550" w:rsidRPr="009F2500">
        <w:rPr>
          <w:b/>
          <w:color w:val="000000"/>
        </w:rPr>
        <w:t>6</w:t>
      </w:r>
      <w:r w:rsidRPr="009F2500">
        <w:rPr>
          <w:b/>
          <w:color w:val="000000"/>
        </w:rPr>
        <w:t xml:space="preserve">:  </w:t>
      </w:r>
      <w:r w:rsidR="00E8264B" w:rsidRPr="009F2500">
        <w:rPr>
          <w:b/>
          <w:color w:val="000000"/>
        </w:rPr>
        <w:t>2020</w:t>
      </w:r>
      <w:r w:rsidRPr="009F2500">
        <w:rPr>
          <w:b/>
          <w:color w:val="000000"/>
        </w:rPr>
        <w:t xml:space="preserve"> EM</w:t>
      </w:r>
      <w:r w:rsidRPr="008E6649">
        <w:rPr>
          <w:b/>
          <w:color w:val="000000"/>
        </w:rPr>
        <w:t>&amp;V Budget</w:t>
      </w:r>
    </w:p>
    <w:p w14:paraId="37B15A69" w14:textId="77777777" w:rsidR="00883946" w:rsidRDefault="00883946" w:rsidP="00D0399E">
      <w:pPr>
        <w:jc w:val="center"/>
        <w:rPr>
          <w:b/>
          <w:color w:val="000000"/>
        </w:rPr>
      </w:pPr>
    </w:p>
    <w:tbl>
      <w:tblPr>
        <w:tblStyle w:val="TableGrid"/>
        <w:tblW w:w="0" w:type="auto"/>
        <w:tblLook w:val="04A0" w:firstRow="1" w:lastRow="0" w:firstColumn="1" w:lastColumn="0" w:noHBand="0" w:noVBand="1"/>
      </w:tblPr>
      <w:tblGrid>
        <w:gridCol w:w="1271"/>
        <w:gridCol w:w="1381"/>
        <w:gridCol w:w="1282"/>
        <w:gridCol w:w="1297"/>
        <w:gridCol w:w="1284"/>
        <w:gridCol w:w="1284"/>
        <w:gridCol w:w="1551"/>
      </w:tblGrid>
      <w:tr w:rsidR="00883946" w14:paraId="4378A521" w14:textId="77777777" w:rsidTr="00F45A0B">
        <w:tc>
          <w:tcPr>
            <w:tcW w:w="1307" w:type="dxa"/>
            <w:shd w:val="clear" w:color="auto" w:fill="D9D9D9" w:themeFill="background1" w:themeFillShade="D9"/>
            <w:vAlign w:val="center"/>
          </w:tcPr>
          <w:p w14:paraId="31BFD2DB" w14:textId="3C797807" w:rsidR="007300B0" w:rsidRPr="00F45A0B" w:rsidRDefault="00883946" w:rsidP="00883946">
            <w:pPr>
              <w:jc w:val="center"/>
              <w:rPr>
                <w:b/>
                <w:color w:val="000000"/>
                <w:sz w:val="20"/>
              </w:rPr>
            </w:pPr>
            <w:r w:rsidRPr="00F45A0B">
              <w:rPr>
                <w:b/>
                <w:color w:val="000000"/>
                <w:sz w:val="20"/>
              </w:rPr>
              <w:t>PA</w:t>
            </w:r>
          </w:p>
        </w:tc>
        <w:tc>
          <w:tcPr>
            <w:tcW w:w="1441" w:type="dxa"/>
            <w:shd w:val="clear" w:color="auto" w:fill="D9D9D9" w:themeFill="background1" w:themeFillShade="D9"/>
            <w:vAlign w:val="center"/>
          </w:tcPr>
          <w:p w14:paraId="2708E8D0" w14:textId="47953F46" w:rsidR="007300B0" w:rsidRPr="00F45A0B" w:rsidRDefault="007300B0" w:rsidP="007300B0">
            <w:pPr>
              <w:jc w:val="center"/>
              <w:rPr>
                <w:b/>
                <w:color w:val="000000"/>
                <w:sz w:val="20"/>
              </w:rPr>
            </w:pPr>
            <w:r w:rsidRPr="00F45A0B">
              <w:rPr>
                <w:b/>
                <w:color w:val="000000"/>
                <w:sz w:val="20"/>
              </w:rPr>
              <w:t>PA Total without EM&amp;V</w:t>
            </w:r>
          </w:p>
        </w:tc>
        <w:tc>
          <w:tcPr>
            <w:tcW w:w="1329" w:type="dxa"/>
            <w:shd w:val="clear" w:color="auto" w:fill="D9D9D9" w:themeFill="background1" w:themeFillShade="D9"/>
            <w:vAlign w:val="center"/>
          </w:tcPr>
          <w:p w14:paraId="1BD83175" w14:textId="0B939D68" w:rsidR="007300B0" w:rsidRPr="00F45A0B" w:rsidRDefault="007300B0" w:rsidP="007300B0">
            <w:pPr>
              <w:jc w:val="center"/>
              <w:rPr>
                <w:b/>
                <w:color w:val="000000"/>
                <w:sz w:val="20"/>
              </w:rPr>
            </w:pPr>
            <w:r w:rsidRPr="00F45A0B">
              <w:rPr>
                <w:b/>
                <w:color w:val="000000"/>
                <w:sz w:val="20"/>
              </w:rPr>
              <w:t>Ratio of PA Total without EM&amp;V</w:t>
            </w:r>
          </w:p>
        </w:tc>
        <w:tc>
          <w:tcPr>
            <w:tcW w:w="1363" w:type="dxa"/>
            <w:shd w:val="clear" w:color="auto" w:fill="D9D9D9" w:themeFill="background1" w:themeFillShade="D9"/>
            <w:vAlign w:val="center"/>
          </w:tcPr>
          <w:p w14:paraId="4FEE0A54" w14:textId="61DEF566" w:rsidR="007300B0" w:rsidRPr="00F45A0B" w:rsidRDefault="007300B0" w:rsidP="007300B0">
            <w:pPr>
              <w:jc w:val="center"/>
              <w:rPr>
                <w:b/>
                <w:color w:val="000000"/>
                <w:sz w:val="20"/>
              </w:rPr>
            </w:pPr>
            <w:r w:rsidRPr="00F45A0B">
              <w:rPr>
                <w:b/>
                <w:color w:val="000000"/>
                <w:sz w:val="20"/>
              </w:rPr>
              <w:t>EM&amp;V</w:t>
            </w:r>
          </w:p>
        </w:tc>
        <w:tc>
          <w:tcPr>
            <w:tcW w:w="1348" w:type="dxa"/>
            <w:shd w:val="clear" w:color="auto" w:fill="D9D9D9" w:themeFill="background1" w:themeFillShade="D9"/>
            <w:vAlign w:val="center"/>
          </w:tcPr>
          <w:p w14:paraId="7A0F1486" w14:textId="3F6E166F" w:rsidR="007300B0" w:rsidRPr="00F45A0B" w:rsidRDefault="007300B0" w:rsidP="007300B0">
            <w:pPr>
              <w:jc w:val="center"/>
              <w:rPr>
                <w:b/>
                <w:color w:val="000000"/>
                <w:sz w:val="20"/>
              </w:rPr>
            </w:pPr>
            <w:r w:rsidRPr="00F45A0B">
              <w:rPr>
                <w:b/>
                <w:color w:val="000000"/>
                <w:sz w:val="20"/>
              </w:rPr>
              <w:t>EM&amp;V CPUC</w:t>
            </w:r>
          </w:p>
        </w:tc>
        <w:tc>
          <w:tcPr>
            <w:tcW w:w="1348" w:type="dxa"/>
            <w:shd w:val="clear" w:color="auto" w:fill="D9D9D9" w:themeFill="background1" w:themeFillShade="D9"/>
            <w:vAlign w:val="center"/>
          </w:tcPr>
          <w:p w14:paraId="2F935AFB" w14:textId="313F855E" w:rsidR="007300B0" w:rsidRPr="00F45A0B" w:rsidRDefault="007300B0" w:rsidP="007300B0">
            <w:pPr>
              <w:jc w:val="center"/>
              <w:rPr>
                <w:b/>
                <w:color w:val="000000"/>
                <w:sz w:val="20"/>
              </w:rPr>
            </w:pPr>
            <w:r w:rsidRPr="00F45A0B">
              <w:rPr>
                <w:b/>
                <w:color w:val="000000"/>
                <w:sz w:val="20"/>
              </w:rPr>
              <w:t>EM&amp;V PA</w:t>
            </w:r>
          </w:p>
        </w:tc>
        <w:tc>
          <w:tcPr>
            <w:tcW w:w="1440" w:type="dxa"/>
            <w:shd w:val="clear" w:color="auto" w:fill="D9D9D9" w:themeFill="background1" w:themeFillShade="D9"/>
            <w:vAlign w:val="center"/>
          </w:tcPr>
          <w:p w14:paraId="4316243A" w14:textId="63DACCC1" w:rsidR="007300B0" w:rsidRPr="00F45A0B" w:rsidRDefault="007300B0" w:rsidP="007300B0">
            <w:pPr>
              <w:jc w:val="center"/>
              <w:rPr>
                <w:b/>
                <w:color w:val="000000"/>
                <w:sz w:val="20"/>
              </w:rPr>
            </w:pPr>
            <w:r w:rsidRPr="00F45A0B">
              <w:rPr>
                <w:b/>
                <w:color w:val="000000"/>
                <w:sz w:val="20"/>
              </w:rPr>
              <w:t>PA Total with EM&amp;V</w:t>
            </w:r>
          </w:p>
        </w:tc>
      </w:tr>
      <w:tr w:rsidR="00E8264B" w14:paraId="7F1ACE2D" w14:textId="77777777" w:rsidTr="00842650">
        <w:tc>
          <w:tcPr>
            <w:tcW w:w="1307" w:type="dxa"/>
            <w:vAlign w:val="center"/>
          </w:tcPr>
          <w:p w14:paraId="0663B796" w14:textId="05EC7434" w:rsidR="00E8264B" w:rsidRDefault="00E8264B" w:rsidP="00E8264B">
            <w:pPr>
              <w:jc w:val="center"/>
              <w:rPr>
                <w:b/>
                <w:color w:val="000000"/>
              </w:rPr>
            </w:pPr>
            <w:r>
              <w:rPr>
                <w:rFonts w:ascii="Calibri" w:hAnsi="Calibri"/>
                <w:color w:val="000000"/>
                <w:sz w:val="22"/>
                <w:szCs w:val="22"/>
              </w:rPr>
              <w:t>PG&amp;E</w:t>
            </w:r>
          </w:p>
        </w:tc>
        <w:tc>
          <w:tcPr>
            <w:tcW w:w="1441" w:type="dxa"/>
            <w:vAlign w:val="center"/>
          </w:tcPr>
          <w:p w14:paraId="3A86ABBE" w14:textId="31C348B8" w:rsidR="00E8264B" w:rsidRDefault="00E8264B" w:rsidP="00E8264B">
            <w:pPr>
              <w:jc w:val="center"/>
              <w:rPr>
                <w:b/>
                <w:color w:val="000000"/>
              </w:rPr>
            </w:pPr>
            <w:r>
              <w:rPr>
                <w:rFonts w:cs="Arial"/>
                <w:color w:val="000000"/>
                <w:sz w:val="20"/>
              </w:rPr>
              <w:t>TBD</w:t>
            </w:r>
          </w:p>
        </w:tc>
        <w:tc>
          <w:tcPr>
            <w:tcW w:w="1329" w:type="dxa"/>
          </w:tcPr>
          <w:p w14:paraId="5B775EFB" w14:textId="6C74F3EA" w:rsidR="00E8264B" w:rsidRDefault="00E8264B" w:rsidP="00E8264B">
            <w:pPr>
              <w:jc w:val="center"/>
              <w:rPr>
                <w:b/>
                <w:color w:val="000000"/>
              </w:rPr>
            </w:pPr>
            <w:r w:rsidRPr="00F5352D">
              <w:rPr>
                <w:rFonts w:cs="Arial"/>
                <w:color w:val="000000"/>
                <w:sz w:val="20"/>
              </w:rPr>
              <w:t>TBD</w:t>
            </w:r>
          </w:p>
        </w:tc>
        <w:tc>
          <w:tcPr>
            <w:tcW w:w="1363" w:type="dxa"/>
          </w:tcPr>
          <w:p w14:paraId="0D839D8D" w14:textId="3B1E51BA" w:rsidR="00E8264B" w:rsidRDefault="00E8264B" w:rsidP="00E8264B">
            <w:pPr>
              <w:jc w:val="center"/>
              <w:rPr>
                <w:b/>
                <w:color w:val="000000"/>
              </w:rPr>
            </w:pPr>
            <w:r w:rsidRPr="00F5352D">
              <w:rPr>
                <w:rFonts w:cs="Arial"/>
                <w:color w:val="000000"/>
                <w:sz w:val="20"/>
              </w:rPr>
              <w:t>TBD</w:t>
            </w:r>
          </w:p>
        </w:tc>
        <w:tc>
          <w:tcPr>
            <w:tcW w:w="1348" w:type="dxa"/>
          </w:tcPr>
          <w:p w14:paraId="0D3FDFF3" w14:textId="596D9CB9" w:rsidR="00E8264B" w:rsidRDefault="00E8264B" w:rsidP="00E8264B">
            <w:pPr>
              <w:jc w:val="center"/>
              <w:rPr>
                <w:b/>
                <w:color w:val="000000"/>
              </w:rPr>
            </w:pPr>
            <w:r w:rsidRPr="00F5352D">
              <w:rPr>
                <w:rFonts w:cs="Arial"/>
                <w:color w:val="000000"/>
                <w:sz w:val="20"/>
              </w:rPr>
              <w:t>TBD</w:t>
            </w:r>
          </w:p>
        </w:tc>
        <w:tc>
          <w:tcPr>
            <w:tcW w:w="1348" w:type="dxa"/>
          </w:tcPr>
          <w:p w14:paraId="667F29D1" w14:textId="6C089388" w:rsidR="00E8264B" w:rsidRDefault="00E8264B" w:rsidP="00E8264B">
            <w:pPr>
              <w:jc w:val="center"/>
              <w:rPr>
                <w:b/>
                <w:color w:val="000000"/>
              </w:rPr>
            </w:pPr>
            <w:r w:rsidRPr="00F5352D">
              <w:rPr>
                <w:rFonts w:cs="Arial"/>
                <w:color w:val="000000"/>
                <w:sz w:val="20"/>
              </w:rPr>
              <w:t>TBD</w:t>
            </w:r>
          </w:p>
        </w:tc>
        <w:tc>
          <w:tcPr>
            <w:tcW w:w="1440" w:type="dxa"/>
          </w:tcPr>
          <w:p w14:paraId="37742E23" w14:textId="11CF4DEC" w:rsidR="00E8264B" w:rsidRDefault="005B1B07" w:rsidP="00E8264B">
            <w:pPr>
              <w:jc w:val="center"/>
              <w:rPr>
                <w:b/>
                <w:color w:val="000000"/>
              </w:rPr>
            </w:pPr>
            <w:r w:rsidRPr="009F2500">
              <w:rPr>
                <w:color w:val="000000"/>
              </w:rPr>
              <w:t>$10,269,083</w:t>
            </w:r>
          </w:p>
        </w:tc>
      </w:tr>
      <w:tr w:rsidR="00E8264B" w14:paraId="7ED0BEE4" w14:textId="77777777" w:rsidTr="00842650">
        <w:tc>
          <w:tcPr>
            <w:tcW w:w="1307" w:type="dxa"/>
            <w:vAlign w:val="center"/>
          </w:tcPr>
          <w:p w14:paraId="42648FE8" w14:textId="5B32B15A" w:rsidR="00E8264B" w:rsidRDefault="00E8264B" w:rsidP="00E8264B">
            <w:pPr>
              <w:jc w:val="center"/>
              <w:rPr>
                <w:b/>
                <w:color w:val="000000"/>
              </w:rPr>
            </w:pPr>
            <w:proofErr w:type="spellStart"/>
            <w:r>
              <w:rPr>
                <w:rFonts w:ascii="Calibri" w:hAnsi="Calibri"/>
                <w:color w:val="000000"/>
                <w:sz w:val="22"/>
                <w:szCs w:val="22"/>
              </w:rPr>
              <w:t>BayREN</w:t>
            </w:r>
            <w:proofErr w:type="spellEnd"/>
          </w:p>
        </w:tc>
        <w:tc>
          <w:tcPr>
            <w:tcW w:w="1441" w:type="dxa"/>
          </w:tcPr>
          <w:p w14:paraId="26F17EFD" w14:textId="05A85A3A" w:rsidR="00E8264B" w:rsidRDefault="00E8264B" w:rsidP="00E8264B">
            <w:pPr>
              <w:jc w:val="center"/>
              <w:rPr>
                <w:b/>
                <w:color w:val="000000"/>
              </w:rPr>
            </w:pPr>
            <w:r w:rsidRPr="00052121">
              <w:rPr>
                <w:rFonts w:cs="Arial"/>
                <w:color w:val="000000"/>
                <w:sz w:val="20"/>
              </w:rPr>
              <w:t>TBD</w:t>
            </w:r>
          </w:p>
        </w:tc>
        <w:tc>
          <w:tcPr>
            <w:tcW w:w="1329" w:type="dxa"/>
          </w:tcPr>
          <w:p w14:paraId="19A1833C" w14:textId="68485870" w:rsidR="00E8264B" w:rsidRDefault="00E8264B" w:rsidP="00E8264B">
            <w:pPr>
              <w:jc w:val="center"/>
              <w:rPr>
                <w:b/>
                <w:color w:val="000000"/>
              </w:rPr>
            </w:pPr>
            <w:r w:rsidRPr="00F5352D">
              <w:rPr>
                <w:rFonts w:cs="Arial"/>
                <w:color w:val="000000"/>
                <w:sz w:val="20"/>
              </w:rPr>
              <w:t>TBD</w:t>
            </w:r>
          </w:p>
        </w:tc>
        <w:tc>
          <w:tcPr>
            <w:tcW w:w="1363" w:type="dxa"/>
          </w:tcPr>
          <w:p w14:paraId="643447AC" w14:textId="3EE7481A" w:rsidR="00E8264B" w:rsidRDefault="00E8264B" w:rsidP="00E8264B">
            <w:pPr>
              <w:jc w:val="center"/>
              <w:rPr>
                <w:b/>
                <w:color w:val="000000"/>
              </w:rPr>
            </w:pPr>
            <w:r w:rsidRPr="00F5352D">
              <w:rPr>
                <w:rFonts w:cs="Arial"/>
                <w:color w:val="000000"/>
                <w:sz w:val="20"/>
              </w:rPr>
              <w:t>TBD</w:t>
            </w:r>
          </w:p>
        </w:tc>
        <w:tc>
          <w:tcPr>
            <w:tcW w:w="1348" w:type="dxa"/>
          </w:tcPr>
          <w:p w14:paraId="44AE7823" w14:textId="09F591B4" w:rsidR="00E8264B" w:rsidRDefault="00E8264B" w:rsidP="00E8264B">
            <w:pPr>
              <w:jc w:val="center"/>
              <w:rPr>
                <w:b/>
                <w:color w:val="000000"/>
              </w:rPr>
            </w:pPr>
            <w:r w:rsidRPr="00F5352D">
              <w:rPr>
                <w:rFonts w:cs="Arial"/>
                <w:color w:val="000000"/>
                <w:sz w:val="20"/>
              </w:rPr>
              <w:t>TBD</w:t>
            </w:r>
          </w:p>
        </w:tc>
        <w:tc>
          <w:tcPr>
            <w:tcW w:w="1348" w:type="dxa"/>
          </w:tcPr>
          <w:p w14:paraId="7443AAB5" w14:textId="3F48D648" w:rsidR="00E8264B" w:rsidRDefault="00E8264B" w:rsidP="00E8264B">
            <w:pPr>
              <w:jc w:val="center"/>
              <w:rPr>
                <w:b/>
                <w:color w:val="000000"/>
              </w:rPr>
            </w:pPr>
            <w:r w:rsidRPr="00F5352D">
              <w:rPr>
                <w:rFonts w:cs="Arial"/>
                <w:color w:val="000000"/>
                <w:sz w:val="20"/>
              </w:rPr>
              <w:t>TBD</w:t>
            </w:r>
          </w:p>
        </w:tc>
        <w:tc>
          <w:tcPr>
            <w:tcW w:w="1440" w:type="dxa"/>
          </w:tcPr>
          <w:p w14:paraId="62F8D358" w14:textId="3B9F290F" w:rsidR="00E8264B" w:rsidRDefault="00E8264B" w:rsidP="00E8264B">
            <w:pPr>
              <w:jc w:val="center"/>
              <w:rPr>
                <w:b/>
                <w:color w:val="000000"/>
              </w:rPr>
            </w:pPr>
            <w:r w:rsidRPr="00F5352D">
              <w:rPr>
                <w:rFonts w:cs="Arial"/>
                <w:color w:val="000000"/>
                <w:sz w:val="20"/>
              </w:rPr>
              <w:t>TBD</w:t>
            </w:r>
          </w:p>
        </w:tc>
      </w:tr>
      <w:tr w:rsidR="00E8264B" w14:paraId="35166F85" w14:textId="77777777" w:rsidTr="00842650">
        <w:tc>
          <w:tcPr>
            <w:tcW w:w="1307" w:type="dxa"/>
            <w:vAlign w:val="center"/>
          </w:tcPr>
          <w:p w14:paraId="29382E8F" w14:textId="42CAA7F5" w:rsidR="00E8264B" w:rsidRDefault="00E8264B" w:rsidP="00E8264B">
            <w:pPr>
              <w:jc w:val="center"/>
              <w:rPr>
                <w:b/>
                <w:color w:val="000000"/>
              </w:rPr>
            </w:pPr>
            <w:r>
              <w:rPr>
                <w:rFonts w:ascii="Calibri" w:hAnsi="Calibri"/>
                <w:color w:val="000000"/>
                <w:sz w:val="22"/>
                <w:szCs w:val="22"/>
              </w:rPr>
              <w:t>MCE</w:t>
            </w:r>
          </w:p>
        </w:tc>
        <w:tc>
          <w:tcPr>
            <w:tcW w:w="1441" w:type="dxa"/>
          </w:tcPr>
          <w:p w14:paraId="6B5EF5FE" w14:textId="7EF87AB2" w:rsidR="00E8264B" w:rsidRDefault="00E8264B" w:rsidP="00E8264B">
            <w:pPr>
              <w:jc w:val="center"/>
              <w:rPr>
                <w:b/>
                <w:color w:val="000000"/>
              </w:rPr>
            </w:pPr>
            <w:r w:rsidRPr="00052121">
              <w:rPr>
                <w:rFonts w:cs="Arial"/>
                <w:color w:val="000000"/>
                <w:sz w:val="20"/>
              </w:rPr>
              <w:t>TBD</w:t>
            </w:r>
          </w:p>
        </w:tc>
        <w:tc>
          <w:tcPr>
            <w:tcW w:w="1329" w:type="dxa"/>
          </w:tcPr>
          <w:p w14:paraId="35100D81" w14:textId="4DF5105C" w:rsidR="00E8264B" w:rsidRDefault="00E8264B" w:rsidP="00E8264B">
            <w:pPr>
              <w:jc w:val="center"/>
              <w:rPr>
                <w:b/>
                <w:color w:val="000000"/>
              </w:rPr>
            </w:pPr>
            <w:r w:rsidRPr="00F5352D">
              <w:rPr>
                <w:rFonts w:cs="Arial"/>
                <w:color w:val="000000"/>
                <w:sz w:val="20"/>
              </w:rPr>
              <w:t>TBD</w:t>
            </w:r>
          </w:p>
        </w:tc>
        <w:tc>
          <w:tcPr>
            <w:tcW w:w="1363" w:type="dxa"/>
          </w:tcPr>
          <w:p w14:paraId="43E2EDFF" w14:textId="49634063" w:rsidR="00E8264B" w:rsidRDefault="00E8264B" w:rsidP="00E8264B">
            <w:pPr>
              <w:jc w:val="center"/>
              <w:rPr>
                <w:b/>
                <w:color w:val="000000"/>
              </w:rPr>
            </w:pPr>
            <w:r w:rsidRPr="00F5352D">
              <w:rPr>
                <w:rFonts w:cs="Arial"/>
                <w:color w:val="000000"/>
                <w:sz w:val="20"/>
              </w:rPr>
              <w:t>TBD</w:t>
            </w:r>
          </w:p>
        </w:tc>
        <w:tc>
          <w:tcPr>
            <w:tcW w:w="1348" w:type="dxa"/>
          </w:tcPr>
          <w:p w14:paraId="73D12B32" w14:textId="2718810D" w:rsidR="00E8264B" w:rsidRDefault="00E8264B" w:rsidP="00E8264B">
            <w:pPr>
              <w:jc w:val="center"/>
              <w:rPr>
                <w:b/>
                <w:color w:val="000000"/>
              </w:rPr>
            </w:pPr>
            <w:r w:rsidRPr="00F5352D">
              <w:rPr>
                <w:rFonts w:cs="Arial"/>
                <w:color w:val="000000"/>
                <w:sz w:val="20"/>
              </w:rPr>
              <w:t>TBD</w:t>
            </w:r>
          </w:p>
        </w:tc>
        <w:tc>
          <w:tcPr>
            <w:tcW w:w="1348" w:type="dxa"/>
          </w:tcPr>
          <w:p w14:paraId="3A731C05" w14:textId="139F7707" w:rsidR="00E8264B" w:rsidRDefault="00E8264B" w:rsidP="00E8264B">
            <w:pPr>
              <w:jc w:val="center"/>
              <w:rPr>
                <w:b/>
                <w:color w:val="000000"/>
              </w:rPr>
            </w:pPr>
            <w:r w:rsidRPr="00F5352D">
              <w:rPr>
                <w:rFonts w:cs="Arial"/>
                <w:color w:val="000000"/>
                <w:sz w:val="20"/>
              </w:rPr>
              <w:t>TBD</w:t>
            </w:r>
          </w:p>
        </w:tc>
        <w:tc>
          <w:tcPr>
            <w:tcW w:w="1440" w:type="dxa"/>
          </w:tcPr>
          <w:p w14:paraId="6D06B338" w14:textId="121F35BE" w:rsidR="00E8264B" w:rsidRDefault="00E8264B" w:rsidP="00E8264B">
            <w:pPr>
              <w:jc w:val="center"/>
              <w:rPr>
                <w:b/>
                <w:color w:val="000000"/>
              </w:rPr>
            </w:pPr>
            <w:r w:rsidRPr="00F5352D">
              <w:rPr>
                <w:rFonts w:cs="Arial"/>
                <w:color w:val="000000"/>
                <w:sz w:val="20"/>
              </w:rPr>
              <w:t>TBD</w:t>
            </w:r>
          </w:p>
        </w:tc>
      </w:tr>
      <w:tr w:rsidR="00E8264B" w14:paraId="1ECA1AD5" w14:textId="77777777" w:rsidTr="00842650">
        <w:tc>
          <w:tcPr>
            <w:tcW w:w="1307" w:type="dxa"/>
            <w:vAlign w:val="center"/>
          </w:tcPr>
          <w:p w14:paraId="38C104AD" w14:textId="739A28CF" w:rsidR="00E8264B" w:rsidRDefault="00E8264B" w:rsidP="00E8264B">
            <w:pPr>
              <w:jc w:val="center"/>
              <w:rPr>
                <w:b/>
                <w:color w:val="000000"/>
              </w:rPr>
            </w:pPr>
            <w:r>
              <w:rPr>
                <w:rFonts w:ascii="Calibri" w:hAnsi="Calibri"/>
                <w:color w:val="000000"/>
                <w:sz w:val="22"/>
                <w:szCs w:val="22"/>
              </w:rPr>
              <w:t>3C-REN</w:t>
            </w:r>
          </w:p>
        </w:tc>
        <w:tc>
          <w:tcPr>
            <w:tcW w:w="1441" w:type="dxa"/>
          </w:tcPr>
          <w:p w14:paraId="5FDD4600" w14:textId="01EDE2FE" w:rsidR="00E8264B" w:rsidRDefault="00E8264B" w:rsidP="00E8264B">
            <w:pPr>
              <w:jc w:val="center"/>
              <w:rPr>
                <w:b/>
                <w:color w:val="000000"/>
              </w:rPr>
            </w:pPr>
            <w:r w:rsidRPr="00052121">
              <w:rPr>
                <w:rFonts w:cs="Arial"/>
                <w:color w:val="000000"/>
                <w:sz w:val="20"/>
              </w:rPr>
              <w:t>TBD</w:t>
            </w:r>
          </w:p>
        </w:tc>
        <w:tc>
          <w:tcPr>
            <w:tcW w:w="1329" w:type="dxa"/>
          </w:tcPr>
          <w:p w14:paraId="46D35015" w14:textId="7A8E7EBE" w:rsidR="00E8264B" w:rsidRDefault="00E8264B" w:rsidP="00E8264B">
            <w:pPr>
              <w:jc w:val="center"/>
              <w:rPr>
                <w:b/>
                <w:color w:val="000000"/>
              </w:rPr>
            </w:pPr>
            <w:r w:rsidRPr="00F5352D">
              <w:rPr>
                <w:rFonts w:cs="Arial"/>
                <w:color w:val="000000"/>
                <w:sz w:val="20"/>
              </w:rPr>
              <w:t>TBD</w:t>
            </w:r>
          </w:p>
        </w:tc>
        <w:tc>
          <w:tcPr>
            <w:tcW w:w="1363" w:type="dxa"/>
          </w:tcPr>
          <w:p w14:paraId="33B4068D" w14:textId="3769CC1A" w:rsidR="00E8264B" w:rsidRDefault="00E8264B" w:rsidP="00E8264B">
            <w:pPr>
              <w:jc w:val="center"/>
              <w:rPr>
                <w:b/>
                <w:color w:val="000000"/>
              </w:rPr>
            </w:pPr>
            <w:r w:rsidRPr="00F5352D">
              <w:rPr>
                <w:rFonts w:cs="Arial"/>
                <w:color w:val="000000"/>
                <w:sz w:val="20"/>
              </w:rPr>
              <w:t>TBD</w:t>
            </w:r>
          </w:p>
        </w:tc>
        <w:tc>
          <w:tcPr>
            <w:tcW w:w="1348" w:type="dxa"/>
          </w:tcPr>
          <w:p w14:paraId="1C6C2FA8" w14:textId="24B8CAE0" w:rsidR="00E8264B" w:rsidRDefault="00E8264B" w:rsidP="00E8264B">
            <w:pPr>
              <w:jc w:val="center"/>
              <w:rPr>
                <w:b/>
                <w:color w:val="000000"/>
              </w:rPr>
            </w:pPr>
            <w:r w:rsidRPr="00F5352D">
              <w:rPr>
                <w:rFonts w:cs="Arial"/>
                <w:color w:val="000000"/>
                <w:sz w:val="20"/>
              </w:rPr>
              <w:t>TBD</w:t>
            </w:r>
          </w:p>
        </w:tc>
        <w:tc>
          <w:tcPr>
            <w:tcW w:w="1348" w:type="dxa"/>
          </w:tcPr>
          <w:p w14:paraId="7D6D111A" w14:textId="69A971CD" w:rsidR="00E8264B" w:rsidRDefault="00E8264B" w:rsidP="00E8264B">
            <w:pPr>
              <w:jc w:val="center"/>
              <w:rPr>
                <w:b/>
                <w:color w:val="000000"/>
              </w:rPr>
            </w:pPr>
            <w:r w:rsidRPr="00F5352D">
              <w:rPr>
                <w:rFonts w:cs="Arial"/>
                <w:color w:val="000000"/>
                <w:sz w:val="20"/>
              </w:rPr>
              <w:t>TBD</w:t>
            </w:r>
          </w:p>
        </w:tc>
        <w:tc>
          <w:tcPr>
            <w:tcW w:w="1440" w:type="dxa"/>
          </w:tcPr>
          <w:p w14:paraId="5C3600D0" w14:textId="6855159B" w:rsidR="00E8264B" w:rsidRDefault="00E8264B" w:rsidP="00E8264B">
            <w:pPr>
              <w:jc w:val="center"/>
              <w:rPr>
                <w:b/>
                <w:color w:val="000000"/>
              </w:rPr>
            </w:pPr>
            <w:r w:rsidRPr="00F5352D">
              <w:rPr>
                <w:rFonts w:cs="Arial"/>
                <w:color w:val="000000"/>
                <w:sz w:val="20"/>
              </w:rPr>
              <w:t>TBD</w:t>
            </w:r>
          </w:p>
        </w:tc>
      </w:tr>
      <w:tr w:rsidR="00E8264B" w14:paraId="5141AC40" w14:textId="77777777" w:rsidTr="00842650">
        <w:tc>
          <w:tcPr>
            <w:tcW w:w="1307" w:type="dxa"/>
            <w:vAlign w:val="center"/>
          </w:tcPr>
          <w:p w14:paraId="4A742D1A" w14:textId="7C1C7FFC" w:rsidR="00E8264B" w:rsidRDefault="00E8264B" w:rsidP="00E8264B">
            <w:pPr>
              <w:jc w:val="center"/>
              <w:rPr>
                <w:b/>
                <w:color w:val="000000"/>
              </w:rPr>
            </w:pPr>
            <w:r>
              <w:rPr>
                <w:rFonts w:ascii="Calibri" w:hAnsi="Calibri"/>
                <w:color w:val="000000"/>
                <w:sz w:val="22"/>
                <w:szCs w:val="22"/>
              </w:rPr>
              <w:t>Portfolio Total</w:t>
            </w:r>
          </w:p>
        </w:tc>
        <w:tc>
          <w:tcPr>
            <w:tcW w:w="1441" w:type="dxa"/>
          </w:tcPr>
          <w:p w14:paraId="65F32279" w14:textId="47CAF950" w:rsidR="00E8264B" w:rsidRDefault="00E8264B" w:rsidP="00E8264B">
            <w:pPr>
              <w:jc w:val="center"/>
              <w:rPr>
                <w:b/>
                <w:color w:val="000000"/>
              </w:rPr>
            </w:pPr>
            <w:r w:rsidRPr="00052121">
              <w:rPr>
                <w:rFonts w:cs="Arial"/>
                <w:color w:val="000000"/>
                <w:sz w:val="20"/>
              </w:rPr>
              <w:t>TBD</w:t>
            </w:r>
          </w:p>
        </w:tc>
        <w:tc>
          <w:tcPr>
            <w:tcW w:w="1329" w:type="dxa"/>
          </w:tcPr>
          <w:p w14:paraId="3B7E689B" w14:textId="0CD02AC1" w:rsidR="00E8264B" w:rsidRDefault="00E8264B" w:rsidP="00E8264B">
            <w:pPr>
              <w:jc w:val="center"/>
              <w:rPr>
                <w:b/>
                <w:color w:val="000000"/>
              </w:rPr>
            </w:pPr>
            <w:r w:rsidRPr="00F5352D">
              <w:rPr>
                <w:rFonts w:cs="Arial"/>
                <w:color w:val="000000"/>
                <w:sz w:val="20"/>
              </w:rPr>
              <w:t>TBD</w:t>
            </w:r>
          </w:p>
        </w:tc>
        <w:tc>
          <w:tcPr>
            <w:tcW w:w="1363" w:type="dxa"/>
          </w:tcPr>
          <w:p w14:paraId="7B7FC451" w14:textId="3B996F32" w:rsidR="00E8264B" w:rsidRDefault="00E8264B" w:rsidP="00E8264B">
            <w:pPr>
              <w:jc w:val="center"/>
              <w:rPr>
                <w:b/>
                <w:color w:val="000000"/>
              </w:rPr>
            </w:pPr>
            <w:r w:rsidRPr="00F5352D">
              <w:rPr>
                <w:rFonts w:cs="Arial"/>
                <w:color w:val="000000"/>
                <w:sz w:val="20"/>
              </w:rPr>
              <w:t>TBD</w:t>
            </w:r>
          </w:p>
        </w:tc>
        <w:tc>
          <w:tcPr>
            <w:tcW w:w="1348" w:type="dxa"/>
          </w:tcPr>
          <w:p w14:paraId="6F9B5899" w14:textId="519D473F" w:rsidR="00E8264B" w:rsidRDefault="00E8264B" w:rsidP="00E8264B">
            <w:pPr>
              <w:jc w:val="center"/>
              <w:rPr>
                <w:b/>
                <w:color w:val="000000"/>
              </w:rPr>
            </w:pPr>
            <w:r w:rsidRPr="00F5352D">
              <w:rPr>
                <w:rFonts w:cs="Arial"/>
                <w:color w:val="000000"/>
                <w:sz w:val="20"/>
              </w:rPr>
              <w:t>TBD</w:t>
            </w:r>
          </w:p>
        </w:tc>
        <w:tc>
          <w:tcPr>
            <w:tcW w:w="1348" w:type="dxa"/>
          </w:tcPr>
          <w:p w14:paraId="35A2EB7B" w14:textId="504323E5" w:rsidR="00E8264B" w:rsidRDefault="00E8264B" w:rsidP="00E8264B">
            <w:pPr>
              <w:jc w:val="center"/>
              <w:rPr>
                <w:b/>
                <w:color w:val="000000"/>
              </w:rPr>
            </w:pPr>
            <w:r w:rsidRPr="00F5352D">
              <w:rPr>
                <w:rFonts w:cs="Arial"/>
                <w:color w:val="000000"/>
                <w:sz w:val="20"/>
              </w:rPr>
              <w:t>TBD</w:t>
            </w:r>
          </w:p>
        </w:tc>
        <w:tc>
          <w:tcPr>
            <w:tcW w:w="1440" w:type="dxa"/>
          </w:tcPr>
          <w:p w14:paraId="463097F0" w14:textId="3B0686DD" w:rsidR="00E8264B" w:rsidRDefault="00E8264B" w:rsidP="00E8264B">
            <w:pPr>
              <w:jc w:val="center"/>
              <w:rPr>
                <w:b/>
                <w:color w:val="000000"/>
              </w:rPr>
            </w:pPr>
            <w:r w:rsidRPr="00F5352D">
              <w:rPr>
                <w:rFonts w:cs="Arial"/>
                <w:color w:val="000000"/>
                <w:sz w:val="20"/>
              </w:rPr>
              <w:t>TBD</w:t>
            </w:r>
          </w:p>
        </w:tc>
      </w:tr>
    </w:tbl>
    <w:p w14:paraId="240A889F" w14:textId="77777777" w:rsidR="009F2500" w:rsidRPr="008E6649" w:rsidRDefault="009F2500" w:rsidP="00F45A0B">
      <w:pPr>
        <w:rPr>
          <w:b/>
          <w:color w:val="000000"/>
        </w:rPr>
      </w:pPr>
    </w:p>
    <w:p w14:paraId="3BCAFF91" w14:textId="77777777" w:rsidR="00F216BD" w:rsidRPr="00F45A0B" w:rsidRDefault="00F216BD" w:rsidP="00AD0BF9">
      <w:pPr>
        <w:jc w:val="both"/>
        <w:rPr>
          <w:color w:val="000000"/>
          <w:sz w:val="22"/>
          <w:szCs w:val="22"/>
        </w:rPr>
      </w:pPr>
    </w:p>
    <w:p w14:paraId="55960ACF" w14:textId="3155632F" w:rsidR="007C76EC" w:rsidRPr="00F45A0B" w:rsidRDefault="009778EA" w:rsidP="00F45A0B">
      <w:pPr>
        <w:pStyle w:val="Heading2"/>
        <w:ind w:left="360"/>
        <w:rPr>
          <w:b w:val="0"/>
        </w:rPr>
      </w:pPr>
      <w:r>
        <w:t>H</w:t>
      </w:r>
      <w:r w:rsidR="007C76EC" w:rsidRPr="00F45A0B">
        <w:t xml:space="preserve">. </w:t>
      </w:r>
      <w:bookmarkStart w:id="5" w:name="_Hlk522623231"/>
      <w:r w:rsidR="007C76EC" w:rsidRPr="00F45A0B">
        <w:t>Metrics</w:t>
      </w:r>
    </w:p>
    <w:p w14:paraId="252DE40D" w14:textId="038F4161" w:rsidR="007C76EC" w:rsidRDefault="007C76EC" w:rsidP="00AD0BF9">
      <w:pPr>
        <w:jc w:val="both"/>
        <w:rPr>
          <w:b/>
          <w:color w:val="000000"/>
        </w:rPr>
      </w:pPr>
    </w:p>
    <w:p w14:paraId="29CBDB24" w14:textId="27EDBBF8" w:rsidR="007C76EC" w:rsidRPr="0044476C" w:rsidRDefault="007C76EC" w:rsidP="00AD0BF9">
      <w:pPr>
        <w:jc w:val="both"/>
        <w:rPr>
          <w:color w:val="000000"/>
        </w:rPr>
      </w:pPr>
      <w:r w:rsidRPr="0044476C">
        <w:rPr>
          <w:color w:val="000000"/>
        </w:rPr>
        <w:t xml:space="preserve">Pursuant to D.18-05-041, </w:t>
      </w:r>
      <w:r>
        <w:rPr>
          <w:color w:val="000000"/>
        </w:rPr>
        <w:t>PG&amp;E</w:t>
      </w:r>
      <w:r w:rsidRPr="0044476C">
        <w:rPr>
          <w:color w:val="000000"/>
        </w:rPr>
        <w:t xml:space="preserve"> </w:t>
      </w:r>
      <w:r w:rsidR="00E8264B">
        <w:rPr>
          <w:color w:val="000000"/>
        </w:rPr>
        <w:t>reported on</w:t>
      </w:r>
      <w:r w:rsidRPr="0044476C">
        <w:rPr>
          <w:color w:val="000000"/>
        </w:rPr>
        <w:t xml:space="preserve"> sector-level metrics and their associated targets</w:t>
      </w:r>
      <w:r w:rsidR="00E8264B">
        <w:rPr>
          <w:color w:val="000000"/>
        </w:rPr>
        <w:t xml:space="preserve"> for program year</w:t>
      </w:r>
      <w:r w:rsidR="00F268A7">
        <w:rPr>
          <w:color w:val="000000"/>
        </w:rPr>
        <w:t>s 2017 and</w:t>
      </w:r>
      <w:r w:rsidR="00E8264B">
        <w:rPr>
          <w:color w:val="000000"/>
        </w:rPr>
        <w:t xml:space="preserve"> 2018 as part of the</w:t>
      </w:r>
      <w:r w:rsidR="00F268A7">
        <w:rPr>
          <w:color w:val="000000"/>
        </w:rPr>
        <w:t xml:space="preserve"> 2017 and</w:t>
      </w:r>
      <w:r w:rsidR="00E8264B">
        <w:rPr>
          <w:color w:val="000000"/>
        </w:rPr>
        <w:t xml:space="preserve"> 2018 EE Annual Report filing</w:t>
      </w:r>
      <w:r w:rsidR="00F268A7">
        <w:rPr>
          <w:color w:val="000000"/>
        </w:rPr>
        <w:t>s filed</w:t>
      </w:r>
      <w:r w:rsidR="00E8264B">
        <w:rPr>
          <w:color w:val="000000"/>
        </w:rPr>
        <w:t xml:space="preserve"> on </w:t>
      </w:r>
      <w:r w:rsidR="00F268A7">
        <w:rPr>
          <w:color w:val="000000"/>
        </w:rPr>
        <w:t xml:space="preserve">May 1, 2018 and </w:t>
      </w:r>
      <w:r w:rsidR="00E8264B">
        <w:rPr>
          <w:color w:val="000000"/>
        </w:rPr>
        <w:t>May 1, 2019</w:t>
      </w:r>
      <w:r w:rsidR="00F268A7">
        <w:rPr>
          <w:color w:val="000000"/>
        </w:rPr>
        <w:t>, respectively</w:t>
      </w:r>
      <w:r w:rsidR="00E8264B">
        <w:rPr>
          <w:color w:val="000000"/>
        </w:rPr>
        <w:t>. They can be found</w:t>
      </w:r>
      <w:r w:rsidR="00AA11B6">
        <w:rPr>
          <w:color w:val="000000"/>
        </w:rPr>
        <w:t xml:space="preserve"> in spreadsheet form</w:t>
      </w:r>
      <w:r w:rsidR="00E8264B">
        <w:rPr>
          <w:color w:val="000000"/>
        </w:rPr>
        <w:t xml:space="preserve"> on</w:t>
      </w:r>
      <w:r w:rsidR="00AA11B6">
        <w:rPr>
          <w:color w:val="000000"/>
        </w:rPr>
        <w:t xml:space="preserve"> the CPUC’s data reporting website,</w:t>
      </w:r>
      <w:r w:rsidR="00E8264B">
        <w:rPr>
          <w:color w:val="000000"/>
        </w:rPr>
        <w:t xml:space="preserve"> </w:t>
      </w:r>
      <w:r w:rsidR="00BE06EA">
        <w:rPr>
          <w:color w:val="000000"/>
        </w:rPr>
        <w:t>Energy Efficiency Statistics (</w:t>
      </w:r>
      <w:proofErr w:type="spellStart"/>
      <w:r w:rsidR="00E8264B">
        <w:rPr>
          <w:color w:val="000000"/>
        </w:rPr>
        <w:t>EEStats</w:t>
      </w:r>
      <w:proofErr w:type="spellEnd"/>
      <w:r w:rsidR="00BE06EA">
        <w:rPr>
          <w:color w:val="000000"/>
        </w:rPr>
        <w:t>)</w:t>
      </w:r>
      <w:r w:rsidR="001B298A">
        <w:rPr>
          <w:color w:val="000000"/>
        </w:rPr>
        <w:t>,</w:t>
      </w:r>
      <w:r w:rsidR="00AA11B6">
        <w:rPr>
          <w:rStyle w:val="FootnoteReference"/>
          <w:color w:val="000000"/>
        </w:rPr>
        <w:footnoteReference w:id="17"/>
      </w:r>
      <w:r w:rsidR="00E8264B">
        <w:rPr>
          <w:color w:val="000000"/>
        </w:rPr>
        <w:t xml:space="preserve"> by filtering documents for the </w:t>
      </w:r>
      <w:r w:rsidR="00AA11B6">
        <w:rPr>
          <w:color w:val="000000"/>
        </w:rPr>
        <w:t>“</w:t>
      </w:r>
      <w:r w:rsidR="00E8264B">
        <w:rPr>
          <w:color w:val="000000"/>
        </w:rPr>
        <w:t>Annual</w:t>
      </w:r>
      <w:r w:rsidR="00AA11B6">
        <w:rPr>
          <w:color w:val="000000"/>
        </w:rPr>
        <w:t>”</w:t>
      </w:r>
      <w:r w:rsidR="00E8264B">
        <w:rPr>
          <w:color w:val="000000"/>
        </w:rPr>
        <w:t xml:space="preserve"> Report Category and </w:t>
      </w:r>
      <w:r w:rsidR="00AA11B6">
        <w:rPr>
          <w:color w:val="000000"/>
        </w:rPr>
        <w:t>“</w:t>
      </w:r>
      <w:r w:rsidR="00E8264B">
        <w:rPr>
          <w:color w:val="000000"/>
        </w:rPr>
        <w:t>Narrative</w:t>
      </w:r>
      <w:r w:rsidR="00AA11B6">
        <w:rPr>
          <w:color w:val="000000"/>
        </w:rPr>
        <w:t xml:space="preserve"> &amp; Spreadsheet” Report Type</w:t>
      </w:r>
      <w:r w:rsidR="00E8264B">
        <w:rPr>
          <w:color w:val="000000"/>
        </w:rPr>
        <w:t>.</w:t>
      </w:r>
    </w:p>
    <w:p w14:paraId="25F3811A" w14:textId="331B6E66" w:rsidR="007C76EC" w:rsidRDefault="007C76EC" w:rsidP="00AD0BF9">
      <w:pPr>
        <w:jc w:val="both"/>
        <w:rPr>
          <w:b/>
          <w:color w:val="000000"/>
        </w:rPr>
      </w:pPr>
    </w:p>
    <w:p w14:paraId="3E670770" w14:textId="77777777" w:rsidR="009F2500" w:rsidRDefault="009F2500" w:rsidP="00AD0BF9">
      <w:pPr>
        <w:jc w:val="both"/>
        <w:rPr>
          <w:b/>
          <w:color w:val="000000"/>
        </w:rPr>
      </w:pPr>
    </w:p>
    <w:bookmarkEnd w:id="5"/>
    <w:p w14:paraId="60DEF8EE" w14:textId="77777777" w:rsidR="001162C1" w:rsidRDefault="001162C1" w:rsidP="008A0D80">
      <w:pPr>
        <w:pStyle w:val="Heading2"/>
        <w:rPr>
          <w:u w:val="single"/>
        </w:rPr>
      </w:pPr>
    </w:p>
    <w:p w14:paraId="27A1F118" w14:textId="3B075AB9" w:rsidR="00AD0BF9" w:rsidRPr="008A0D80" w:rsidRDefault="00AD0BF9" w:rsidP="008A0D80">
      <w:pPr>
        <w:pStyle w:val="Heading2"/>
        <w:rPr>
          <w:u w:val="single"/>
        </w:rPr>
      </w:pPr>
      <w:r w:rsidRPr="008A0D80">
        <w:rPr>
          <w:u w:val="single"/>
        </w:rPr>
        <w:t>Protests</w:t>
      </w:r>
    </w:p>
    <w:p w14:paraId="0AAADB4C" w14:textId="77777777" w:rsidR="00AD0BF9" w:rsidRPr="0037624A" w:rsidRDefault="00AD0BF9" w:rsidP="00AD0BF9">
      <w:pPr>
        <w:rPr>
          <w:color w:val="000000"/>
        </w:rPr>
      </w:pPr>
    </w:p>
    <w:p w14:paraId="28DEFA8F" w14:textId="4FA879DE" w:rsidR="008A0D80" w:rsidRPr="0037624A" w:rsidRDefault="008A0D80" w:rsidP="008A0D80">
      <w:pPr>
        <w:jc w:val="both"/>
        <w:rPr>
          <w:color w:val="000000"/>
        </w:rPr>
      </w:pPr>
      <w:r w:rsidRPr="0037624A">
        <w:rPr>
          <w:color w:val="000000"/>
        </w:rPr>
        <w:t xml:space="preserve">Anyone wishing to protest this filing may do so by letter sent via U.S. mail, facsimile or E-mail, no later than </w:t>
      </w:r>
      <w:r>
        <w:rPr>
          <w:color w:val="000000"/>
        </w:rPr>
        <w:t xml:space="preserve">September </w:t>
      </w:r>
      <w:r w:rsidR="00C17CA6">
        <w:rPr>
          <w:color w:val="000000"/>
        </w:rPr>
        <w:t>23</w:t>
      </w:r>
      <w:r w:rsidR="00685585">
        <w:rPr>
          <w:color w:val="000000"/>
        </w:rPr>
        <w:t>, 201</w:t>
      </w:r>
      <w:r w:rsidR="00C17CA6">
        <w:rPr>
          <w:color w:val="000000"/>
        </w:rPr>
        <w:t>9</w:t>
      </w:r>
      <w:r w:rsidRPr="0037624A">
        <w:rPr>
          <w:color w:val="000000"/>
        </w:rPr>
        <w:t>, which is 20 days after the date of this filing.  Protests must be submitted to:</w:t>
      </w:r>
    </w:p>
    <w:p w14:paraId="0D3EF706" w14:textId="77777777" w:rsidR="008A0D80" w:rsidRPr="0037624A" w:rsidRDefault="008A0D80" w:rsidP="008A0D80">
      <w:pPr>
        <w:rPr>
          <w:color w:val="000000"/>
        </w:rPr>
      </w:pPr>
    </w:p>
    <w:p w14:paraId="43976810" w14:textId="77777777" w:rsidR="008A0D80" w:rsidRPr="0037624A" w:rsidRDefault="008A0D80" w:rsidP="008A0D80">
      <w:pPr>
        <w:ind w:left="2700"/>
        <w:rPr>
          <w:color w:val="000000"/>
        </w:rPr>
      </w:pPr>
      <w:r w:rsidRPr="0037624A">
        <w:rPr>
          <w:color w:val="000000"/>
        </w:rPr>
        <w:lastRenderedPageBreak/>
        <w:t>CPUC Energy Division</w:t>
      </w:r>
    </w:p>
    <w:p w14:paraId="22800136" w14:textId="77777777" w:rsidR="008A0D80" w:rsidRPr="0037624A" w:rsidRDefault="008A0D80" w:rsidP="008A0D80">
      <w:pPr>
        <w:ind w:left="2700"/>
        <w:rPr>
          <w:color w:val="000000"/>
        </w:rPr>
      </w:pPr>
      <w:r w:rsidRPr="0037624A">
        <w:rPr>
          <w:color w:val="000000"/>
        </w:rPr>
        <w:t>ED</w:t>
      </w:r>
      <w:r>
        <w:rPr>
          <w:color w:val="000000"/>
        </w:rPr>
        <w:t xml:space="preserve"> </w:t>
      </w:r>
      <w:r w:rsidRPr="0037624A">
        <w:rPr>
          <w:color w:val="000000"/>
        </w:rPr>
        <w:t>Tariff</w:t>
      </w:r>
      <w:r>
        <w:rPr>
          <w:color w:val="000000"/>
        </w:rPr>
        <w:t xml:space="preserve"> </w:t>
      </w:r>
      <w:r w:rsidRPr="0037624A">
        <w:rPr>
          <w:color w:val="000000"/>
        </w:rPr>
        <w:t>Unit</w:t>
      </w:r>
    </w:p>
    <w:p w14:paraId="23BB2E77" w14:textId="77777777" w:rsidR="008A0D80" w:rsidRPr="0037624A" w:rsidRDefault="008A0D80" w:rsidP="008A0D80">
      <w:pPr>
        <w:ind w:left="2700"/>
        <w:rPr>
          <w:color w:val="000000"/>
        </w:rPr>
      </w:pPr>
      <w:r w:rsidRPr="0037624A">
        <w:rPr>
          <w:color w:val="000000"/>
        </w:rPr>
        <w:t>505 Van Ness Avenue, 4</w:t>
      </w:r>
      <w:r w:rsidRPr="0037624A">
        <w:rPr>
          <w:color w:val="000000"/>
          <w:vertAlign w:val="superscript"/>
        </w:rPr>
        <w:t>th</w:t>
      </w:r>
      <w:r w:rsidRPr="0037624A">
        <w:rPr>
          <w:color w:val="000000"/>
        </w:rPr>
        <w:t xml:space="preserve"> Floor</w:t>
      </w:r>
    </w:p>
    <w:p w14:paraId="5EF24765" w14:textId="77777777" w:rsidR="008A0D80" w:rsidRPr="0037624A" w:rsidRDefault="008A0D80" w:rsidP="008A0D80">
      <w:pPr>
        <w:ind w:left="2700"/>
        <w:rPr>
          <w:color w:val="000000"/>
        </w:rPr>
      </w:pPr>
      <w:r w:rsidRPr="0037624A">
        <w:rPr>
          <w:color w:val="000000"/>
        </w:rPr>
        <w:t xml:space="preserve">San Francisco, </w:t>
      </w:r>
      <w:proofErr w:type="gramStart"/>
      <w:r w:rsidRPr="0037624A">
        <w:rPr>
          <w:color w:val="000000"/>
        </w:rPr>
        <w:t>California  94102</w:t>
      </w:r>
      <w:proofErr w:type="gramEnd"/>
    </w:p>
    <w:p w14:paraId="0FA9E86D" w14:textId="77777777" w:rsidR="008A0D80" w:rsidRPr="0037624A" w:rsidRDefault="008A0D80" w:rsidP="008A0D80">
      <w:pPr>
        <w:ind w:left="2700"/>
        <w:rPr>
          <w:color w:val="000000"/>
        </w:rPr>
      </w:pPr>
    </w:p>
    <w:p w14:paraId="0446654F" w14:textId="77777777" w:rsidR="008A0D80" w:rsidRPr="0037624A" w:rsidRDefault="008A0D80" w:rsidP="008A0D80">
      <w:pPr>
        <w:ind w:left="2700"/>
        <w:rPr>
          <w:color w:val="000000"/>
        </w:rPr>
      </w:pPr>
      <w:r w:rsidRPr="0037624A">
        <w:rPr>
          <w:color w:val="000000"/>
        </w:rPr>
        <w:t>Facsimile: (415) 703-2200</w:t>
      </w:r>
    </w:p>
    <w:p w14:paraId="1BA934A9" w14:textId="77777777" w:rsidR="008A0D80" w:rsidRPr="0037624A" w:rsidRDefault="008A0D80" w:rsidP="008A0D80">
      <w:pPr>
        <w:ind w:left="2700"/>
        <w:rPr>
          <w:color w:val="000000"/>
        </w:rPr>
      </w:pPr>
      <w:r w:rsidRPr="0037624A">
        <w:rPr>
          <w:color w:val="000000"/>
        </w:rPr>
        <w:t>E-mail: EDTariffUnit@cpuc.ca.gov</w:t>
      </w:r>
    </w:p>
    <w:p w14:paraId="4555EA45" w14:textId="77777777" w:rsidR="008A0D80" w:rsidRPr="0037624A" w:rsidRDefault="008A0D80" w:rsidP="008A0D80">
      <w:pPr>
        <w:rPr>
          <w:color w:val="000000"/>
        </w:rPr>
      </w:pPr>
    </w:p>
    <w:p w14:paraId="0C093FB9" w14:textId="77777777" w:rsidR="008A0D80" w:rsidRPr="0037624A" w:rsidRDefault="008A0D80" w:rsidP="008A0D80">
      <w:pPr>
        <w:jc w:val="both"/>
        <w:rPr>
          <w:color w:val="000000"/>
        </w:rPr>
      </w:pPr>
      <w:r w:rsidRPr="0037624A">
        <w:rPr>
          <w:color w:val="000000"/>
        </w:rPr>
        <w:t>Copies of protests also should be mailed to the attention of the Director, Energy Division, Room 4004, at the address shown above.</w:t>
      </w:r>
    </w:p>
    <w:p w14:paraId="59DE49D6" w14:textId="77777777" w:rsidR="008A0D80" w:rsidRPr="0037624A" w:rsidRDefault="008A0D80" w:rsidP="008A0D80">
      <w:pPr>
        <w:jc w:val="both"/>
        <w:rPr>
          <w:color w:val="000000"/>
        </w:rPr>
      </w:pPr>
    </w:p>
    <w:p w14:paraId="3FC38855" w14:textId="1E49F057" w:rsidR="008A0D80" w:rsidRPr="0037624A" w:rsidRDefault="008A0D80" w:rsidP="008A0D80">
      <w:pPr>
        <w:jc w:val="both"/>
        <w:rPr>
          <w:color w:val="000000"/>
        </w:rPr>
      </w:pPr>
      <w:r w:rsidRPr="0037624A">
        <w:rPr>
          <w:color w:val="000000"/>
        </w:rPr>
        <w:t xml:space="preserve">The protest shall also be sent to PG&amp;E either via </w:t>
      </w:r>
      <w:r w:rsidR="00F3021F">
        <w:rPr>
          <w:color w:val="000000"/>
        </w:rPr>
        <w:t>e</w:t>
      </w:r>
      <w:r w:rsidRPr="0037624A">
        <w:rPr>
          <w:color w:val="000000"/>
        </w:rPr>
        <w:t xml:space="preserve">-mail or U.S. mail (and by facsimile, if possible) at the address shown below on the same date it is mailed or delivered to the Commission: </w:t>
      </w:r>
    </w:p>
    <w:p w14:paraId="4B520CCE" w14:textId="77777777" w:rsidR="008A0D80" w:rsidRPr="0037624A" w:rsidRDefault="008A0D80" w:rsidP="008A0D80">
      <w:pPr>
        <w:rPr>
          <w:color w:val="000000"/>
        </w:rPr>
      </w:pPr>
    </w:p>
    <w:p w14:paraId="25C21234" w14:textId="77777777" w:rsidR="008A0D80" w:rsidRPr="0037624A" w:rsidRDefault="008A0D80" w:rsidP="008A0D80">
      <w:pPr>
        <w:ind w:left="2700"/>
        <w:rPr>
          <w:color w:val="000000"/>
        </w:rPr>
      </w:pPr>
      <w:r>
        <w:rPr>
          <w:color w:val="000000"/>
        </w:rPr>
        <w:t>Erik Jacobson</w:t>
      </w:r>
    </w:p>
    <w:p w14:paraId="214126CA" w14:textId="77777777" w:rsidR="008A0D80" w:rsidRDefault="008A0D80" w:rsidP="008A0D80">
      <w:pPr>
        <w:ind w:left="2700"/>
        <w:rPr>
          <w:color w:val="000000"/>
        </w:rPr>
      </w:pPr>
      <w:r>
        <w:rPr>
          <w:color w:val="000000"/>
        </w:rPr>
        <w:t>Director</w:t>
      </w:r>
      <w:r w:rsidRPr="0037624A">
        <w:rPr>
          <w:color w:val="000000"/>
        </w:rPr>
        <w:t>, Regulatory Relations</w:t>
      </w:r>
    </w:p>
    <w:p w14:paraId="5B79DB50" w14:textId="77777777" w:rsidR="008A0D80" w:rsidRPr="0037624A" w:rsidRDefault="008A0D80" w:rsidP="008A0D80">
      <w:pPr>
        <w:ind w:left="2700"/>
        <w:rPr>
          <w:color w:val="000000"/>
        </w:rPr>
      </w:pPr>
      <w:r w:rsidRPr="00113E07">
        <w:rPr>
          <w:color w:val="000000"/>
        </w:rPr>
        <w:t>c/o Megan Lawson</w:t>
      </w:r>
    </w:p>
    <w:p w14:paraId="6CDF7449" w14:textId="77777777" w:rsidR="008A0D80" w:rsidRPr="0037624A" w:rsidRDefault="008A0D80" w:rsidP="008A0D80">
      <w:pPr>
        <w:ind w:left="2700"/>
        <w:rPr>
          <w:color w:val="000000"/>
        </w:rPr>
      </w:pPr>
      <w:r w:rsidRPr="0037624A">
        <w:rPr>
          <w:color w:val="000000"/>
        </w:rPr>
        <w:t>Pacific Gas and Electric Company</w:t>
      </w:r>
    </w:p>
    <w:p w14:paraId="537D07C2" w14:textId="44DBC404" w:rsidR="008A0D80" w:rsidRPr="0037624A" w:rsidRDefault="008A0D80" w:rsidP="008A0D80">
      <w:pPr>
        <w:ind w:left="2700"/>
        <w:rPr>
          <w:color w:val="000000"/>
        </w:rPr>
      </w:pPr>
      <w:r>
        <w:rPr>
          <w:color w:val="000000"/>
        </w:rPr>
        <w:t>77 Beale Street, Mail Code B13U</w:t>
      </w:r>
    </w:p>
    <w:p w14:paraId="7E9F8540" w14:textId="77777777" w:rsidR="008A0D80" w:rsidRPr="0037624A" w:rsidRDefault="008A0D80" w:rsidP="008A0D80">
      <w:pPr>
        <w:ind w:left="2700"/>
        <w:rPr>
          <w:color w:val="000000"/>
        </w:rPr>
      </w:pPr>
      <w:r w:rsidRPr="0037624A">
        <w:rPr>
          <w:color w:val="000000"/>
        </w:rPr>
        <w:t>P.O. Box 770000</w:t>
      </w:r>
    </w:p>
    <w:p w14:paraId="48C7D80B" w14:textId="77777777" w:rsidR="008A0D80" w:rsidRPr="0037624A" w:rsidRDefault="008A0D80" w:rsidP="008A0D80">
      <w:pPr>
        <w:ind w:left="2700"/>
        <w:rPr>
          <w:color w:val="000000"/>
        </w:rPr>
      </w:pPr>
      <w:r w:rsidRPr="0037624A">
        <w:rPr>
          <w:color w:val="000000"/>
        </w:rPr>
        <w:t xml:space="preserve">San Francisco, </w:t>
      </w:r>
      <w:proofErr w:type="gramStart"/>
      <w:r w:rsidRPr="0037624A">
        <w:rPr>
          <w:color w:val="000000"/>
        </w:rPr>
        <w:t>California  94177</w:t>
      </w:r>
      <w:proofErr w:type="gramEnd"/>
    </w:p>
    <w:p w14:paraId="35B7F823" w14:textId="77777777" w:rsidR="008A0D80" w:rsidRPr="0037624A" w:rsidRDefault="008A0D80" w:rsidP="008A0D80">
      <w:pPr>
        <w:ind w:left="2700"/>
        <w:rPr>
          <w:color w:val="000000"/>
        </w:rPr>
      </w:pPr>
    </w:p>
    <w:p w14:paraId="6DB71DE5" w14:textId="2C65DB8C" w:rsidR="008A0D80" w:rsidRPr="0037624A" w:rsidRDefault="008A0D80" w:rsidP="008A0D80">
      <w:pPr>
        <w:ind w:left="2700"/>
        <w:rPr>
          <w:color w:val="000000"/>
        </w:rPr>
      </w:pPr>
      <w:r w:rsidRPr="0037624A">
        <w:rPr>
          <w:color w:val="000000"/>
        </w:rPr>
        <w:t>Facsimile: (415) 973-</w:t>
      </w:r>
      <w:r>
        <w:rPr>
          <w:color w:val="000000"/>
        </w:rPr>
        <w:t>3582</w:t>
      </w:r>
    </w:p>
    <w:p w14:paraId="2502C976" w14:textId="77777777" w:rsidR="008A0D80" w:rsidRPr="00193EB3" w:rsidRDefault="008A0D80" w:rsidP="008A0D80">
      <w:pPr>
        <w:ind w:left="2700"/>
        <w:rPr>
          <w:color w:val="000000"/>
        </w:rPr>
      </w:pPr>
      <w:r w:rsidRPr="00193EB3">
        <w:rPr>
          <w:color w:val="000000"/>
        </w:rPr>
        <w:t xml:space="preserve">E-mail: </w:t>
      </w:r>
      <w:r w:rsidRPr="00DE4CF5">
        <w:rPr>
          <w:color w:val="000000"/>
        </w:rPr>
        <w:t>PGETariffs@pge.com</w:t>
      </w:r>
    </w:p>
    <w:p w14:paraId="76F783AA" w14:textId="77777777" w:rsidR="008A0D80" w:rsidRPr="0037624A" w:rsidRDefault="008A0D80" w:rsidP="008A0D80">
      <w:pPr>
        <w:ind w:left="2700"/>
        <w:rPr>
          <w:color w:val="000000"/>
        </w:rPr>
      </w:pPr>
    </w:p>
    <w:p w14:paraId="0F5F9CE4" w14:textId="77777777" w:rsidR="008A0D80" w:rsidRDefault="008A0D80" w:rsidP="008A0D80">
      <w:pPr>
        <w:jc w:val="both"/>
        <w:rPr>
          <w:color w:val="000000"/>
        </w:rPr>
      </w:pPr>
      <w:r w:rsidRPr="0037624A">
        <w:rPr>
          <w:color w:val="000000"/>
        </w:rPr>
        <w:t>Any person (including individuals, groups, or organizations) may protest or respond to an advice letter (G</w:t>
      </w:r>
      <w:r>
        <w:rPr>
          <w:color w:val="000000"/>
        </w:rPr>
        <w:t xml:space="preserve">eneral </w:t>
      </w:r>
      <w:r w:rsidRPr="0037624A">
        <w:rPr>
          <w:color w:val="000000"/>
        </w:rPr>
        <w:t>O</w:t>
      </w:r>
      <w:r>
        <w:rPr>
          <w:color w:val="000000"/>
        </w:rPr>
        <w:t>rder</w:t>
      </w:r>
      <w:r w:rsidRPr="0037624A">
        <w:rPr>
          <w:color w:val="000000"/>
        </w:rPr>
        <w:t xml:space="preserve"> 96-B, </w:t>
      </w:r>
      <w:r>
        <w:rPr>
          <w:color w:val="000000"/>
        </w:rPr>
        <w:t>Section</w:t>
      </w:r>
      <w:r w:rsidRPr="0037624A">
        <w:rPr>
          <w:color w:val="000000"/>
        </w:rPr>
        <w:t xml:space="preserve"> 7.4)</w:t>
      </w:r>
      <w:r>
        <w:rPr>
          <w:color w:val="000000"/>
        </w:rPr>
        <w:t>.</w:t>
      </w:r>
      <w:r w:rsidRPr="0037624A">
        <w:rPr>
          <w:color w:val="000000"/>
        </w:rPr>
        <w:t xml:space="preserve">  The protest shall contain the following information: specification of the advice letter protested; grounds for the protest; supporting factual information or legal argument; name, telephone number, postal address, and (where appropriate) e-mail address of the protestant; and statement that the protest was sent to the utility no later than the day on which the protest was submitted to the reviewing Industry Division (G</w:t>
      </w:r>
      <w:r>
        <w:rPr>
          <w:color w:val="000000"/>
        </w:rPr>
        <w:t xml:space="preserve">eneral </w:t>
      </w:r>
      <w:r w:rsidRPr="0037624A">
        <w:rPr>
          <w:color w:val="000000"/>
        </w:rPr>
        <w:t>O</w:t>
      </w:r>
      <w:r>
        <w:rPr>
          <w:color w:val="000000"/>
        </w:rPr>
        <w:t>rder</w:t>
      </w:r>
      <w:r w:rsidRPr="0037624A">
        <w:rPr>
          <w:color w:val="000000"/>
        </w:rPr>
        <w:t xml:space="preserve"> 96-B, </w:t>
      </w:r>
      <w:r>
        <w:rPr>
          <w:color w:val="000000"/>
        </w:rPr>
        <w:t>Section</w:t>
      </w:r>
      <w:r w:rsidRPr="0037624A">
        <w:rPr>
          <w:color w:val="000000"/>
        </w:rPr>
        <w:t xml:space="preserve"> 3.11).</w:t>
      </w:r>
    </w:p>
    <w:p w14:paraId="7F6A004F" w14:textId="77777777" w:rsidR="008A0D80" w:rsidRDefault="008A0D80" w:rsidP="008A0D80">
      <w:pPr>
        <w:jc w:val="both"/>
        <w:rPr>
          <w:color w:val="000000"/>
        </w:rPr>
      </w:pPr>
    </w:p>
    <w:p w14:paraId="4D220F47" w14:textId="62129EFB" w:rsidR="001F5D85" w:rsidRPr="008A0D80" w:rsidRDefault="001F5D85" w:rsidP="008A0D80">
      <w:pPr>
        <w:jc w:val="both"/>
        <w:rPr>
          <w:b/>
          <w:color w:val="000000"/>
          <w:u w:val="single"/>
        </w:rPr>
      </w:pPr>
      <w:bookmarkStart w:id="6" w:name="_Hlk15329951"/>
      <w:r w:rsidRPr="008A0D80">
        <w:rPr>
          <w:b/>
          <w:u w:val="single"/>
        </w:rPr>
        <w:t>Effective Date</w:t>
      </w:r>
    </w:p>
    <w:p w14:paraId="2EB0E312" w14:textId="77777777" w:rsidR="001F5D85" w:rsidRPr="0037624A" w:rsidRDefault="001F5D85" w:rsidP="008E6649">
      <w:pPr>
        <w:rPr>
          <w:color w:val="000000"/>
        </w:rPr>
      </w:pPr>
    </w:p>
    <w:p w14:paraId="0ED86309" w14:textId="6F7A020E" w:rsidR="008A0D80" w:rsidRDefault="00020189" w:rsidP="008A0D80">
      <w:pPr>
        <w:jc w:val="both"/>
        <w:rPr>
          <w:color w:val="000000"/>
        </w:rPr>
      </w:pPr>
      <w:r>
        <w:rPr>
          <w:color w:val="000000"/>
        </w:rPr>
        <w:t>TBD</w:t>
      </w:r>
    </w:p>
    <w:bookmarkEnd w:id="6"/>
    <w:p w14:paraId="4C7B5760" w14:textId="77777777" w:rsidR="008A0D80" w:rsidRDefault="008A0D80" w:rsidP="008A0D80">
      <w:pPr>
        <w:jc w:val="both"/>
        <w:rPr>
          <w:color w:val="000000"/>
        </w:rPr>
      </w:pPr>
    </w:p>
    <w:p w14:paraId="1431CA11" w14:textId="1E5C0D6A" w:rsidR="001F5D85" w:rsidRPr="008A0D80" w:rsidRDefault="001F5D85" w:rsidP="008A0D80">
      <w:pPr>
        <w:jc w:val="both"/>
        <w:rPr>
          <w:b/>
          <w:color w:val="000000"/>
          <w:u w:val="single"/>
        </w:rPr>
      </w:pPr>
      <w:r w:rsidRPr="008A0D80">
        <w:rPr>
          <w:b/>
          <w:u w:val="single"/>
        </w:rPr>
        <w:t>Notice</w:t>
      </w:r>
    </w:p>
    <w:p w14:paraId="5521AB2B" w14:textId="77777777" w:rsidR="001F5D85" w:rsidRPr="0037624A" w:rsidRDefault="001F5D85" w:rsidP="008E6649">
      <w:pPr>
        <w:rPr>
          <w:color w:val="000000"/>
        </w:rPr>
      </w:pPr>
    </w:p>
    <w:p w14:paraId="07B064EB" w14:textId="075B5E44" w:rsidR="0055571C" w:rsidRPr="0037624A" w:rsidRDefault="008759D8" w:rsidP="00150AC1">
      <w:pPr>
        <w:pStyle w:val="BodyText"/>
        <w:rPr>
          <w:color w:val="000000"/>
        </w:rPr>
      </w:pPr>
      <w:bookmarkStart w:id="7" w:name="OLE_LINK5"/>
      <w:bookmarkStart w:id="8" w:name="OLE_LINK6"/>
      <w:r w:rsidRPr="0037624A">
        <w:rPr>
          <w:color w:val="000000"/>
        </w:rPr>
        <w:t xml:space="preserve">In accordance with General Order 96-B, </w:t>
      </w:r>
      <w:r w:rsidR="00C77021">
        <w:rPr>
          <w:color w:val="000000"/>
        </w:rPr>
        <w:t>Se</w:t>
      </w:r>
      <w:r w:rsidR="00C77021" w:rsidRPr="00150AC1">
        <w:rPr>
          <w:color w:val="000000"/>
        </w:rPr>
        <w:t>ction</w:t>
      </w:r>
      <w:r w:rsidR="00193EB3" w:rsidRPr="00150AC1">
        <w:rPr>
          <w:color w:val="000000"/>
        </w:rPr>
        <w:t xml:space="preserve"> </w:t>
      </w:r>
      <w:r w:rsidR="00C77021" w:rsidRPr="00150AC1">
        <w:rPr>
          <w:color w:val="000000"/>
        </w:rPr>
        <w:t>IV</w:t>
      </w:r>
      <w:r w:rsidRPr="00150AC1">
        <w:rPr>
          <w:color w:val="000000"/>
        </w:rPr>
        <w:t>, a copy of this advice letter is being sent electronically and via U.S. mail to parties shown on the attached list and the parties on the service list</w:t>
      </w:r>
      <w:r w:rsidR="00E66501">
        <w:rPr>
          <w:color w:val="000000"/>
        </w:rPr>
        <w:t>s</w:t>
      </w:r>
      <w:r w:rsidRPr="00150AC1">
        <w:rPr>
          <w:color w:val="000000"/>
        </w:rPr>
        <w:t xml:space="preserve"> for </w:t>
      </w:r>
      <w:r w:rsidR="00150AC1" w:rsidRPr="00150AC1">
        <w:rPr>
          <w:color w:val="000000"/>
        </w:rPr>
        <w:t>R.13-11-005</w:t>
      </w:r>
      <w:r w:rsidR="00E66501">
        <w:rPr>
          <w:color w:val="000000"/>
        </w:rPr>
        <w:t xml:space="preserve">, </w:t>
      </w:r>
      <w:r w:rsidR="00E66501" w:rsidRPr="00E66501">
        <w:rPr>
          <w:color w:val="000000"/>
        </w:rPr>
        <w:t>A.17-01-013</w:t>
      </w:r>
      <w:r w:rsidR="004E495D">
        <w:rPr>
          <w:color w:val="000000"/>
        </w:rPr>
        <w:t xml:space="preserve"> et al</w:t>
      </w:r>
      <w:r w:rsidRPr="00150AC1">
        <w:rPr>
          <w:color w:val="000000"/>
        </w:rPr>
        <w:t xml:space="preserve">.  Address changes to the General Order 96-B service list should be directed to </w:t>
      </w:r>
      <w:r w:rsidR="00AC2853" w:rsidRPr="00150AC1">
        <w:rPr>
          <w:color w:val="000000"/>
        </w:rPr>
        <w:t>PG&amp;E at email address PGETariffs@pge.com</w:t>
      </w:r>
      <w:r w:rsidRPr="00150AC1">
        <w:rPr>
          <w:color w:val="000000"/>
        </w:rPr>
        <w:t xml:space="preserve">.  For changes to any other service list, please contact the </w:t>
      </w:r>
      <w:r w:rsidRPr="00150AC1">
        <w:rPr>
          <w:color w:val="000000"/>
        </w:rPr>
        <w:lastRenderedPageBreak/>
        <w:t>Commission’s Proc</w:t>
      </w:r>
      <w:r w:rsidRPr="0037624A">
        <w:rPr>
          <w:color w:val="000000"/>
        </w:rPr>
        <w:t>ess Office at (415) 703-2021 or at Process</w:t>
      </w:r>
      <w:r w:rsidR="006208EC" w:rsidRPr="0037624A">
        <w:rPr>
          <w:color w:val="000000"/>
        </w:rPr>
        <w:t>_</w:t>
      </w:r>
      <w:r w:rsidRPr="0037624A">
        <w:rPr>
          <w:color w:val="000000"/>
        </w:rPr>
        <w:t xml:space="preserve">Office@cpuc.ca.gov.  Send all electronic approvals to PGETariffs@pge.com.  Advice letter filings can also be accessed electronically at: </w:t>
      </w:r>
      <w:r w:rsidR="001F5D85" w:rsidRPr="0037624A">
        <w:t>http://www.pge.com/tariffs</w:t>
      </w:r>
      <w:bookmarkEnd w:id="7"/>
      <w:bookmarkEnd w:id="8"/>
      <w:r w:rsidR="007B077A">
        <w:t>/.</w:t>
      </w:r>
    </w:p>
    <w:p w14:paraId="151C4C1D" w14:textId="77777777" w:rsidR="0055571C" w:rsidRPr="0037624A" w:rsidRDefault="0055571C" w:rsidP="008E6649">
      <w:pPr>
        <w:rPr>
          <w:color w:val="000000"/>
        </w:rPr>
      </w:pPr>
    </w:p>
    <w:p w14:paraId="79A0A59C" w14:textId="77777777" w:rsidR="0055571C" w:rsidRPr="0037624A" w:rsidRDefault="0055571C" w:rsidP="008E6649">
      <w:pPr>
        <w:rPr>
          <w:color w:val="000000"/>
        </w:rPr>
      </w:pPr>
    </w:p>
    <w:p w14:paraId="22FE50E7" w14:textId="77777777" w:rsidR="0055571C" w:rsidRDefault="00AE02D4" w:rsidP="008E6649">
      <w:pPr>
        <w:rPr>
          <w:color w:val="000000"/>
          <w:u w:val="single"/>
        </w:rPr>
      </w:pPr>
      <w:r>
        <w:rPr>
          <w:color w:val="000000"/>
          <w:u w:val="single"/>
        </w:rPr>
        <w:tab/>
      </w:r>
      <w:r>
        <w:rPr>
          <w:color w:val="000000"/>
          <w:u w:val="single"/>
        </w:rPr>
        <w:tab/>
        <w:t>/S/</w:t>
      </w:r>
      <w:r>
        <w:rPr>
          <w:color w:val="000000"/>
          <w:u w:val="single"/>
        </w:rPr>
        <w:tab/>
      </w:r>
      <w:r>
        <w:rPr>
          <w:color w:val="000000"/>
          <w:u w:val="single"/>
        </w:rPr>
        <w:tab/>
      </w:r>
      <w:r>
        <w:rPr>
          <w:color w:val="000000"/>
          <w:u w:val="single"/>
        </w:rPr>
        <w:tab/>
      </w:r>
    </w:p>
    <w:p w14:paraId="117271E2" w14:textId="77777777" w:rsidR="00AE02D4" w:rsidRPr="00AE02D4" w:rsidRDefault="00120425" w:rsidP="008E6649">
      <w:pPr>
        <w:rPr>
          <w:color w:val="000000"/>
        </w:rPr>
      </w:pPr>
      <w:r>
        <w:rPr>
          <w:color w:val="000000"/>
        </w:rPr>
        <w:t>Erik Jacobson</w:t>
      </w:r>
    </w:p>
    <w:p w14:paraId="6E8794E9" w14:textId="77777777" w:rsidR="001F5D85" w:rsidRPr="0037624A" w:rsidRDefault="00085268" w:rsidP="008E6649">
      <w:pPr>
        <w:rPr>
          <w:color w:val="000000"/>
        </w:rPr>
      </w:pPr>
      <w:r>
        <w:rPr>
          <w:color w:val="000000"/>
        </w:rPr>
        <w:t>Director</w:t>
      </w:r>
      <w:r w:rsidR="001F5D85" w:rsidRPr="0037624A">
        <w:rPr>
          <w:color w:val="000000"/>
        </w:rPr>
        <w:t>, Regulat</w:t>
      </w:r>
      <w:r w:rsidR="00135C8C" w:rsidRPr="0037624A">
        <w:rPr>
          <w:color w:val="000000"/>
        </w:rPr>
        <w:t>ory Relations</w:t>
      </w:r>
    </w:p>
    <w:p w14:paraId="6268961E" w14:textId="77777777" w:rsidR="001F5D85" w:rsidRDefault="001F5D85" w:rsidP="008E6649">
      <w:pPr>
        <w:rPr>
          <w:color w:val="000000"/>
        </w:rPr>
      </w:pPr>
    </w:p>
    <w:p w14:paraId="159600F1" w14:textId="77777777" w:rsidR="00F3021F" w:rsidRDefault="00F3021F" w:rsidP="008E6649">
      <w:pPr>
        <w:rPr>
          <w:color w:val="000000"/>
        </w:rPr>
      </w:pPr>
    </w:p>
    <w:p w14:paraId="36AECE08" w14:textId="77777777" w:rsidR="00F3021F" w:rsidRDefault="00F3021F" w:rsidP="008E6649">
      <w:pPr>
        <w:rPr>
          <w:color w:val="000000"/>
        </w:rPr>
      </w:pPr>
    </w:p>
    <w:p w14:paraId="494EBB35" w14:textId="4A0C45BA" w:rsidR="00EC5504" w:rsidRPr="0037624A" w:rsidRDefault="00EC5504" w:rsidP="008E6649">
      <w:pPr>
        <w:rPr>
          <w:color w:val="000000"/>
        </w:rPr>
      </w:pPr>
      <w:r>
        <w:rPr>
          <w:color w:val="000000"/>
        </w:rPr>
        <w:t>Attachments</w:t>
      </w:r>
    </w:p>
    <w:p w14:paraId="2A422A69" w14:textId="77777777" w:rsidR="009D4472" w:rsidRPr="008660D4" w:rsidDel="00C3387E" w:rsidRDefault="009D4472" w:rsidP="009D4472">
      <w:pPr>
        <w:pStyle w:val="ListParagraph"/>
        <w:numPr>
          <w:ilvl w:val="1"/>
          <w:numId w:val="3"/>
        </w:numPr>
        <w:jc w:val="both"/>
        <w:rPr>
          <w:color w:val="000000"/>
        </w:rPr>
      </w:pPr>
      <w:r w:rsidRPr="008660D4" w:rsidDel="00C3387E">
        <w:rPr>
          <w:color w:val="000000"/>
        </w:rPr>
        <w:t xml:space="preserve">Attachment 1 </w:t>
      </w:r>
      <w:r w:rsidRPr="008660D4">
        <w:rPr>
          <w:color w:val="000000"/>
        </w:rPr>
        <w:t>–</w:t>
      </w:r>
      <w:r w:rsidRPr="008660D4" w:rsidDel="00C3387E">
        <w:rPr>
          <w:color w:val="000000"/>
        </w:rPr>
        <w:t xml:space="preserve"> </w:t>
      </w:r>
      <w:r>
        <w:rPr>
          <w:color w:val="000000"/>
        </w:rPr>
        <w:t>California Energy Data and Reporting System (</w:t>
      </w:r>
      <w:r w:rsidRPr="008660D4">
        <w:rPr>
          <w:color w:val="000000"/>
        </w:rPr>
        <w:t>CEDARS</w:t>
      </w:r>
      <w:r>
        <w:rPr>
          <w:color w:val="000000"/>
        </w:rPr>
        <w:t>)</w:t>
      </w:r>
      <w:r w:rsidRPr="008660D4">
        <w:rPr>
          <w:color w:val="000000"/>
        </w:rPr>
        <w:t xml:space="preserve"> Filing Confirmation</w:t>
      </w:r>
    </w:p>
    <w:p w14:paraId="46C5E15B" w14:textId="77777777" w:rsidR="009D4472" w:rsidRPr="008660D4" w:rsidDel="00C3387E" w:rsidRDefault="009D4472" w:rsidP="009D4472">
      <w:pPr>
        <w:pStyle w:val="ListParagraph"/>
        <w:numPr>
          <w:ilvl w:val="1"/>
          <w:numId w:val="3"/>
        </w:numPr>
        <w:jc w:val="both"/>
        <w:rPr>
          <w:color w:val="000000"/>
        </w:rPr>
      </w:pPr>
      <w:r w:rsidRPr="008660D4" w:rsidDel="00C3387E">
        <w:rPr>
          <w:color w:val="000000"/>
        </w:rPr>
        <w:t xml:space="preserve">Attachment </w:t>
      </w:r>
      <w:r w:rsidRPr="008660D4">
        <w:rPr>
          <w:color w:val="000000"/>
        </w:rPr>
        <w:t>2</w:t>
      </w:r>
      <w:r w:rsidRPr="009047D2" w:rsidDel="00C3387E">
        <w:rPr>
          <w:color w:val="000000"/>
        </w:rPr>
        <w:t xml:space="preserve"> </w:t>
      </w:r>
      <w:r w:rsidRPr="008660D4">
        <w:rPr>
          <w:color w:val="000000"/>
        </w:rPr>
        <w:t>–</w:t>
      </w:r>
      <w:r w:rsidRPr="008660D4" w:rsidDel="00C3387E">
        <w:rPr>
          <w:color w:val="000000"/>
        </w:rPr>
        <w:t xml:space="preserve"> </w:t>
      </w:r>
      <w:r>
        <w:rPr>
          <w:color w:val="000000"/>
        </w:rPr>
        <w:t xml:space="preserve">Appendices </w:t>
      </w:r>
    </w:p>
    <w:p w14:paraId="3063486F" w14:textId="77777777" w:rsidR="009D4472" w:rsidRPr="008660D4" w:rsidDel="00C3387E" w:rsidRDefault="009D4472" w:rsidP="009D4472">
      <w:pPr>
        <w:pStyle w:val="ListParagraph"/>
        <w:numPr>
          <w:ilvl w:val="1"/>
          <w:numId w:val="3"/>
        </w:numPr>
        <w:jc w:val="both"/>
        <w:rPr>
          <w:color w:val="000000"/>
        </w:rPr>
      </w:pPr>
      <w:r w:rsidRPr="008660D4">
        <w:rPr>
          <w:color w:val="000000"/>
        </w:rPr>
        <w:t>Attachment 3</w:t>
      </w:r>
      <w:r w:rsidRPr="009047D2">
        <w:rPr>
          <w:color w:val="000000"/>
        </w:rPr>
        <w:t xml:space="preserve"> </w:t>
      </w:r>
      <w:r w:rsidRPr="008660D4">
        <w:rPr>
          <w:color w:val="000000"/>
        </w:rPr>
        <w:t xml:space="preserve">– </w:t>
      </w:r>
      <w:r>
        <w:rPr>
          <w:color w:val="000000"/>
        </w:rPr>
        <w:t>Caps and Targets Tables</w:t>
      </w:r>
    </w:p>
    <w:p w14:paraId="6BDEA523" w14:textId="77777777" w:rsidR="009D4472" w:rsidRDefault="009D4472" w:rsidP="009D4472">
      <w:pPr>
        <w:pStyle w:val="ListParagraph"/>
        <w:numPr>
          <w:ilvl w:val="1"/>
          <w:numId w:val="3"/>
        </w:numPr>
        <w:jc w:val="both"/>
        <w:rPr>
          <w:color w:val="000000"/>
        </w:rPr>
      </w:pPr>
      <w:r w:rsidRPr="008660D4">
        <w:rPr>
          <w:color w:val="000000"/>
        </w:rPr>
        <w:t>Attachment 4</w:t>
      </w:r>
      <w:r w:rsidRPr="009047D2">
        <w:rPr>
          <w:color w:val="000000"/>
        </w:rPr>
        <w:t xml:space="preserve"> </w:t>
      </w:r>
      <w:r w:rsidRPr="008660D4">
        <w:rPr>
          <w:color w:val="000000"/>
        </w:rPr>
        <w:t xml:space="preserve">– </w:t>
      </w:r>
      <w:r>
        <w:rPr>
          <w:color w:val="000000"/>
        </w:rPr>
        <w:t>Program Closures</w:t>
      </w:r>
    </w:p>
    <w:p w14:paraId="5AB24778" w14:textId="7BAC3C19" w:rsidR="00E62EDE" w:rsidRPr="0038314A" w:rsidRDefault="00E62EDE" w:rsidP="000374A2">
      <w:pPr>
        <w:pStyle w:val="ListParagraph"/>
        <w:rPr>
          <w:color w:val="000000"/>
        </w:rPr>
      </w:pPr>
    </w:p>
    <w:p w14:paraId="6D416A34" w14:textId="77777777" w:rsidR="001F5D85" w:rsidRPr="0037624A" w:rsidRDefault="001F5D85" w:rsidP="008E6649">
      <w:pPr>
        <w:rPr>
          <w:color w:val="000000"/>
        </w:rPr>
      </w:pPr>
    </w:p>
    <w:p w14:paraId="4171F281" w14:textId="1AC1BF33" w:rsidR="009B6B42" w:rsidRDefault="00CB6EAA" w:rsidP="00E66775">
      <w:pPr>
        <w:ind w:left="720" w:hanging="720"/>
        <w:rPr>
          <w:color w:val="000000"/>
        </w:rPr>
      </w:pPr>
      <w:r>
        <w:rPr>
          <w:color w:val="000000"/>
        </w:rPr>
        <w:t>cc:</w:t>
      </w:r>
      <w:r>
        <w:rPr>
          <w:color w:val="000000"/>
        </w:rPr>
        <w:tab/>
      </w:r>
      <w:r w:rsidR="009B6B42">
        <w:rPr>
          <w:color w:val="000000"/>
        </w:rPr>
        <w:t xml:space="preserve">Peter </w:t>
      </w:r>
      <w:r w:rsidR="009B6B42" w:rsidRPr="009B6B42">
        <w:rPr>
          <w:color w:val="000000"/>
        </w:rPr>
        <w:t>Franzese</w:t>
      </w:r>
      <w:r w:rsidR="009B6B42">
        <w:rPr>
          <w:color w:val="000000"/>
        </w:rPr>
        <w:t>, Energy Division</w:t>
      </w:r>
    </w:p>
    <w:p w14:paraId="01C37C02" w14:textId="481383B5" w:rsidR="00C3387E" w:rsidRDefault="009B6B42" w:rsidP="00E66775">
      <w:pPr>
        <w:ind w:left="720" w:hanging="720"/>
        <w:rPr>
          <w:color w:val="000000"/>
        </w:rPr>
      </w:pPr>
      <w:r>
        <w:rPr>
          <w:color w:val="000000"/>
        </w:rPr>
        <w:tab/>
      </w:r>
      <w:r w:rsidR="001F5D85" w:rsidRPr="0037624A">
        <w:rPr>
          <w:color w:val="000000"/>
        </w:rPr>
        <w:t>Service List</w:t>
      </w:r>
      <w:r w:rsidR="0079078D">
        <w:rPr>
          <w:color w:val="000000"/>
        </w:rPr>
        <w:t xml:space="preserve"> </w:t>
      </w:r>
      <w:r w:rsidR="0079078D" w:rsidRPr="00150AC1">
        <w:rPr>
          <w:color w:val="000000"/>
        </w:rPr>
        <w:t>R.13-11-005</w:t>
      </w:r>
    </w:p>
    <w:p w14:paraId="631C2D52" w14:textId="682F753B" w:rsidR="00740F50" w:rsidRDefault="00740F50" w:rsidP="00E66775">
      <w:pPr>
        <w:ind w:left="720" w:hanging="720"/>
        <w:rPr>
          <w:color w:val="000000"/>
        </w:rPr>
      </w:pPr>
      <w:r>
        <w:rPr>
          <w:color w:val="000000"/>
        </w:rPr>
        <w:tab/>
        <w:t xml:space="preserve">Service List </w:t>
      </w:r>
      <w:r w:rsidRPr="00E66501">
        <w:rPr>
          <w:color w:val="000000"/>
        </w:rPr>
        <w:t>A.17-01-013</w:t>
      </w:r>
      <w:r>
        <w:rPr>
          <w:color w:val="000000"/>
        </w:rPr>
        <w:t xml:space="preserve"> </w:t>
      </w:r>
      <w:r w:rsidR="00E64E3E">
        <w:rPr>
          <w:color w:val="000000"/>
        </w:rPr>
        <w:t>et al.</w:t>
      </w:r>
    </w:p>
    <w:p w14:paraId="59BE686D" w14:textId="40170F7C" w:rsidR="00C3387E" w:rsidRDefault="00C3387E" w:rsidP="00740F50">
      <w:pPr>
        <w:ind w:left="720"/>
        <w:rPr>
          <w:color w:val="000000"/>
        </w:rPr>
      </w:pPr>
    </w:p>
    <w:sectPr w:rsidR="00C3387E" w:rsidSect="00A619A4">
      <w:headerReference w:type="even" r:id="rId15"/>
      <w:headerReference w:type="default" r:id="rId16"/>
      <w:headerReference w:type="first" r:id="rId17"/>
      <w:pgSz w:w="12240" w:h="15840" w:code="1"/>
      <w:pgMar w:top="1440" w:right="1440" w:bottom="1440" w:left="1440" w:header="1008"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5C0A5" w14:textId="77777777" w:rsidR="003E5229" w:rsidRDefault="003E5229">
      <w:r>
        <w:separator/>
      </w:r>
    </w:p>
  </w:endnote>
  <w:endnote w:type="continuationSeparator" w:id="0">
    <w:p w14:paraId="01E42C6B" w14:textId="77777777" w:rsidR="003E5229" w:rsidRDefault="003E5229">
      <w:r>
        <w:continuationSeparator/>
      </w:r>
    </w:p>
  </w:endnote>
  <w:endnote w:type="continuationNotice" w:id="1">
    <w:p w14:paraId="7C8B0636" w14:textId="77777777" w:rsidR="003E5229" w:rsidRDefault="003E52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Univers Condensed">
    <w:charset w:val="00"/>
    <w:family w:val="swiss"/>
    <w:pitch w:val="variable"/>
    <w:sig w:usb0="80000287" w:usb1="00000000" w:usb2="00000000" w:usb3="00000000" w:csb0="0000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E382C" w14:textId="77777777" w:rsidR="003E5229" w:rsidRDefault="003E5229">
      <w:r>
        <w:separator/>
      </w:r>
    </w:p>
  </w:footnote>
  <w:footnote w:type="continuationSeparator" w:id="0">
    <w:p w14:paraId="5ADB532E" w14:textId="77777777" w:rsidR="003E5229" w:rsidRDefault="003E5229">
      <w:r>
        <w:continuationSeparator/>
      </w:r>
    </w:p>
  </w:footnote>
  <w:footnote w:type="continuationNotice" w:id="1">
    <w:p w14:paraId="129ABA41" w14:textId="77777777" w:rsidR="003E5229" w:rsidRDefault="003E5229"/>
  </w:footnote>
  <w:footnote w:id="2">
    <w:p w14:paraId="798BF96B" w14:textId="6FF4DCDD" w:rsidR="003E5229" w:rsidRPr="00DE7BF6" w:rsidRDefault="003E5229" w:rsidP="00926096">
      <w:pPr>
        <w:pStyle w:val="FootnoteText"/>
        <w:ind w:left="270" w:hanging="270"/>
        <w:jc w:val="both"/>
        <w:rPr>
          <w:szCs w:val="22"/>
        </w:rPr>
      </w:pPr>
      <w:r w:rsidRPr="00DE7BF6">
        <w:rPr>
          <w:rStyle w:val="FootnoteReference"/>
          <w:szCs w:val="22"/>
        </w:rPr>
        <w:footnoteRef/>
      </w:r>
      <w:r w:rsidRPr="00DE7BF6">
        <w:rPr>
          <w:szCs w:val="22"/>
        </w:rPr>
        <w:tab/>
        <w:t xml:space="preserve">D.15-10-028, Ordering Paragraph (OP) 4. </w:t>
      </w:r>
    </w:p>
  </w:footnote>
  <w:footnote w:id="3">
    <w:p w14:paraId="547398D1" w14:textId="241859B6" w:rsidR="003E5229" w:rsidRPr="00DE7BF6" w:rsidRDefault="003E5229" w:rsidP="00260E01">
      <w:pPr>
        <w:pStyle w:val="FootnoteText"/>
        <w:ind w:left="270" w:hanging="270"/>
        <w:jc w:val="both"/>
        <w:rPr>
          <w:szCs w:val="22"/>
        </w:rPr>
      </w:pPr>
      <w:r w:rsidRPr="00DE7BF6">
        <w:rPr>
          <w:rStyle w:val="FootnoteReference"/>
          <w:szCs w:val="22"/>
        </w:rPr>
        <w:footnoteRef/>
      </w:r>
      <w:r w:rsidRPr="00DE7BF6">
        <w:rPr>
          <w:szCs w:val="22"/>
        </w:rPr>
        <w:tab/>
        <w:t xml:space="preserve">D.18-05-041, OP 41-47. </w:t>
      </w:r>
    </w:p>
  </w:footnote>
  <w:footnote w:id="4">
    <w:p w14:paraId="30F63D30" w14:textId="34BA45C6" w:rsidR="003E5229" w:rsidRPr="00260E01" w:rsidRDefault="003E5229" w:rsidP="00260E01">
      <w:pPr>
        <w:pStyle w:val="FootnoteText"/>
        <w:ind w:left="270" w:hanging="270"/>
        <w:jc w:val="both"/>
        <w:rPr>
          <w:sz w:val="22"/>
          <w:szCs w:val="22"/>
        </w:rPr>
      </w:pPr>
      <w:r w:rsidRPr="00DE7BF6">
        <w:rPr>
          <w:rStyle w:val="FootnoteReference"/>
          <w:szCs w:val="22"/>
        </w:rPr>
        <w:footnoteRef/>
      </w:r>
      <w:r w:rsidRPr="00DE7BF6">
        <w:rPr>
          <w:szCs w:val="22"/>
        </w:rPr>
        <w:tab/>
        <w:t>D.15-10-028, OP 4.</w:t>
      </w:r>
    </w:p>
  </w:footnote>
  <w:footnote w:id="5">
    <w:p w14:paraId="2E96EC85" w14:textId="77777777" w:rsidR="003E5229" w:rsidRPr="00DE7BF6" w:rsidRDefault="003E5229" w:rsidP="00A21535">
      <w:pPr>
        <w:pStyle w:val="FootnoteText"/>
        <w:rPr>
          <w:szCs w:val="22"/>
        </w:rPr>
      </w:pPr>
      <w:r w:rsidRPr="00DE7BF6">
        <w:rPr>
          <w:rStyle w:val="FootnoteReference"/>
          <w:szCs w:val="22"/>
        </w:rPr>
        <w:footnoteRef/>
      </w:r>
      <w:r w:rsidRPr="00DE7BF6">
        <w:rPr>
          <w:szCs w:val="22"/>
        </w:rPr>
        <w:t xml:space="preserve">  D.18-05-041, p. 133</w:t>
      </w:r>
    </w:p>
  </w:footnote>
  <w:footnote w:id="6">
    <w:p w14:paraId="22177B52" w14:textId="00BEA96A" w:rsidR="003E5229" w:rsidRDefault="003E5229" w:rsidP="00CC735F">
      <w:pPr>
        <w:pStyle w:val="FootnoteText"/>
      </w:pPr>
      <w:r w:rsidRPr="00DE7BF6">
        <w:rPr>
          <w:rStyle w:val="FootnoteReference"/>
          <w:szCs w:val="22"/>
        </w:rPr>
        <w:footnoteRef/>
      </w:r>
      <w:r w:rsidRPr="00DE7BF6">
        <w:rPr>
          <w:szCs w:val="22"/>
        </w:rPr>
        <w:t xml:space="preserve"> </w:t>
      </w:r>
      <w:r w:rsidR="009F2500" w:rsidRPr="00DE7BF6">
        <w:rPr>
          <w:szCs w:val="22"/>
        </w:rPr>
        <w:t xml:space="preserve"> </w:t>
      </w:r>
      <w:r w:rsidRPr="00DE7BF6">
        <w:rPr>
          <w:szCs w:val="22"/>
        </w:rPr>
        <w:t>D.18-05-041, p. 134-135</w:t>
      </w:r>
    </w:p>
  </w:footnote>
  <w:footnote w:id="7">
    <w:p w14:paraId="7507F25E" w14:textId="77777777" w:rsidR="003E5229" w:rsidRDefault="003E5229" w:rsidP="001C276C">
      <w:pPr>
        <w:pStyle w:val="FootnoteText"/>
      </w:pPr>
      <w:r>
        <w:rPr>
          <w:rStyle w:val="FootnoteReference"/>
        </w:rPr>
        <w:footnoteRef/>
      </w:r>
      <w:r>
        <w:t xml:space="preserve"> D.18-05-041, OP 10</w:t>
      </w:r>
    </w:p>
  </w:footnote>
  <w:footnote w:id="8">
    <w:p w14:paraId="59535EB8" w14:textId="2A6E2926" w:rsidR="003E5229" w:rsidRPr="007C32C2" w:rsidRDefault="003E5229" w:rsidP="00260E01">
      <w:pPr>
        <w:pStyle w:val="FootnoteText"/>
        <w:ind w:left="270" w:hanging="270"/>
        <w:jc w:val="both"/>
        <w:rPr>
          <w:rFonts w:cs="Arial"/>
          <w:color w:val="FF0000"/>
          <w:sz w:val="22"/>
          <w:szCs w:val="22"/>
        </w:rPr>
      </w:pPr>
      <w:r w:rsidRPr="0044476C">
        <w:rPr>
          <w:rStyle w:val="FootnoteReference"/>
        </w:rPr>
        <w:footnoteRef/>
      </w:r>
      <w:r w:rsidRPr="0044476C">
        <w:rPr>
          <w:rFonts w:cs="Arial"/>
        </w:rPr>
        <w:tab/>
      </w:r>
      <w:r w:rsidRPr="002814DA">
        <w:t xml:space="preserve">The </w:t>
      </w:r>
      <w:r>
        <w:t>2020</w:t>
      </w:r>
      <w:r w:rsidRPr="002814DA">
        <w:t xml:space="preserve"> CET User Interface from CEDARS was used to calculate cost-effectiveness.</w:t>
      </w:r>
      <w:r>
        <w:rPr>
          <w:sz w:val="22"/>
          <w:szCs w:val="22"/>
        </w:rPr>
        <w:t xml:space="preserve"> </w:t>
      </w:r>
    </w:p>
  </w:footnote>
  <w:footnote w:id="9">
    <w:p w14:paraId="22F438A1" w14:textId="3E47D47E" w:rsidR="003E5229" w:rsidRDefault="003E5229" w:rsidP="00DE7BF6">
      <w:pPr>
        <w:pStyle w:val="FootnoteText"/>
      </w:pPr>
      <w:r>
        <w:rPr>
          <w:rStyle w:val="FootnoteReference"/>
        </w:rPr>
        <w:footnoteRef/>
      </w:r>
      <w:r>
        <w:t xml:space="preserve"> PG&amp;E’s </w:t>
      </w:r>
      <w:r w:rsidRPr="00681EDD">
        <w:t>$</w:t>
      </w:r>
      <w:r w:rsidRPr="009778EA">
        <w:t>12</w:t>
      </w:r>
      <w:r>
        <w:t xml:space="preserve"> million ESPI award estimate for 2020 is based on historical trends of ESPI awards from </w:t>
      </w:r>
      <w:r w:rsidR="0090491C">
        <w:t>past years</w:t>
      </w:r>
      <w:r>
        <w:t>.</w:t>
      </w:r>
    </w:p>
  </w:footnote>
  <w:footnote w:id="10">
    <w:p w14:paraId="6627D3F3" w14:textId="5D7E110C" w:rsidR="003E5229" w:rsidRPr="00260E01" w:rsidRDefault="003E5229" w:rsidP="00260E01">
      <w:pPr>
        <w:pStyle w:val="FootnoteText"/>
        <w:tabs>
          <w:tab w:val="left" w:pos="270"/>
        </w:tabs>
        <w:ind w:left="270" w:hanging="270"/>
        <w:jc w:val="both"/>
        <w:rPr>
          <w:sz w:val="22"/>
          <w:szCs w:val="22"/>
        </w:rPr>
      </w:pPr>
      <w:r w:rsidRPr="00260E01">
        <w:rPr>
          <w:rStyle w:val="FootnoteReference"/>
          <w:sz w:val="22"/>
          <w:szCs w:val="22"/>
        </w:rPr>
        <w:footnoteRef/>
      </w:r>
      <w:r w:rsidRPr="00260E01">
        <w:rPr>
          <w:sz w:val="22"/>
          <w:szCs w:val="22"/>
        </w:rPr>
        <w:t xml:space="preserve"> </w:t>
      </w:r>
      <w:r w:rsidRPr="00260E01">
        <w:rPr>
          <w:sz w:val="22"/>
          <w:szCs w:val="22"/>
        </w:rPr>
        <w:tab/>
      </w:r>
      <w:r>
        <w:t xml:space="preserve">D.12-11-015.  </w:t>
      </w:r>
    </w:p>
  </w:footnote>
  <w:footnote w:id="11">
    <w:p w14:paraId="187DB50D" w14:textId="00B2E720" w:rsidR="003E5229" w:rsidRDefault="003E5229" w:rsidP="00E1073D">
      <w:pPr>
        <w:pStyle w:val="FootnoteText"/>
      </w:pPr>
      <w:r>
        <w:rPr>
          <w:rStyle w:val="FootnoteReference"/>
        </w:rPr>
        <w:footnoteRef/>
      </w:r>
      <w:r>
        <w:t xml:space="preserve"> These funds were approved in D.18-05-041, OP 12. See also PG&amp;E’s Business Plan Budgets per A.17-01-015.</w:t>
      </w:r>
    </w:p>
    <w:p w14:paraId="47EB54E9" w14:textId="730FD214" w:rsidR="003E5229" w:rsidRDefault="003E5229">
      <w:pPr>
        <w:pStyle w:val="FootnoteText"/>
      </w:pPr>
    </w:p>
  </w:footnote>
  <w:footnote w:id="12">
    <w:p w14:paraId="6EE57136" w14:textId="63EB5AC2" w:rsidR="003E5229" w:rsidRDefault="003E5229">
      <w:pPr>
        <w:pStyle w:val="FootnoteText"/>
      </w:pPr>
      <w:r>
        <w:rPr>
          <w:rStyle w:val="FootnoteReference"/>
        </w:rPr>
        <w:footnoteRef/>
      </w:r>
      <w:r>
        <w:t xml:space="preserve"> Administrative Law Judge’s Ruling Providing Guidance for the 2012-2014 Demand Response Applications, Rulemaking (R.) 07-01-041, August 27, 2010 directed that future authority and funding for the demand response portion of the Integrated Design-Side Management activities be considered in EE proceedings starting with the EE applications for 2013-2015. These funds were approved in D.18-05-041, OP 10.</w:t>
      </w:r>
    </w:p>
  </w:footnote>
  <w:footnote w:id="13">
    <w:p w14:paraId="2F129D51" w14:textId="77777777" w:rsidR="003E5229" w:rsidRPr="00260E01" w:rsidRDefault="003E5229" w:rsidP="00260E01">
      <w:pPr>
        <w:pStyle w:val="FootnoteText"/>
        <w:ind w:left="270" w:hanging="270"/>
        <w:jc w:val="both"/>
        <w:rPr>
          <w:sz w:val="22"/>
          <w:szCs w:val="22"/>
        </w:rPr>
      </w:pPr>
      <w:r w:rsidRPr="00260E01">
        <w:rPr>
          <w:rStyle w:val="FootnoteReference"/>
          <w:sz w:val="22"/>
          <w:szCs w:val="22"/>
        </w:rPr>
        <w:footnoteRef/>
      </w:r>
      <w:r w:rsidRPr="00260E01">
        <w:rPr>
          <w:sz w:val="22"/>
          <w:szCs w:val="22"/>
        </w:rPr>
        <w:tab/>
      </w:r>
      <w:r w:rsidRPr="002814DA">
        <w:rPr>
          <w:szCs w:val="22"/>
        </w:rPr>
        <w:t>D.15-10-028, p. 60.</w:t>
      </w:r>
    </w:p>
  </w:footnote>
  <w:footnote w:id="14">
    <w:p w14:paraId="782A0BCE" w14:textId="0E247943" w:rsidR="003E5229" w:rsidRDefault="003E5229" w:rsidP="002814DA">
      <w:pPr>
        <w:pStyle w:val="FootnoteText"/>
        <w:tabs>
          <w:tab w:val="right" w:pos="9360"/>
        </w:tabs>
      </w:pPr>
      <w:r>
        <w:rPr>
          <w:rStyle w:val="FootnoteReference"/>
        </w:rPr>
        <w:footnoteRef/>
      </w:r>
      <w:r>
        <w:t xml:space="preserve">  D.18-05-041</w:t>
      </w:r>
      <w:r>
        <w:tab/>
      </w:r>
    </w:p>
  </w:footnote>
  <w:footnote w:id="15">
    <w:p w14:paraId="3DE885FB" w14:textId="016FE860" w:rsidR="003E5229" w:rsidRDefault="003E5229">
      <w:pPr>
        <w:pStyle w:val="FootnoteText"/>
      </w:pPr>
      <w:r>
        <w:rPr>
          <w:rStyle w:val="FootnoteReference"/>
        </w:rPr>
        <w:footnoteRef/>
      </w:r>
      <w:r>
        <w:t xml:space="preserve"> </w:t>
      </w:r>
      <w:r w:rsidR="00DE7BF6">
        <w:t xml:space="preserve"> </w:t>
      </w:r>
      <w:r w:rsidRPr="00F90B22">
        <w:rPr>
          <w:color w:val="000000"/>
        </w:rPr>
        <w:t>D.10-04-029, D.12-05-015, D.14-10-046, D.15-10-028, D.16-08-019</w:t>
      </w:r>
    </w:p>
  </w:footnote>
  <w:footnote w:id="16">
    <w:p w14:paraId="6E549411" w14:textId="3493072C" w:rsidR="003E5229" w:rsidRPr="00260E01" w:rsidRDefault="003E5229" w:rsidP="00260E01">
      <w:pPr>
        <w:pStyle w:val="FootnoteText"/>
        <w:ind w:left="270" w:hanging="270"/>
        <w:jc w:val="both"/>
        <w:rPr>
          <w:sz w:val="22"/>
          <w:szCs w:val="22"/>
        </w:rPr>
      </w:pPr>
      <w:r w:rsidRPr="00260E01">
        <w:rPr>
          <w:rStyle w:val="FootnoteReference"/>
          <w:sz w:val="22"/>
          <w:szCs w:val="22"/>
        </w:rPr>
        <w:footnoteRef/>
      </w:r>
      <w:r w:rsidRPr="00260E01">
        <w:rPr>
          <w:sz w:val="22"/>
          <w:szCs w:val="22"/>
        </w:rPr>
        <w:tab/>
      </w:r>
      <w:r w:rsidRPr="005D0CD8">
        <w:rPr>
          <w:color w:val="000000"/>
        </w:rPr>
        <w:t>D.16-08-019</w:t>
      </w:r>
      <w:r w:rsidRPr="00260E01">
        <w:rPr>
          <w:sz w:val="22"/>
          <w:szCs w:val="22"/>
        </w:rPr>
        <w:t xml:space="preserve">, </w:t>
      </w:r>
      <w:r w:rsidRPr="009778EA">
        <w:rPr>
          <w:color w:val="000000"/>
        </w:rPr>
        <w:t>OP 16.</w:t>
      </w:r>
    </w:p>
  </w:footnote>
  <w:footnote w:id="17">
    <w:p w14:paraId="1F50DACF" w14:textId="0C199651" w:rsidR="003E5229" w:rsidRDefault="003E5229">
      <w:pPr>
        <w:pStyle w:val="FootnoteText"/>
      </w:pPr>
      <w:r>
        <w:rPr>
          <w:rStyle w:val="FootnoteReference"/>
        </w:rPr>
        <w:footnoteRef/>
      </w:r>
      <w:r>
        <w:t xml:space="preserve"> </w:t>
      </w:r>
      <w:hyperlink r:id="rId1" w:history="1">
        <w:r w:rsidRPr="008E4168">
          <w:rPr>
            <w:rStyle w:val="Hyperlink"/>
          </w:rPr>
          <w:t>http://eestats.cpuc.ca.gov/Views/Documents.aspx</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82DF0" w14:textId="55FFEB8A" w:rsidR="003E5229" w:rsidRDefault="0031336C">
    <w:pPr>
      <w:pStyle w:val="Header"/>
    </w:pPr>
    <w:r>
      <w:rPr>
        <w:noProof/>
      </w:rPr>
      <w:pict w14:anchorId="05101B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876742" o:spid="_x0000_s206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22" w:type="dxa"/>
      <w:tblLayout w:type="fixed"/>
      <w:tblLook w:val="0000" w:firstRow="0" w:lastRow="0" w:firstColumn="0" w:lastColumn="0" w:noHBand="0" w:noVBand="0"/>
    </w:tblPr>
    <w:tblGrid>
      <w:gridCol w:w="3168"/>
      <w:gridCol w:w="2700"/>
      <w:gridCol w:w="3654"/>
    </w:tblGrid>
    <w:tr w:rsidR="001E0627" w14:paraId="3FA1F737" w14:textId="77777777" w:rsidTr="001E0627">
      <w:tc>
        <w:tcPr>
          <w:tcW w:w="3168" w:type="dxa"/>
          <w:tcBorders>
            <w:top w:val="nil"/>
            <w:left w:val="nil"/>
            <w:bottom w:val="nil"/>
            <w:right w:val="nil"/>
          </w:tcBorders>
        </w:tcPr>
        <w:p w14:paraId="7BB0D3C9" w14:textId="7330BFB6" w:rsidR="001E0627" w:rsidRPr="00A70FA6" w:rsidRDefault="001E0627" w:rsidP="00D31C6C">
          <w:pPr>
            <w:pStyle w:val="Header"/>
          </w:pPr>
          <w:r w:rsidRPr="00A70FA6">
            <w:t xml:space="preserve">Advice </w:t>
          </w:r>
          <w:r>
            <w:t>XXXX</w:t>
          </w:r>
          <w:r w:rsidRPr="00F45A0B">
            <w:t>-G/</w:t>
          </w:r>
          <w:r>
            <w:t>XXXX</w:t>
          </w:r>
          <w:r w:rsidRPr="00F45A0B">
            <w:t>-E</w:t>
          </w:r>
        </w:p>
      </w:tc>
      <w:tc>
        <w:tcPr>
          <w:tcW w:w="2700" w:type="dxa"/>
          <w:tcBorders>
            <w:top w:val="nil"/>
            <w:left w:val="nil"/>
            <w:bottom w:val="nil"/>
            <w:right w:val="nil"/>
          </w:tcBorders>
        </w:tcPr>
        <w:p w14:paraId="2F591245" w14:textId="2FB9F3E3" w:rsidR="001E0627" w:rsidRDefault="001E0627">
          <w:pPr>
            <w:pStyle w:val="Header"/>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r>
            <w:rPr>
              <w:rStyle w:val="PageNumber"/>
            </w:rPr>
            <w:t xml:space="preserve"> -</w:t>
          </w:r>
        </w:p>
      </w:tc>
      <w:tc>
        <w:tcPr>
          <w:tcW w:w="3654" w:type="dxa"/>
          <w:tcBorders>
            <w:top w:val="nil"/>
            <w:left w:val="nil"/>
            <w:bottom w:val="nil"/>
            <w:right w:val="nil"/>
          </w:tcBorders>
        </w:tcPr>
        <w:p w14:paraId="071EB211" w14:textId="61B8287F" w:rsidR="001E0627" w:rsidRDefault="001E0627" w:rsidP="00540963">
          <w:pPr>
            <w:pStyle w:val="Header"/>
            <w:jc w:val="right"/>
          </w:pPr>
          <w:r>
            <w:t>September 3, 2019</w:t>
          </w:r>
        </w:p>
      </w:tc>
    </w:tr>
  </w:tbl>
  <w:p w14:paraId="63D72A34" w14:textId="267B38AE" w:rsidR="003E5229" w:rsidRDefault="0031336C">
    <w:pPr>
      <w:pStyle w:val="Header"/>
    </w:pPr>
    <w:r>
      <w:rPr>
        <w:noProof/>
      </w:rPr>
      <w:pict w14:anchorId="5EE230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876743" o:spid="_x0000_s206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page" w:horzAnchor="margin" w:tblpXSpec="center" w:tblpY="665"/>
      <w:tblW w:w="10908" w:type="dxa"/>
      <w:tblLayout w:type="fixed"/>
      <w:tblLook w:val="0000" w:firstRow="0" w:lastRow="0" w:firstColumn="0" w:lastColumn="0" w:noHBand="0" w:noVBand="0"/>
    </w:tblPr>
    <w:tblGrid>
      <w:gridCol w:w="6048"/>
      <w:gridCol w:w="1980"/>
      <w:gridCol w:w="2880"/>
    </w:tblGrid>
    <w:tr w:rsidR="003E5229" w:rsidRPr="001F10C7" w14:paraId="530A370B" w14:textId="77777777" w:rsidTr="009347DE">
      <w:tc>
        <w:tcPr>
          <w:tcW w:w="6048" w:type="dxa"/>
        </w:tcPr>
        <w:p w14:paraId="189E86D4" w14:textId="61B5EF9E" w:rsidR="003E5229" w:rsidRDefault="003E5229" w:rsidP="001F5D85">
          <w:r>
            <w:rPr>
              <w:noProof/>
            </w:rPr>
            <w:drawing>
              <wp:inline distT="0" distB="0" distL="0" distR="0" wp14:anchorId="5655C18F" wp14:editId="40D13060">
                <wp:extent cx="1597025" cy="422910"/>
                <wp:effectExtent l="0" t="0" r="3175" b="0"/>
                <wp:docPr id="1" name="Picture 1" descr="pgenotag167_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enotag167_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025" cy="422910"/>
                        </a:xfrm>
                        <a:prstGeom prst="rect">
                          <a:avLst/>
                        </a:prstGeom>
                        <a:noFill/>
                        <a:ln>
                          <a:noFill/>
                        </a:ln>
                      </pic:spPr>
                    </pic:pic>
                  </a:graphicData>
                </a:graphic>
              </wp:inline>
            </w:drawing>
          </w:r>
        </w:p>
        <w:p w14:paraId="1BB65E70" w14:textId="612BA027" w:rsidR="003E5229" w:rsidRPr="002A34EA" w:rsidRDefault="003E5229" w:rsidP="002A34EA">
          <w:pPr>
            <w:tabs>
              <w:tab w:val="left" w:pos="4173"/>
            </w:tabs>
            <w:rPr>
              <w:b/>
            </w:rPr>
          </w:pPr>
          <w:r>
            <w:tab/>
          </w:r>
        </w:p>
      </w:tc>
      <w:tc>
        <w:tcPr>
          <w:tcW w:w="1980" w:type="dxa"/>
        </w:tcPr>
        <w:p w14:paraId="14A736AE" w14:textId="77777777" w:rsidR="003E5229" w:rsidRPr="00E36DCF" w:rsidRDefault="003E5229" w:rsidP="00316A32">
          <w:pPr>
            <w:pStyle w:val="Header"/>
            <w:spacing w:before="600"/>
            <w:ind w:leftChars="38" w:left="91"/>
            <w:rPr>
              <w:rFonts w:ascii="Univers Condensed" w:hAnsi="Univers Condensed"/>
              <w:b/>
              <w:sz w:val="16"/>
              <w:szCs w:val="16"/>
            </w:rPr>
          </w:pPr>
          <w:r>
            <w:rPr>
              <w:rFonts w:ascii="Univers Condensed" w:hAnsi="Univers Condensed"/>
              <w:b/>
              <w:sz w:val="16"/>
              <w:szCs w:val="16"/>
            </w:rPr>
            <w:t>Erik Jacobson</w:t>
          </w:r>
        </w:p>
        <w:p w14:paraId="6DE96582" w14:textId="77777777" w:rsidR="003E5229" w:rsidRDefault="003E5229" w:rsidP="00316A32">
          <w:pPr>
            <w:ind w:leftChars="38" w:left="91"/>
            <w:rPr>
              <w:rFonts w:ascii="Univers Condensed" w:hAnsi="Univers Condensed"/>
              <w:sz w:val="15"/>
            </w:rPr>
          </w:pPr>
          <w:r>
            <w:rPr>
              <w:rFonts w:ascii="Univers Condensed" w:hAnsi="Univers Condensed"/>
              <w:sz w:val="15"/>
            </w:rPr>
            <w:t>Director</w:t>
          </w:r>
        </w:p>
        <w:p w14:paraId="2DE82430" w14:textId="77777777" w:rsidR="003E5229" w:rsidRDefault="003E5229" w:rsidP="00316A32">
          <w:pPr>
            <w:ind w:leftChars="38" w:left="91"/>
          </w:pPr>
          <w:r>
            <w:rPr>
              <w:rFonts w:ascii="Univers Condensed" w:hAnsi="Univers Condensed"/>
              <w:sz w:val="15"/>
            </w:rPr>
            <w:t>Regulatory Relations</w:t>
          </w:r>
        </w:p>
      </w:tc>
      <w:tc>
        <w:tcPr>
          <w:tcW w:w="2880" w:type="dxa"/>
        </w:tcPr>
        <w:p w14:paraId="3DC117EF" w14:textId="77777777" w:rsidR="003E5229" w:rsidRPr="00CA1AE8" w:rsidRDefault="003E5229" w:rsidP="00CA1AE8">
          <w:pPr>
            <w:pStyle w:val="Header"/>
            <w:spacing w:before="600"/>
            <w:rPr>
              <w:rFonts w:ascii="Univers Condensed" w:hAnsi="Univers Condensed"/>
              <w:sz w:val="15"/>
            </w:rPr>
          </w:pPr>
          <w:r w:rsidRPr="00CA1AE8">
            <w:rPr>
              <w:rFonts w:ascii="Univers Condensed" w:hAnsi="Univers Condensed"/>
              <w:sz w:val="15"/>
            </w:rPr>
            <w:t>Pacific Gas and Electric Company</w:t>
          </w:r>
        </w:p>
        <w:p w14:paraId="33C00524" w14:textId="615426F7" w:rsidR="003E5229" w:rsidRDefault="003E5229" w:rsidP="00CA1AE8">
          <w:pPr>
            <w:pStyle w:val="Header"/>
            <w:rPr>
              <w:rFonts w:ascii="Univers Condensed" w:hAnsi="Univers Condensed"/>
              <w:sz w:val="15"/>
            </w:rPr>
          </w:pPr>
          <w:r>
            <w:rPr>
              <w:rFonts w:ascii="Univers Condensed" w:hAnsi="Univers Condensed"/>
              <w:sz w:val="15"/>
            </w:rPr>
            <w:t>77 Beale St., Mail Code B13U</w:t>
          </w:r>
        </w:p>
        <w:p w14:paraId="6891FD55" w14:textId="77777777" w:rsidR="003E5229" w:rsidRDefault="003E5229" w:rsidP="00CA1AE8">
          <w:pPr>
            <w:pStyle w:val="Header"/>
            <w:rPr>
              <w:rFonts w:ascii="Univers Condensed" w:hAnsi="Univers Condensed"/>
              <w:sz w:val="15"/>
            </w:rPr>
          </w:pPr>
          <w:r>
            <w:rPr>
              <w:rFonts w:ascii="Univers Condensed" w:hAnsi="Univers Condensed"/>
              <w:sz w:val="15"/>
            </w:rPr>
            <w:t>P.O. Box 770000</w:t>
          </w:r>
        </w:p>
        <w:p w14:paraId="43B09C1E" w14:textId="77777777" w:rsidR="003E5229" w:rsidRDefault="003E5229" w:rsidP="00D678CA">
          <w:pPr>
            <w:pStyle w:val="Header"/>
            <w:rPr>
              <w:rFonts w:ascii="Univers Condensed" w:hAnsi="Univers Condensed"/>
              <w:sz w:val="15"/>
            </w:rPr>
          </w:pPr>
          <w:r>
            <w:rPr>
              <w:rFonts w:ascii="Univers Condensed" w:hAnsi="Univers Condensed"/>
              <w:sz w:val="15"/>
            </w:rPr>
            <w:t>San Francisco, CA  94177</w:t>
          </w:r>
        </w:p>
        <w:p w14:paraId="6961F680" w14:textId="77777777" w:rsidR="003E5229" w:rsidRDefault="003E5229" w:rsidP="00D678CA">
          <w:pPr>
            <w:pStyle w:val="Header"/>
            <w:rPr>
              <w:rFonts w:ascii="Univers Condensed" w:hAnsi="Univers Condensed"/>
              <w:sz w:val="15"/>
            </w:rPr>
          </w:pPr>
        </w:p>
        <w:p w14:paraId="6E3A70E7" w14:textId="75826CE0" w:rsidR="003E5229" w:rsidRPr="001F10C7" w:rsidRDefault="003E5229" w:rsidP="00316A32">
          <w:pPr>
            <w:ind w:leftChars="-9" w:left="-22"/>
            <w:rPr>
              <w:rFonts w:ascii="Univers Condensed" w:hAnsi="Univers Condensed"/>
              <w:sz w:val="15"/>
              <w:lang w:val="fr-FR"/>
            </w:rPr>
          </w:pPr>
          <w:proofErr w:type="gramStart"/>
          <w:r>
            <w:rPr>
              <w:rFonts w:ascii="Univers Condensed" w:hAnsi="Univers Condensed"/>
              <w:sz w:val="15"/>
              <w:lang w:val="fr-FR"/>
            </w:rPr>
            <w:t>Fax:</w:t>
          </w:r>
          <w:proofErr w:type="gramEnd"/>
          <w:r>
            <w:rPr>
              <w:rFonts w:ascii="Univers Condensed" w:hAnsi="Univers Condensed"/>
              <w:sz w:val="15"/>
              <w:lang w:val="fr-FR"/>
            </w:rPr>
            <w:t xml:space="preserve"> 415-973-3582</w:t>
          </w:r>
        </w:p>
      </w:tc>
    </w:tr>
  </w:tbl>
  <w:p w14:paraId="49EE74D7" w14:textId="01B1DF91" w:rsidR="003E5229" w:rsidRPr="001F10C7" w:rsidRDefault="0031336C">
    <w:pPr>
      <w:pStyle w:val="Header"/>
      <w:rPr>
        <w:lang w:val="fr-FR"/>
      </w:rPr>
    </w:pPr>
    <w:r>
      <w:rPr>
        <w:noProof/>
      </w:rPr>
      <w:pict w14:anchorId="4DC7B6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876741" o:spid="_x0000_s205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9164D" w14:textId="10C35824" w:rsidR="001F13F7" w:rsidRDefault="0031336C">
    <w:pPr>
      <w:pStyle w:val="Header"/>
    </w:pPr>
    <w:r>
      <w:rPr>
        <w:noProof/>
      </w:rPr>
      <w:pict w14:anchorId="1D9FA6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876745" o:spid="_x0000_s2063"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22" w:type="dxa"/>
      <w:tblLayout w:type="fixed"/>
      <w:tblLook w:val="0000" w:firstRow="0" w:lastRow="0" w:firstColumn="0" w:lastColumn="0" w:noHBand="0" w:noVBand="0"/>
    </w:tblPr>
    <w:tblGrid>
      <w:gridCol w:w="3168"/>
      <w:gridCol w:w="2700"/>
      <w:gridCol w:w="3654"/>
    </w:tblGrid>
    <w:tr w:rsidR="00DE7BF6" w14:paraId="530B4BE0" w14:textId="77777777" w:rsidTr="00B56E53">
      <w:tc>
        <w:tcPr>
          <w:tcW w:w="3168" w:type="dxa"/>
          <w:tcBorders>
            <w:top w:val="nil"/>
            <w:left w:val="nil"/>
            <w:bottom w:val="nil"/>
            <w:right w:val="nil"/>
          </w:tcBorders>
        </w:tcPr>
        <w:p w14:paraId="38C5B5AD" w14:textId="77777777" w:rsidR="00DE7BF6" w:rsidRPr="00A70FA6" w:rsidRDefault="00DE7BF6" w:rsidP="00DE7BF6">
          <w:pPr>
            <w:pStyle w:val="Header"/>
          </w:pPr>
          <w:r w:rsidRPr="00A70FA6">
            <w:t xml:space="preserve">Advice </w:t>
          </w:r>
          <w:r>
            <w:t>XXXX</w:t>
          </w:r>
          <w:r w:rsidRPr="00F45A0B">
            <w:t>-G/</w:t>
          </w:r>
          <w:r>
            <w:t>XXXX</w:t>
          </w:r>
          <w:r w:rsidRPr="00F45A0B">
            <w:t>-E</w:t>
          </w:r>
        </w:p>
      </w:tc>
      <w:tc>
        <w:tcPr>
          <w:tcW w:w="2700" w:type="dxa"/>
          <w:tcBorders>
            <w:top w:val="nil"/>
            <w:left w:val="nil"/>
            <w:bottom w:val="nil"/>
            <w:right w:val="nil"/>
          </w:tcBorders>
        </w:tcPr>
        <w:p w14:paraId="13D78930" w14:textId="77777777" w:rsidR="00DE7BF6" w:rsidRDefault="00DE7BF6" w:rsidP="00DE7BF6">
          <w:pPr>
            <w:pStyle w:val="Header"/>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r>
            <w:rPr>
              <w:rStyle w:val="PageNumber"/>
            </w:rPr>
            <w:t xml:space="preserve"> -</w:t>
          </w:r>
        </w:p>
      </w:tc>
      <w:tc>
        <w:tcPr>
          <w:tcW w:w="3654" w:type="dxa"/>
          <w:tcBorders>
            <w:top w:val="nil"/>
            <w:left w:val="nil"/>
            <w:bottom w:val="nil"/>
            <w:right w:val="nil"/>
          </w:tcBorders>
        </w:tcPr>
        <w:p w14:paraId="4EB6BA06" w14:textId="77777777" w:rsidR="00DE7BF6" w:rsidRDefault="00DE7BF6" w:rsidP="00DE7BF6">
          <w:pPr>
            <w:pStyle w:val="Header"/>
            <w:jc w:val="right"/>
          </w:pPr>
          <w:r>
            <w:t>September 3, 2019</w:t>
          </w:r>
        </w:p>
      </w:tc>
    </w:tr>
  </w:tbl>
  <w:p w14:paraId="6032B1FB" w14:textId="77777777" w:rsidR="00DE7BF6" w:rsidRDefault="00DE7BF6">
    <w:pPr>
      <w:pStyle w:val="Header"/>
    </w:pPr>
  </w:p>
  <w:p w14:paraId="3F86AC53" w14:textId="252038E0" w:rsidR="001F13F7" w:rsidRDefault="0031336C">
    <w:pPr>
      <w:pStyle w:val="Header"/>
    </w:pPr>
    <w:r>
      <w:rPr>
        <w:noProof/>
      </w:rPr>
      <w:pict w14:anchorId="259351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876746" o:spid="_x0000_s2064" type="#_x0000_t136" style="position:absolute;margin-left:0;margin-top:0;width:471.3pt;height:188.5pt;rotation:315;z-index:-2516469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72A27" w14:textId="09CD5EBE" w:rsidR="003E5229" w:rsidRDefault="0031336C">
    <w:pPr>
      <w:pStyle w:val="Header"/>
    </w:pPr>
    <w:r>
      <w:rPr>
        <w:noProof/>
      </w:rPr>
      <w:pict w14:anchorId="0CB153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876744" o:spid="_x0000_s2062"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tbl>
    <w:tblPr>
      <w:tblW w:w="9522" w:type="dxa"/>
      <w:tblLayout w:type="fixed"/>
      <w:tblLook w:val="0000" w:firstRow="0" w:lastRow="0" w:firstColumn="0" w:lastColumn="0" w:noHBand="0" w:noVBand="0"/>
    </w:tblPr>
    <w:tblGrid>
      <w:gridCol w:w="3168"/>
      <w:gridCol w:w="2700"/>
      <w:gridCol w:w="3654"/>
    </w:tblGrid>
    <w:tr w:rsidR="001E0627" w14:paraId="4B0801FC" w14:textId="77777777" w:rsidTr="001E0627">
      <w:tc>
        <w:tcPr>
          <w:tcW w:w="3168" w:type="dxa"/>
          <w:tcBorders>
            <w:top w:val="nil"/>
            <w:left w:val="nil"/>
            <w:bottom w:val="nil"/>
            <w:right w:val="nil"/>
          </w:tcBorders>
        </w:tcPr>
        <w:p w14:paraId="35891A12" w14:textId="77777777" w:rsidR="001E0627" w:rsidRPr="00A70FA6" w:rsidRDefault="001E0627" w:rsidP="003E51DC">
          <w:pPr>
            <w:pStyle w:val="Header"/>
          </w:pPr>
          <w:r w:rsidRPr="00A70FA6">
            <w:t xml:space="preserve">Advice </w:t>
          </w:r>
          <w:r>
            <w:t>XXXX</w:t>
          </w:r>
          <w:r w:rsidRPr="00F45A0B">
            <w:t>-G/</w:t>
          </w:r>
          <w:r>
            <w:t>XXXX</w:t>
          </w:r>
          <w:r w:rsidRPr="00F45A0B">
            <w:t>-E</w:t>
          </w:r>
        </w:p>
      </w:tc>
      <w:tc>
        <w:tcPr>
          <w:tcW w:w="2700" w:type="dxa"/>
          <w:tcBorders>
            <w:top w:val="nil"/>
            <w:left w:val="nil"/>
            <w:bottom w:val="nil"/>
            <w:right w:val="nil"/>
          </w:tcBorders>
        </w:tcPr>
        <w:p w14:paraId="65BC9CC5" w14:textId="77777777" w:rsidR="001E0627" w:rsidRDefault="001E0627" w:rsidP="003E51DC">
          <w:pPr>
            <w:pStyle w:val="Header"/>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r>
            <w:rPr>
              <w:rStyle w:val="PageNumber"/>
            </w:rPr>
            <w:t xml:space="preserve"> -</w:t>
          </w:r>
        </w:p>
      </w:tc>
      <w:tc>
        <w:tcPr>
          <w:tcW w:w="3654" w:type="dxa"/>
          <w:tcBorders>
            <w:top w:val="nil"/>
            <w:left w:val="nil"/>
            <w:bottom w:val="nil"/>
            <w:right w:val="nil"/>
          </w:tcBorders>
        </w:tcPr>
        <w:p w14:paraId="0FD7208A" w14:textId="77777777" w:rsidR="001E0627" w:rsidRDefault="001E0627" w:rsidP="003E51DC">
          <w:pPr>
            <w:pStyle w:val="Header"/>
            <w:jc w:val="right"/>
          </w:pPr>
          <w:r>
            <w:t>September 3, 2019</w:t>
          </w:r>
        </w:p>
      </w:tc>
    </w:tr>
    <w:tr w:rsidR="00DE7BF6" w14:paraId="624B4C31" w14:textId="77777777" w:rsidTr="001E0627">
      <w:tc>
        <w:tcPr>
          <w:tcW w:w="3168" w:type="dxa"/>
          <w:tcBorders>
            <w:top w:val="nil"/>
            <w:left w:val="nil"/>
            <w:bottom w:val="nil"/>
            <w:right w:val="nil"/>
          </w:tcBorders>
        </w:tcPr>
        <w:p w14:paraId="54C33024" w14:textId="77777777" w:rsidR="00DE7BF6" w:rsidRPr="00A70FA6" w:rsidRDefault="00DE7BF6" w:rsidP="003E51DC">
          <w:pPr>
            <w:pStyle w:val="Header"/>
          </w:pPr>
        </w:p>
      </w:tc>
      <w:tc>
        <w:tcPr>
          <w:tcW w:w="2700" w:type="dxa"/>
          <w:tcBorders>
            <w:top w:val="nil"/>
            <w:left w:val="nil"/>
            <w:bottom w:val="nil"/>
            <w:right w:val="nil"/>
          </w:tcBorders>
        </w:tcPr>
        <w:p w14:paraId="5F1AC7B8" w14:textId="77777777" w:rsidR="00DE7BF6" w:rsidRDefault="00DE7BF6" w:rsidP="003E51DC">
          <w:pPr>
            <w:pStyle w:val="Header"/>
            <w:jc w:val="center"/>
          </w:pPr>
        </w:p>
      </w:tc>
      <w:tc>
        <w:tcPr>
          <w:tcW w:w="3654" w:type="dxa"/>
          <w:tcBorders>
            <w:top w:val="nil"/>
            <w:left w:val="nil"/>
            <w:bottom w:val="nil"/>
            <w:right w:val="nil"/>
          </w:tcBorders>
        </w:tcPr>
        <w:p w14:paraId="216CB43D" w14:textId="77777777" w:rsidR="00DE7BF6" w:rsidRDefault="00DE7BF6" w:rsidP="003E51DC">
          <w:pPr>
            <w:pStyle w:val="Header"/>
            <w:jc w:val="right"/>
          </w:pPr>
        </w:p>
      </w:tc>
    </w:tr>
  </w:tbl>
  <w:p w14:paraId="6F89CF82" w14:textId="12B069C7" w:rsidR="003E5229" w:rsidRDefault="003E52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CADF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32A54"/>
    <w:multiLevelType w:val="hybridMultilevel"/>
    <w:tmpl w:val="44E2EC50"/>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 w15:restartNumberingAfterBreak="0">
    <w:nsid w:val="04F606AD"/>
    <w:multiLevelType w:val="hybridMultilevel"/>
    <w:tmpl w:val="B67C2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54D9F"/>
    <w:multiLevelType w:val="hybridMultilevel"/>
    <w:tmpl w:val="0DAA75DC"/>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4" w15:restartNumberingAfterBreak="0">
    <w:nsid w:val="0C913ED0"/>
    <w:multiLevelType w:val="hybridMultilevel"/>
    <w:tmpl w:val="DD0CB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F2C11"/>
    <w:multiLevelType w:val="hybridMultilevel"/>
    <w:tmpl w:val="920EA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400F1"/>
    <w:multiLevelType w:val="hybridMultilevel"/>
    <w:tmpl w:val="7FB00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F42F4"/>
    <w:multiLevelType w:val="hybridMultilevel"/>
    <w:tmpl w:val="B8A8B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5D0B0B"/>
    <w:multiLevelType w:val="hybridMultilevel"/>
    <w:tmpl w:val="96164F5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9" w15:restartNumberingAfterBreak="0">
    <w:nsid w:val="2B1466B7"/>
    <w:multiLevelType w:val="hybridMultilevel"/>
    <w:tmpl w:val="D55A9AD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C5B4FEC"/>
    <w:multiLevelType w:val="hybridMultilevel"/>
    <w:tmpl w:val="C8E81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F30A4C"/>
    <w:multiLevelType w:val="hybridMultilevel"/>
    <w:tmpl w:val="8C04EF1C"/>
    <w:lvl w:ilvl="0" w:tplc="49640428">
      <w:start w:val="1"/>
      <w:numFmt w:val="upperLetter"/>
      <w:lvlText w:val="%1."/>
      <w:lvlJc w:val="left"/>
      <w:pPr>
        <w:ind w:left="63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7F1549"/>
    <w:multiLevelType w:val="hybridMultilevel"/>
    <w:tmpl w:val="B18CE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527F38"/>
    <w:multiLevelType w:val="hybridMultilevel"/>
    <w:tmpl w:val="94E6CB4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4" w15:restartNumberingAfterBreak="0">
    <w:nsid w:val="401114F8"/>
    <w:multiLevelType w:val="hybridMultilevel"/>
    <w:tmpl w:val="270C6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E7076D"/>
    <w:multiLevelType w:val="hybridMultilevel"/>
    <w:tmpl w:val="1FB0EC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39203C1"/>
    <w:multiLevelType w:val="hybridMultilevel"/>
    <w:tmpl w:val="59989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467EE2"/>
    <w:multiLevelType w:val="hybridMultilevel"/>
    <w:tmpl w:val="D5023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5C64E5"/>
    <w:multiLevelType w:val="hybridMultilevel"/>
    <w:tmpl w:val="DCB47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E4B2C"/>
    <w:multiLevelType w:val="hybridMultilevel"/>
    <w:tmpl w:val="53CC21A0"/>
    <w:lvl w:ilvl="0" w:tplc="F420F5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83F4B"/>
    <w:multiLevelType w:val="hybridMultilevel"/>
    <w:tmpl w:val="AE1CD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AD33B7"/>
    <w:multiLevelType w:val="hybridMultilevel"/>
    <w:tmpl w:val="E3B645F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2" w15:restartNumberingAfterBreak="0">
    <w:nsid w:val="51C2357A"/>
    <w:multiLevelType w:val="hybridMultilevel"/>
    <w:tmpl w:val="A1526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C3405B"/>
    <w:multiLevelType w:val="hybridMultilevel"/>
    <w:tmpl w:val="4F40E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D7784C"/>
    <w:multiLevelType w:val="hybridMultilevel"/>
    <w:tmpl w:val="845C20A0"/>
    <w:lvl w:ilvl="0" w:tplc="49640428">
      <w:start w:val="1"/>
      <w:numFmt w:val="upperLetter"/>
      <w:lvlText w:val="%1."/>
      <w:lvlJc w:val="left"/>
      <w:pPr>
        <w:ind w:left="630" w:hanging="360"/>
      </w:pPr>
      <w:rPr>
        <w:rFonts w:hint="default"/>
        <w:b/>
      </w:rPr>
    </w:lvl>
    <w:lvl w:ilvl="1" w:tplc="0409000F">
      <w:start w:val="1"/>
      <w:numFmt w:val="decimal"/>
      <w:lvlText w:val="%2."/>
      <w:lvlJc w:val="left"/>
      <w:pPr>
        <w:ind w:left="1440" w:hanging="360"/>
      </w:pPr>
    </w:lvl>
    <w:lvl w:ilvl="2" w:tplc="184ED3C8">
      <w:numFmt w:val="bullet"/>
      <w:lvlText w:val="•"/>
      <w:lvlJc w:val="left"/>
      <w:pPr>
        <w:ind w:left="2868" w:hanging="888"/>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CC36E7"/>
    <w:multiLevelType w:val="hybridMultilevel"/>
    <w:tmpl w:val="15908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28008C4"/>
    <w:multiLevelType w:val="hybridMultilevel"/>
    <w:tmpl w:val="72441B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2DB2E09"/>
    <w:multiLevelType w:val="hybridMultilevel"/>
    <w:tmpl w:val="B84E0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9A46E0"/>
    <w:multiLevelType w:val="hybridMultilevel"/>
    <w:tmpl w:val="86CCD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AD1E9D"/>
    <w:multiLevelType w:val="hybridMultilevel"/>
    <w:tmpl w:val="9C96B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69353D"/>
    <w:multiLevelType w:val="hybridMultilevel"/>
    <w:tmpl w:val="D6A6297E"/>
    <w:lvl w:ilvl="0" w:tplc="3F3661B6">
      <w:start w:val="1"/>
      <w:numFmt w:val="decimal"/>
      <w:lvlText w:val="%1."/>
      <w:lvlJc w:val="left"/>
      <w:pPr>
        <w:ind w:left="720" w:hanging="36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B964E0"/>
    <w:multiLevelType w:val="hybridMultilevel"/>
    <w:tmpl w:val="72441B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91A63DA"/>
    <w:multiLevelType w:val="hybridMultilevel"/>
    <w:tmpl w:val="FBBAC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790AC3"/>
    <w:multiLevelType w:val="hybridMultilevel"/>
    <w:tmpl w:val="34365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033874"/>
    <w:multiLevelType w:val="hybridMultilevel"/>
    <w:tmpl w:val="FD460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B548D7"/>
    <w:multiLevelType w:val="hybridMultilevel"/>
    <w:tmpl w:val="49F24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2A7589"/>
    <w:multiLevelType w:val="hybridMultilevel"/>
    <w:tmpl w:val="6A8E5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7"/>
  </w:num>
  <w:num w:numId="3">
    <w:abstractNumId w:val="34"/>
  </w:num>
  <w:num w:numId="4">
    <w:abstractNumId w:val="10"/>
  </w:num>
  <w:num w:numId="5">
    <w:abstractNumId w:val="0"/>
  </w:num>
  <w:num w:numId="6">
    <w:abstractNumId w:val="19"/>
  </w:num>
  <w:num w:numId="7">
    <w:abstractNumId w:val="11"/>
  </w:num>
  <w:num w:numId="8">
    <w:abstractNumId w:val="18"/>
  </w:num>
  <w:num w:numId="9">
    <w:abstractNumId w:val="3"/>
  </w:num>
  <w:num w:numId="10">
    <w:abstractNumId w:val="26"/>
  </w:num>
  <w:num w:numId="11">
    <w:abstractNumId w:val="2"/>
  </w:num>
  <w:num w:numId="12">
    <w:abstractNumId w:val="29"/>
  </w:num>
  <w:num w:numId="13">
    <w:abstractNumId w:val="31"/>
  </w:num>
  <w:num w:numId="14">
    <w:abstractNumId w:val="24"/>
  </w:num>
  <w:num w:numId="15">
    <w:abstractNumId w:val="25"/>
  </w:num>
  <w:num w:numId="16">
    <w:abstractNumId w:val="15"/>
  </w:num>
  <w:num w:numId="17">
    <w:abstractNumId w:val="5"/>
  </w:num>
  <w:num w:numId="18">
    <w:abstractNumId w:val="13"/>
  </w:num>
  <w:num w:numId="19">
    <w:abstractNumId w:val="32"/>
  </w:num>
  <w:num w:numId="20">
    <w:abstractNumId w:val="1"/>
  </w:num>
  <w:num w:numId="21">
    <w:abstractNumId w:val="23"/>
  </w:num>
  <w:num w:numId="22">
    <w:abstractNumId w:val="8"/>
  </w:num>
  <w:num w:numId="23">
    <w:abstractNumId w:val="6"/>
  </w:num>
  <w:num w:numId="24">
    <w:abstractNumId w:val="21"/>
  </w:num>
  <w:num w:numId="25">
    <w:abstractNumId w:val="28"/>
  </w:num>
  <w:num w:numId="26">
    <w:abstractNumId w:val="4"/>
  </w:num>
  <w:num w:numId="27">
    <w:abstractNumId w:val="9"/>
    <w:lvlOverride w:ilvl="0">
      <w:startOverride w:val="1"/>
    </w:lvlOverride>
    <w:lvlOverride w:ilvl="1"/>
    <w:lvlOverride w:ilvl="2"/>
    <w:lvlOverride w:ilvl="3"/>
    <w:lvlOverride w:ilvl="4"/>
    <w:lvlOverride w:ilvl="5"/>
    <w:lvlOverride w:ilvl="6"/>
    <w:lvlOverride w:ilvl="7"/>
    <w:lvlOverride w:ilvl="8"/>
  </w:num>
  <w:num w:numId="28">
    <w:abstractNumId w:val="14"/>
  </w:num>
  <w:num w:numId="29">
    <w:abstractNumId w:val="27"/>
  </w:num>
  <w:num w:numId="30">
    <w:abstractNumId w:val="16"/>
  </w:num>
  <w:num w:numId="31">
    <w:abstractNumId w:val="30"/>
  </w:num>
  <w:num w:numId="32">
    <w:abstractNumId w:val="35"/>
  </w:num>
  <w:num w:numId="33">
    <w:abstractNumId w:val="12"/>
  </w:num>
  <w:num w:numId="34">
    <w:abstractNumId w:val="22"/>
  </w:num>
  <w:num w:numId="35">
    <w:abstractNumId w:val="20"/>
  </w:num>
  <w:num w:numId="36">
    <w:abstractNumId w:val="17"/>
  </w:num>
  <w:num w:numId="37">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6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836"/>
    <w:rsid w:val="000000C6"/>
    <w:rsid w:val="00000178"/>
    <w:rsid w:val="00000553"/>
    <w:rsid w:val="00000803"/>
    <w:rsid w:val="00000B27"/>
    <w:rsid w:val="00000B5E"/>
    <w:rsid w:val="00001505"/>
    <w:rsid w:val="00001EDA"/>
    <w:rsid w:val="00002313"/>
    <w:rsid w:val="000023CA"/>
    <w:rsid w:val="0000386E"/>
    <w:rsid w:val="00003CB1"/>
    <w:rsid w:val="0000437A"/>
    <w:rsid w:val="000045F8"/>
    <w:rsid w:val="00004BC1"/>
    <w:rsid w:val="00004D10"/>
    <w:rsid w:val="000050C2"/>
    <w:rsid w:val="00005B84"/>
    <w:rsid w:val="00006103"/>
    <w:rsid w:val="0000663C"/>
    <w:rsid w:val="00006937"/>
    <w:rsid w:val="00007044"/>
    <w:rsid w:val="00007072"/>
    <w:rsid w:val="00007460"/>
    <w:rsid w:val="00007A74"/>
    <w:rsid w:val="00007D6B"/>
    <w:rsid w:val="00010FA3"/>
    <w:rsid w:val="00011406"/>
    <w:rsid w:val="00011702"/>
    <w:rsid w:val="0001220F"/>
    <w:rsid w:val="00012500"/>
    <w:rsid w:val="0001324F"/>
    <w:rsid w:val="000132E9"/>
    <w:rsid w:val="00013513"/>
    <w:rsid w:val="00013B0B"/>
    <w:rsid w:val="00013FEA"/>
    <w:rsid w:val="000144A6"/>
    <w:rsid w:val="00014B45"/>
    <w:rsid w:val="000150B2"/>
    <w:rsid w:val="00015AE6"/>
    <w:rsid w:val="00015D67"/>
    <w:rsid w:val="00016234"/>
    <w:rsid w:val="0001652B"/>
    <w:rsid w:val="000169A9"/>
    <w:rsid w:val="00017204"/>
    <w:rsid w:val="00020189"/>
    <w:rsid w:val="00020E0A"/>
    <w:rsid w:val="00021334"/>
    <w:rsid w:val="000219D3"/>
    <w:rsid w:val="00021B81"/>
    <w:rsid w:val="00022240"/>
    <w:rsid w:val="00023170"/>
    <w:rsid w:val="000234C2"/>
    <w:rsid w:val="0002361B"/>
    <w:rsid w:val="000236DF"/>
    <w:rsid w:val="00024325"/>
    <w:rsid w:val="0002503D"/>
    <w:rsid w:val="00025091"/>
    <w:rsid w:val="00025904"/>
    <w:rsid w:val="00025C73"/>
    <w:rsid w:val="00025D03"/>
    <w:rsid w:val="0002606A"/>
    <w:rsid w:val="000275A5"/>
    <w:rsid w:val="00030AC1"/>
    <w:rsid w:val="000319E9"/>
    <w:rsid w:val="00031D72"/>
    <w:rsid w:val="000335FD"/>
    <w:rsid w:val="00033D1E"/>
    <w:rsid w:val="00033EAA"/>
    <w:rsid w:val="000351D8"/>
    <w:rsid w:val="00035559"/>
    <w:rsid w:val="000368B6"/>
    <w:rsid w:val="000374A2"/>
    <w:rsid w:val="00041E25"/>
    <w:rsid w:val="00042972"/>
    <w:rsid w:val="00043426"/>
    <w:rsid w:val="00043B62"/>
    <w:rsid w:val="00043EDB"/>
    <w:rsid w:val="00043F92"/>
    <w:rsid w:val="00044467"/>
    <w:rsid w:val="000456EC"/>
    <w:rsid w:val="00046136"/>
    <w:rsid w:val="00046517"/>
    <w:rsid w:val="00046E9C"/>
    <w:rsid w:val="0004793F"/>
    <w:rsid w:val="00050247"/>
    <w:rsid w:val="00050922"/>
    <w:rsid w:val="00051381"/>
    <w:rsid w:val="0005171F"/>
    <w:rsid w:val="00051E1E"/>
    <w:rsid w:val="00052400"/>
    <w:rsid w:val="00052D1B"/>
    <w:rsid w:val="00052E71"/>
    <w:rsid w:val="00054829"/>
    <w:rsid w:val="00055039"/>
    <w:rsid w:val="000551F6"/>
    <w:rsid w:val="00056498"/>
    <w:rsid w:val="00056FE1"/>
    <w:rsid w:val="0005708A"/>
    <w:rsid w:val="00057296"/>
    <w:rsid w:val="000572C5"/>
    <w:rsid w:val="0005782A"/>
    <w:rsid w:val="00057C35"/>
    <w:rsid w:val="00057C39"/>
    <w:rsid w:val="0006038B"/>
    <w:rsid w:val="00060910"/>
    <w:rsid w:val="000611B5"/>
    <w:rsid w:val="00061814"/>
    <w:rsid w:val="00061822"/>
    <w:rsid w:val="00061DB4"/>
    <w:rsid w:val="00062015"/>
    <w:rsid w:val="00062F08"/>
    <w:rsid w:val="000632AC"/>
    <w:rsid w:val="00063365"/>
    <w:rsid w:val="000633B8"/>
    <w:rsid w:val="00063E62"/>
    <w:rsid w:val="0006504B"/>
    <w:rsid w:val="000650BA"/>
    <w:rsid w:val="00065780"/>
    <w:rsid w:val="00065792"/>
    <w:rsid w:val="00065A2C"/>
    <w:rsid w:val="00066100"/>
    <w:rsid w:val="00066662"/>
    <w:rsid w:val="00066A22"/>
    <w:rsid w:val="00066E51"/>
    <w:rsid w:val="00067C7E"/>
    <w:rsid w:val="0007051D"/>
    <w:rsid w:val="00070DFF"/>
    <w:rsid w:val="0007238B"/>
    <w:rsid w:val="0007280C"/>
    <w:rsid w:val="00073397"/>
    <w:rsid w:val="00073AA6"/>
    <w:rsid w:val="00073FEB"/>
    <w:rsid w:val="0007452D"/>
    <w:rsid w:val="00074733"/>
    <w:rsid w:val="00075F70"/>
    <w:rsid w:val="000761FA"/>
    <w:rsid w:val="00076A07"/>
    <w:rsid w:val="00076A44"/>
    <w:rsid w:val="00076EC3"/>
    <w:rsid w:val="00077139"/>
    <w:rsid w:val="00077500"/>
    <w:rsid w:val="00080EFC"/>
    <w:rsid w:val="000811E2"/>
    <w:rsid w:val="000817A2"/>
    <w:rsid w:val="00082A29"/>
    <w:rsid w:val="00082F0A"/>
    <w:rsid w:val="00082F8C"/>
    <w:rsid w:val="00083262"/>
    <w:rsid w:val="00083553"/>
    <w:rsid w:val="000837FA"/>
    <w:rsid w:val="00083E1D"/>
    <w:rsid w:val="00084683"/>
    <w:rsid w:val="00084BEE"/>
    <w:rsid w:val="00085268"/>
    <w:rsid w:val="00085598"/>
    <w:rsid w:val="000858C5"/>
    <w:rsid w:val="00085A7A"/>
    <w:rsid w:val="000862C0"/>
    <w:rsid w:val="00086581"/>
    <w:rsid w:val="00086666"/>
    <w:rsid w:val="00086AE8"/>
    <w:rsid w:val="00086CFB"/>
    <w:rsid w:val="0008720A"/>
    <w:rsid w:val="00087D16"/>
    <w:rsid w:val="0009054E"/>
    <w:rsid w:val="00090B2D"/>
    <w:rsid w:val="000921F5"/>
    <w:rsid w:val="0009275E"/>
    <w:rsid w:val="0009311D"/>
    <w:rsid w:val="0009333F"/>
    <w:rsid w:val="00094951"/>
    <w:rsid w:val="00094C80"/>
    <w:rsid w:val="0009531E"/>
    <w:rsid w:val="00095B46"/>
    <w:rsid w:val="00096834"/>
    <w:rsid w:val="00096B5A"/>
    <w:rsid w:val="00096C8C"/>
    <w:rsid w:val="00096F0D"/>
    <w:rsid w:val="0009798C"/>
    <w:rsid w:val="000A0024"/>
    <w:rsid w:val="000A0443"/>
    <w:rsid w:val="000A08A2"/>
    <w:rsid w:val="000A0ADE"/>
    <w:rsid w:val="000A19AB"/>
    <w:rsid w:val="000A2790"/>
    <w:rsid w:val="000A28B4"/>
    <w:rsid w:val="000A2AB1"/>
    <w:rsid w:val="000A408F"/>
    <w:rsid w:val="000A44F8"/>
    <w:rsid w:val="000A5484"/>
    <w:rsid w:val="000A5732"/>
    <w:rsid w:val="000A5F00"/>
    <w:rsid w:val="000A6337"/>
    <w:rsid w:val="000A6AEE"/>
    <w:rsid w:val="000A6C9F"/>
    <w:rsid w:val="000A6CD6"/>
    <w:rsid w:val="000A6FCD"/>
    <w:rsid w:val="000A7584"/>
    <w:rsid w:val="000B031A"/>
    <w:rsid w:val="000B0848"/>
    <w:rsid w:val="000B0BB6"/>
    <w:rsid w:val="000B0BDD"/>
    <w:rsid w:val="000B0C61"/>
    <w:rsid w:val="000B252A"/>
    <w:rsid w:val="000B27D5"/>
    <w:rsid w:val="000B29F8"/>
    <w:rsid w:val="000B2ED1"/>
    <w:rsid w:val="000B2FCF"/>
    <w:rsid w:val="000B3390"/>
    <w:rsid w:val="000B36C3"/>
    <w:rsid w:val="000B38B9"/>
    <w:rsid w:val="000B3F5E"/>
    <w:rsid w:val="000B4003"/>
    <w:rsid w:val="000B406F"/>
    <w:rsid w:val="000B43BE"/>
    <w:rsid w:val="000B4404"/>
    <w:rsid w:val="000B4FAC"/>
    <w:rsid w:val="000B62BB"/>
    <w:rsid w:val="000B78BA"/>
    <w:rsid w:val="000C18C4"/>
    <w:rsid w:val="000C2603"/>
    <w:rsid w:val="000C27D9"/>
    <w:rsid w:val="000C3AAA"/>
    <w:rsid w:val="000C494E"/>
    <w:rsid w:val="000C5890"/>
    <w:rsid w:val="000C5FE3"/>
    <w:rsid w:val="000C6AEF"/>
    <w:rsid w:val="000C75D8"/>
    <w:rsid w:val="000D0BBC"/>
    <w:rsid w:val="000D0D6C"/>
    <w:rsid w:val="000D0E17"/>
    <w:rsid w:val="000D0E71"/>
    <w:rsid w:val="000D1326"/>
    <w:rsid w:val="000D1EC7"/>
    <w:rsid w:val="000D1F0A"/>
    <w:rsid w:val="000D207F"/>
    <w:rsid w:val="000D20CE"/>
    <w:rsid w:val="000D2DBE"/>
    <w:rsid w:val="000D3BE4"/>
    <w:rsid w:val="000D3D14"/>
    <w:rsid w:val="000D4234"/>
    <w:rsid w:val="000D4364"/>
    <w:rsid w:val="000D4562"/>
    <w:rsid w:val="000D55E6"/>
    <w:rsid w:val="000D6457"/>
    <w:rsid w:val="000D6E9D"/>
    <w:rsid w:val="000D6F9A"/>
    <w:rsid w:val="000D7E8F"/>
    <w:rsid w:val="000E1203"/>
    <w:rsid w:val="000E12CE"/>
    <w:rsid w:val="000E2320"/>
    <w:rsid w:val="000E257E"/>
    <w:rsid w:val="000E2757"/>
    <w:rsid w:val="000E27CC"/>
    <w:rsid w:val="000E2CE0"/>
    <w:rsid w:val="000E35CB"/>
    <w:rsid w:val="000E3BA4"/>
    <w:rsid w:val="000E4237"/>
    <w:rsid w:val="000E45FC"/>
    <w:rsid w:val="000E4630"/>
    <w:rsid w:val="000E49D6"/>
    <w:rsid w:val="000E4CC6"/>
    <w:rsid w:val="000E4E6F"/>
    <w:rsid w:val="000E51C5"/>
    <w:rsid w:val="000E630C"/>
    <w:rsid w:val="000E7007"/>
    <w:rsid w:val="000F0C37"/>
    <w:rsid w:val="000F0D80"/>
    <w:rsid w:val="000F0F71"/>
    <w:rsid w:val="000F20D2"/>
    <w:rsid w:val="000F3B5E"/>
    <w:rsid w:val="000F46B4"/>
    <w:rsid w:val="000F488C"/>
    <w:rsid w:val="000F4C80"/>
    <w:rsid w:val="000F4FF0"/>
    <w:rsid w:val="000F5490"/>
    <w:rsid w:val="000F56B5"/>
    <w:rsid w:val="000F606B"/>
    <w:rsid w:val="000F6102"/>
    <w:rsid w:val="000F6D68"/>
    <w:rsid w:val="000F6ECA"/>
    <w:rsid w:val="000F7649"/>
    <w:rsid w:val="000F7F68"/>
    <w:rsid w:val="00100EEA"/>
    <w:rsid w:val="001014EB"/>
    <w:rsid w:val="001014F2"/>
    <w:rsid w:val="00102266"/>
    <w:rsid w:val="001026D9"/>
    <w:rsid w:val="00102735"/>
    <w:rsid w:val="0010275E"/>
    <w:rsid w:val="0010330C"/>
    <w:rsid w:val="001044E9"/>
    <w:rsid w:val="00104FBD"/>
    <w:rsid w:val="0010582E"/>
    <w:rsid w:val="00106639"/>
    <w:rsid w:val="001069FE"/>
    <w:rsid w:val="00106FF2"/>
    <w:rsid w:val="001074DF"/>
    <w:rsid w:val="00107753"/>
    <w:rsid w:val="001077D3"/>
    <w:rsid w:val="001079C2"/>
    <w:rsid w:val="00107C42"/>
    <w:rsid w:val="00107CA5"/>
    <w:rsid w:val="0011071F"/>
    <w:rsid w:val="00110851"/>
    <w:rsid w:val="001118D1"/>
    <w:rsid w:val="00112219"/>
    <w:rsid w:val="00112A2E"/>
    <w:rsid w:val="00112C46"/>
    <w:rsid w:val="00112C8C"/>
    <w:rsid w:val="00113C8B"/>
    <w:rsid w:val="00113D19"/>
    <w:rsid w:val="00113E07"/>
    <w:rsid w:val="00114645"/>
    <w:rsid w:val="00114D13"/>
    <w:rsid w:val="001150B0"/>
    <w:rsid w:val="00115A06"/>
    <w:rsid w:val="001162C1"/>
    <w:rsid w:val="00116620"/>
    <w:rsid w:val="00116C19"/>
    <w:rsid w:val="00117B03"/>
    <w:rsid w:val="00117D9F"/>
    <w:rsid w:val="00120425"/>
    <w:rsid w:val="00120A74"/>
    <w:rsid w:val="00120AAB"/>
    <w:rsid w:val="00120D96"/>
    <w:rsid w:val="00121306"/>
    <w:rsid w:val="001215D2"/>
    <w:rsid w:val="00121BA4"/>
    <w:rsid w:val="0012232A"/>
    <w:rsid w:val="0012323F"/>
    <w:rsid w:val="001237FB"/>
    <w:rsid w:val="0012434B"/>
    <w:rsid w:val="00124993"/>
    <w:rsid w:val="00126B24"/>
    <w:rsid w:val="001272FA"/>
    <w:rsid w:val="001276CE"/>
    <w:rsid w:val="00127E27"/>
    <w:rsid w:val="0013019E"/>
    <w:rsid w:val="00130312"/>
    <w:rsid w:val="001303E5"/>
    <w:rsid w:val="001317DE"/>
    <w:rsid w:val="0013194C"/>
    <w:rsid w:val="00132347"/>
    <w:rsid w:val="00132712"/>
    <w:rsid w:val="0013273A"/>
    <w:rsid w:val="0013285A"/>
    <w:rsid w:val="00132E9A"/>
    <w:rsid w:val="001334AF"/>
    <w:rsid w:val="001337E7"/>
    <w:rsid w:val="001342CA"/>
    <w:rsid w:val="001347C1"/>
    <w:rsid w:val="00134BFF"/>
    <w:rsid w:val="00134C40"/>
    <w:rsid w:val="00135110"/>
    <w:rsid w:val="00135B78"/>
    <w:rsid w:val="00135B8F"/>
    <w:rsid w:val="00135C8C"/>
    <w:rsid w:val="001365E1"/>
    <w:rsid w:val="001367B7"/>
    <w:rsid w:val="00136BD9"/>
    <w:rsid w:val="0013756F"/>
    <w:rsid w:val="0013760B"/>
    <w:rsid w:val="0013762A"/>
    <w:rsid w:val="001400CE"/>
    <w:rsid w:val="001407F7"/>
    <w:rsid w:val="00141257"/>
    <w:rsid w:val="00141631"/>
    <w:rsid w:val="001419E8"/>
    <w:rsid w:val="00141B49"/>
    <w:rsid w:val="0014260B"/>
    <w:rsid w:val="00142760"/>
    <w:rsid w:val="001428C3"/>
    <w:rsid w:val="00142C66"/>
    <w:rsid w:val="00142F5C"/>
    <w:rsid w:val="0014304B"/>
    <w:rsid w:val="0014345C"/>
    <w:rsid w:val="0014379E"/>
    <w:rsid w:val="00143C85"/>
    <w:rsid w:val="00145380"/>
    <w:rsid w:val="00145802"/>
    <w:rsid w:val="001462F9"/>
    <w:rsid w:val="001471E5"/>
    <w:rsid w:val="001474CF"/>
    <w:rsid w:val="001478DA"/>
    <w:rsid w:val="00147A9C"/>
    <w:rsid w:val="00147E8E"/>
    <w:rsid w:val="001500D1"/>
    <w:rsid w:val="001503CA"/>
    <w:rsid w:val="00150AC1"/>
    <w:rsid w:val="00151D6F"/>
    <w:rsid w:val="001523C2"/>
    <w:rsid w:val="001524A2"/>
    <w:rsid w:val="00152DB4"/>
    <w:rsid w:val="00152E9F"/>
    <w:rsid w:val="00152F4F"/>
    <w:rsid w:val="00153331"/>
    <w:rsid w:val="001538F5"/>
    <w:rsid w:val="001541BB"/>
    <w:rsid w:val="00154E6A"/>
    <w:rsid w:val="001551DF"/>
    <w:rsid w:val="001557DD"/>
    <w:rsid w:val="00156018"/>
    <w:rsid w:val="001571AF"/>
    <w:rsid w:val="00160D67"/>
    <w:rsid w:val="001610BE"/>
    <w:rsid w:val="001613D5"/>
    <w:rsid w:val="00161D0A"/>
    <w:rsid w:val="00162154"/>
    <w:rsid w:val="00162767"/>
    <w:rsid w:val="001629EC"/>
    <w:rsid w:val="001635A1"/>
    <w:rsid w:val="0016374B"/>
    <w:rsid w:val="001637F5"/>
    <w:rsid w:val="001643EF"/>
    <w:rsid w:val="00164CD6"/>
    <w:rsid w:val="001658E2"/>
    <w:rsid w:val="00166733"/>
    <w:rsid w:val="00166875"/>
    <w:rsid w:val="00166A7B"/>
    <w:rsid w:val="00166BF7"/>
    <w:rsid w:val="0016702D"/>
    <w:rsid w:val="0016715F"/>
    <w:rsid w:val="00167B3C"/>
    <w:rsid w:val="001704B0"/>
    <w:rsid w:val="001704C0"/>
    <w:rsid w:val="0017105B"/>
    <w:rsid w:val="0017167D"/>
    <w:rsid w:val="00171FA1"/>
    <w:rsid w:val="001724BF"/>
    <w:rsid w:val="0017319B"/>
    <w:rsid w:val="00173AEE"/>
    <w:rsid w:val="00173E83"/>
    <w:rsid w:val="001741A5"/>
    <w:rsid w:val="00174C98"/>
    <w:rsid w:val="00175891"/>
    <w:rsid w:val="00176A0C"/>
    <w:rsid w:val="00176BD4"/>
    <w:rsid w:val="00176EB2"/>
    <w:rsid w:val="00177805"/>
    <w:rsid w:val="00180000"/>
    <w:rsid w:val="0018035B"/>
    <w:rsid w:val="00180D49"/>
    <w:rsid w:val="001815E2"/>
    <w:rsid w:val="00181DCD"/>
    <w:rsid w:val="0018233C"/>
    <w:rsid w:val="00183C39"/>
    <w:rsid w:val="00183DEA"/>
    <w:rsid w:val="0018421E"/>
    <w:rsid w:val="00184424"/>
    <w:rsid w:val="00185856"/>
    <w:rsid w:val="00186D77"/>
    <w:rsid w:val="00186DF4"/>
    <w:rsid w:val="00187599"/>
    <w:rsid w:val="001877A7"/>
    <w:rsid w:val="00187AA5"/>
    <w:rsid w:val="00190A2C"/>
    <w:rsid w:val="00190B13"/>
    <w:rsid w:val="00191691"/>
    <w:rsid w:val="001918E2"/>
    <w:rsid w:val="001929ED"/>
    <w:rsid w:val="00192A6E"/>
    <w:rsid w:val="00193EB3"/>
    <w:rsid w:val="001946A6"/>
    <w:rsid w:val="00194753"/>
    <w:rsid w:val="00194E9F"/>
    <w:rsid w:val="001953F2"/>
    <w:rsid w:val="00195831"/>
    <w:rsid w:val="001971A8"/>
    <w:rsid w:val="00197628"/>
    <w:rsid w:val="001979A0"/>
    <w:rsid w:val="00197B79"/>
    <w:rsid w:val="001A0280"/>
    <w:rsid w:val="001A03CC"/>
    <w:rsid w:val="001A3787"/>
    <w:rsid w:val="001A3A72"/>
    <w:rsid w:val="001A47A4"/>
    <w:rsid w:val="001A55D5"/>
    <w:rsid w:val="001A66CF"/>
    <w:rsid w:val="001A6E83"/>
    <w:rsid w:val="001A73D5"/>
    <w:rsid w:val="001B0BF4"/>
    <w:rsid w:val="001B0C0C"/>
    <w:rsid w:val="001B0EFA"/>
    <w:rsid w:val="001B164D"/>
    <w:rsid w:val="001B17F5"/>
    <w:rsid w:val="001B1D1A"/>
    <w:rsid w:val="001B251F"/>
    <w:rsid w:val="001B298A"/>
    <w:rsid w:val="001B3D75"/>
    <w:rsid w:val="001B4192"/>
    <w:rsid w:val="001B46CE"/>
    <w:rsid w:val="001B47B1"/>
    <w:rsid w:val="001B546A"/>
    <w:rsid w:val="001B6714"/>
    <w:rsid w:val="001B7AC3"/>
    <w:rsid w:val="001B7C37"/>
    <w:rsid w:val="001C0238"/>
    <w:rsid w:val="001C0B5E"/>
    <w:rsid w:val="001C0E5A"/>
    <w:rsid w:val="001C14BE"/>
    <w:rsid w:val="001C1EAD"/>
    <w:rsid w:val="001C245A"/>
    <w:rsid w:val="001C276C"/>
    <w:rsid w:val="001C2844"/>
    <w:rsid w:val="001C319C"/>
    <w:rsid w:val="001C534D"/>
    <w:rsid w:val="001C57BE"/>
    <w:rsid w:val="001C5D6B"/>
    <w:rsid w:val="001C60AE"/>
    <w:rsid w:val="001C662E"/>
    <w:rsid w:val="001C6940"/>
    <w:rsid w:val="001C75D7"/>
    <w:rsid w:val="001D07B1"/>
    <w:rsid w:val="001D0845"/>
    <w:rsid w:val="001D087A"/>
    <w:rsid w:val="001D0A1D"/>
    <w:rsid w:val="001D0DF7"/>
    <w:rsid w:val="001D1581"/>
    <w:rsid w:val="001D17ED"/>
    <w:rsid w:val="001D1C9E"/>
    <w:rsid w:val="001D203A"/>
    <w:rsid w:val="001D204F"/>
    <w:rsid w:val="001D2A43"/>
    <w:rsid w:val="001D2AC1"/>
    <w:rsid w:val="001D2CD0"/>
    <w:rsid w:val="001D3928"/>
    <w:rsid w:val="001D3B62"/>
    <w:rsid w:val="001D4475"/>
    <w:rsid w:val="001D4C63"/>
    <w:rsid w:val="001D50CE"/>
    <w:rsid w:val="001D6B2E"/>
    <w:rsid w:val="001D6FB5"/>
    <w:rsid w:val="001E0416"/>
    <w:rsid w:val="001E0627"/>
    <w:rsid w:val="001E171F"/>
    <w:rsid w:val="001E1B73"/>
    <w:rsid w:val="001E1DFF"/>
    <w:rsid w:val="001E2952"/>
    <w:rsid w:val="001E2B23"/>
    <w:rsid w:val="001E2DC9"/>
    <w:rsid w:val="001E2FD8"/>
    <w:rsid w:val="001E323B"/>
    <w:rsid w:val="001E33D1"/>
    <w:rsid w:val="001E3906"/>
    <w:rsid w:val="001E3BB1"/>
    <w:rsid w:val="001E3C2D"/>
    <w:rsid w:val="001E4306"/>
    <w:rsid w:val="001E4D5C"/>
    <w:rsid w:val="001E655A"/>
    <w:rsid w:val="001E68AD"/>
    <w:rsid w:val="001E6B20"/>
    <w:rsid w:val="001E6CD6"/>
    <w:rsid w:val="001E70BC"/>
    <w:rsid w:val="001E7423"/>
    <w:rsid w:val="001E7E6E"/>
    <w:rsid w:val="001F10C7"/>
    <w:rsid w:val="001F13F7"/>
    <w:rsid w:val="001F14DF"/>
    <w:rsid w:val="001F165B"/>
    <w:rsid w:val="001F3A89"/>
    <w:rsid w:val="001F3BB7"/>
    <w:rsid w:val="001F3C0A"/>
    <w:rsid w:val="001F3FEB"/>
    <w:rsid w:val="001F4B98"/>
    <w:rsid w:val="001F5659"/>
    <w:rsid w:val="001F5697"/>
    <w:rsid w:val="001F5A17"/>
    <w:rsid w:val="001F5AFA"/>
    <w:rsid w:val="001F5D85"/>
    <w:rsid w:val="001F61EF"/>
    <w:rsid w:val="001F7B62"/>
    <w:rsid w:val="00200326"/>
    <w:rsid w:val="0020040C"/>
    <w:rsid w:val="00200B91"/>
    <w:rsid w:val="00200BFC"/>
    <w:rsid w:val="00200C3B"/>
    <w:rsid w:val="00200EEE"/>
    <w:rsid w:val="002010EF"/>
    <w:rsid w:val="002013F5"/>
    <w:rsid w:val="00201526"/>
    <w:rsid w:val="002016E5"/>
    <w:rsid w:val="002019E0"/>
    <w:rsid w:val="00201E04"/>
    <w:rsid w:val="0020312F"/>
    <w:rsid w:val="00203ACD"/>
    <w:rsid w:val="00203F10"/>
    <w:rsid w:val="00205079"/>
    <w:rsid w:val="00205371"/>
    <w:rsid w:val="0020563C"/>
    <w:rsid w:val="00205BDB"/>
    <w:rsid w:val="00205C11"/>
    <w:rsid w:val="00205EDF"/>
    <w:rsid w:val="0020644D"/>
    <w:rsid w:val="0020667F"/>
    <w:rsid w:val="0020797C"/>
    <w:rsid w:val="00207D5E"/>
    <w:rsid w:val="002106F3"/>
    <w:rsid w:val="0021086D"/>
    <w:rsid w:val="00210899"/>
    <w:rsid w:val="00210BE1"/>
    <w:rsid w:val="00210ECF"/>
    <w:rsid w:val="00210F4C"/>
    <w:rsid w:val="0021107E"/>
    <w:rsid w:val="0021269F"/>
    <w:rsid w:val="00212756"/>
    <w:rsid w:val="00212ADA"/>
    <w:rsid w:val="00212D30"/>
    <w:rsid w:val="00213011"/>
    <w:rsid w:val="00216C49"/>
    <w:rsid w:val="00217C3E"/>
    <w:rsid w:val="002204AF"/>
    <w:rsid w:val="002205D7"/>
    <w:rsid w:val="0022064B"/>
    <w:rsid w:val="002214B3"/>
    <w:rsid w:val="00221901"/>
    <w:rsid w:val="00221D97"/>
    <w:rsid w:val="002221AD"/>
    <w:rsid w:val="00222EF6"/>
    <w:rsid w:val="002239DA"/>
    <w:rsid w:val="00223D8C"/>
    <w:rsid w:val="002242E2"/>
    <w:rsid w:val="00224520"/>
    <w:rsid w:val="002246D9"/>
    <w:rsid w:val="0022543B"/>
    <w:rsid w:val="00225F1B"/>
    <w:rsid w:val="00225FDA"/>
    <w:rsid w:val="002271E4"/>
    <w:rsid w:val="0022735C"/>
    <w:rsid w:val="002273AE"/>
    <w:rsid w:val="002301C8"/>
    <w:rsid w:val="0023030B"/>
    <w:rsid w:val="00230333"/>
    <w:rsid w:val="00230867"/>
    <w:rsid w:val="00231F12"/>
    <w:rsid w:val="00232690"/>
    <w:rsid w:val="00233701"/>
    <w:rsid w:val="002337F9"/>
    <w:rsid w:val="00233A46"/>
    <w:rsid w:val="00233A6C"/>
    <w:rsid w:val="00233CE5"/>
    <w:rsid w:val="00233FD0"/>
    <w:rsid w:val="00234336"/>
    <w:rsid w:val="0023476C"/>
    <w:rsid w:val="00235F2B"/>
    <w:rsid w:val="00236563"/>
    <w:rsid w:val="00236649"/>
    <w:rsid w:val="0023681C"/>
    <w:rsid w:val="00236B63"/>
    <w:rsid w:val="00236BF7"/>
    <w:rsid w:val="002377EF"/>
    <w:rsid w:val="002401D4"/>
    <w:rsid w:val="0024149D"/>
    <w:rsid w:val="00241647"/>
    <w:rsid w:val="002418AE"/>
    <w:rsid w:val="0024297E"/>
    <w:rsid w:val="00242C3E"/>
    <w:rsid w:val="002445D3"/>
    <w:rsid w:val="00244F55"/>
    <w:rsid w:val="0024525B"/>
    <w:rsid w:val="00246D49"/>
    <w:rsid w:val="002476FF"/>
    <w:rsid w:val="0024772B"/>
    <w:rsid w:val="00247980"/>
    <w:rsid w:val="00247FD2"/>
    <w:rsid w:val="00250407"/>
    <w:rsid w:val="00250854"/>
    <w:rsid w:val="00251C50"/>
    <w:rsid w:val="00251D4A"/>
    <w:rsid w:val="00251DEF"/>
    <w:rsid w:val="00252163"/>
    <w:rsid w:val="0025311D"/>
    <w:rsid w:val="00253B1E"/>
    <w:rsid w:val="0025401B"/>
    <w:rsid w:val="002546B8"/>
    <w:rsid w:val="00254930"/>
    <w:rsid w:val="00254D32"/>
    <w:rsid w:val="00255C54"/>
    <w:rsid w:val="00255F0C"/>
    <w:rsid w:val="00256342"/>
    <w:rsid w:val="002566DF"/>
    <w:rsid w:val="00256759"/>
    <w:rsid w:val="00256A76"/>
    <w:rsid w:val="002570C2"/>
    <w:rsid w:val="002571A2"/>
    <w:rsid w:val="002574A1"/>
    <w:rsid w:val="002575CC"/>
    <w:rsid w:val="002576D3"/>
    <w:rsid w:val="002609B6"/>
    <w:rsid w:val="00260AD0"/>
    <w:rsid w:val="00260E01"/>
    <w:rsid w:val="0026156F"/>
    <w:rsid w:val="00262D3C"/>
    <w:rsid w:val="00262D3E"/>
    <w:rsid w:val="0026330F"/>
    <w:rsid w:val="00263415"/>
    <w:rsid w:val="002634E9"/>
    <w:rsid w:val="0026423E"/>
    <w:rsid w:val="00264852"/>
    <w:rsid w:val="00264B30"/>
    <w:rsid w:val="00264FF6"/>
    <w:rsid w:val="00265005"/>
    <w:rsid w:val="002652C2"/>
    <w:rsid w:val="00265F52"/>
    <w:rsid w:val="0026616D"/>
    <w:rsid w:val="00266317"/>
    <w:rsid w:val="00266477"/>
    <w:rsid w:val="002669F0"/>
    <w:rsid w:val="00266A4E"/>
    <w:rsid w:val="00266C48"/>
    <w:rsid w:val="00267072"/>
    <w:rsid w:val="00267077"/>
    <w:rsid w:val="00267DB8"/>
    <w:rsid w:val="00270465"/>
    <w:rsid w:val="00270EC0"/>
    <w:rsid w:val="002716EB"/>
    <w:rsid w:val="002727CB"/>
    <w:rsid w:val="00272F61"/>
    <w:rsid w:val="00273254"/>
    <w:rsid w:val="00273400"/>
    <w:rsid w:val="00273842"/>
    <w:rsid w:val="00273DF2"/>
    <w:rsid w:val="00274A1F"/>
    <w:rsid w:val="002750B1"/>
    <w:rsid w:val="00275190"/>
    <w:rsid w:val="00276111"/>
    <w:rsid w:val="00276220"/>
    <w:rsid w:val="00276344"/>
    <w:rsid w:val="002763AD"/>
    <w:rsid w:val="00277226"/>
    <w:rsid w:val="0027737B"/>
    <w:rsid w:val="002773DE"/>
    <w:rsid w:val="00277866"/>
    <w:rsid w:val="00277CB1"/>
    <w:rsid w:val="00280092"/>
    <w:rsid w:val="00280362"/>
    <w:rsid w:val="00280B69"/>
    <w:rsid w:val="00280B8F"/>
    <w:rsid w:val="002811E9"/>
    <w:rsid w:val="0028125B"/>
    <w:rsid w:val="002814DA"/>
    <w:rsid w:val="00281863"/>
    <w:rsid w:val="00281C35"/>
    <w:rsid w:val="00281F12"/>
    <w:rsid w:val="0028218F"/>
    <w:rsid w:val="002824A1"/>
    <w:rsid w:val="0028258B"/>
    <w:rsid w:val="0028275F"/>
    <w:rsid w:val="002836EC"/>
    <w:rsid w:val="00283881"/>
    <w:rsid w:val="00283AE2"/>
    <w:rsid w:val="00283BB6"/>
    <w:rsid w:val="0028408B"/>
    <w:rsid w:val="002843D2"/>
    <w:rsid w:val="00284E80"/>
    <w:rsid w:val="00285A1C"/>
    <w:rsid w:val="00285DA1"/>
    <w:rsid w:val="002860DE"/>
    <w:rsid w:val="00286406"/>
    <w:rsid w:val="00286DF2"/>
    <w:rsid w:val="00290438"/>
    <w:rsid w:val="00291216"/>
    <w:rsid w:val="002915D5"/>
    <w:rsid w:val="00291C02"/>
    <w:rsid w:val="0029219B"/>
    <w:rsid w:val="00292BBC"/>
    <w:rsid w:val="00293E8B"/>
    <w:rsid w:val="002945E9"/>
    <w:rsid w:val="002946EB"/>
    <w:rsid w:val="002955C3"/>
    <w:rsid w:val="002957DB"/>
    <w:rsid w:val="00296594"/>
    <w:rsid w:val="0029667B"/>
    <w:rsid w:val="002967CB"/>
    <w:rsid w:val="002967FC"/>
    <w:rsid w:val="00297510"/>
    <w:rsid w:val="002A12CF"/>
    <w:rsid w:val="002A1959"/>
    <w:rsid w:val="002A1DF5"/>
    <w:rsid w:val="002A21D9"/>
    <w:rsid w:val="002A243A"/>
    <w:rsid w:val="002A2D7F"/>
    <w:rsid w:val="002A34EA"/>
    <w:rsid w:val="002A35D3"/>
    <w:rsid w:val="002A36C7"/>
    <w:rsid w:val="002A3E87"/>
    <w:rsid w:val="002A475C"/>
    <w:rsid w:val="002A4C25"/>
    <w:rsid w:val="002A56B7"/>
    <w:rsid w:val="002A5924"/>
    <w:rsid w:val="002A6EA4"/>
    <w:rsid w:val="002A6FE2"/>
    <w:rsid w:val="002A7493"/>
    <w:rsid w:val="002B020D"/>
    <w:rsid w:val="002B0375"/>
    <w:rsid w:val="002B0C87"/>
    <w:rsid w:val="002B17B5"/>
    <w:rsid w:val="002B2411"/>
    <w:rsid w:val="002B25F9"/>
    <w:rsid w:val="002B2951"/>
    <w:rsid w:val="002B2D2E"/>
    <w:rsid w:val="002B32B2"/>
    <w:rsid w:val="002B36BD"/>
    <w:rsid w:val="002B39A9"/>
    <w:rsid w:val="002B3A39"/>
    <w:rsid w:val="002B3BDF"/>
    <w:rsid w:val="002B3D74"/>
    <w:rsid w:val="002B437B"/>
    <w:rsid w:val="002B5223"/>
    <w:rsid w:val="002B5488"/>
    <w:rsid w:val="002B5B5A"/>
    <w:rsid w:val="002B626A"/>
    <w:rsid w:val="002B7392"/>
    <w:rsid w:val="002C01F1"/>
    <w:rsid w:val="002C0A1E"/>
    <w:rsid w:val="002C1197"/>
    <w:rsid w:val="002C1310"/>
    <w:rsid w:val="002C171C"/>
    <w:rsid w:val="002C1A6E"/>
    <w:rsid w:val="002C23DF"/>
    <w:rsid w:val="002C25D4"/>
    <w:rsid w:val="002C3148"/>
    <w:rsid w:val="002C3A4D"/>
    <w:rsid w:val="002C3BE3"/>
    <w:rsid w:val="002C4027"/>
    <w:rsid w:val="002C475A"/>
    <w:rsid w:val="002C561C"/>
    <w:rsid w:val="002C5EF4"/>
    <w:rsid w:val="002C637A"/>
    <w:rsid w:val="002C63E2"/>
    <w:rsid w:val="002C647C"/>
    <w:rsid w:val="002C69DC"/>
    <w:rsid w:val="002C6CE5"/>
    <w:rsid w:val="002C73E0"/>
    <w:rsid w:val="002C7AC6"/>
    <w:rsid w:val="002C7B7E"/>
    <w:rsid w:val="002C7C2A"/>
    <w:rsid w:val="002D0022"/>
    <w:rsid w:val="002D0602"/>
    <w:rsid w:val="002D1222"/>
    <w:rsid w:val="002D18BE"/>
    <w:rsid w:val="002D1E6E"/>
    <w:rsid w:val="002D2070"/>
    <w:rsid w:val="002D21BC"/>
    <w:rsid w:val="002D2652"/>
    <w:rsid w:val="002D2F86"/>
    <w:rsid w:val="002D31F3"/>
    <w:rsid w:val="002D36AC"/>
    <w:rsid w:val="002D3A16"/>
    <w:rsid w:val="002D3E95"/>
    <w:rsid w:val="002D4519"/>
    <w:rsid w:val="002D45DE"/>
    <w:rsid w:val="002D464A"/>
    <w:rsid w:val="002D466E"/>
    <w:rsid w:val="002D4F98"/>
    <w:rsid w:val="002D512A"/>
    <w:rsid w:val="002D57BE"/>
    <w:rsid w:val="002D58F2"/>
    <w:rsid w:val="002D5922"/>
    <w:rsid w:val="002D5BB3"/>
    <w:rsid w:val="002D5BFB"/>
    <w:rsid w:val="002D5E6E"/>
    <w:rsid w:val="002D693B"/>
    <w:rsid w:val="002D713A"/>
    <w:rsid w:val="002E00F6"/>
    <w:rsid w:val="002E185C"/>
    <w:rsid w:val="002E1A6D"/>
    <w:rsid w:val="002E1F1E"/>
    <w:rsid w:val="002E28C1"/>
    <w:rsid w:val="002E2E6F"/>
    <w:rsid w:val="002E3410"/>
    <w:rsid w:val="002E376F"/>
    <w:rsid w:val="002E3F86"/>
    <w:rsid w:val="002E42ED"/>
    <w:rsid w:val="002E4582"/>
    <w:rsid w:val="002E5338"/>
    <w:rsid w:val="002E5BD7"/>
    <w:rsid w:val="002E6536"/>
    <w:rsid w:val="002E6B2B"/>
    <w:rsid w:val="002E79C4"/>
    <w:rsid w:val="002E7B70"/>
    <w:rsid w:val="002E7F7B"/>
    <w:rsid w:val="002F0002"/>
    <w:rsid w:val="002F0106"/>
    <w:rsid w:val="002F0B1C"/>
    <w:rsid w:val="002F13CD"/>
    <w:rsid w:val="002F2075"/>
    <w:rsid w:val="002F3095"/>
    <w:rsid w:val="002F3158"/>
    <w:rsid w:val="002F3707"/>
    <w:rsid w:val="002F384F"/>
    <w:rsid w:val="002F3CBB"/>
    <w:rsid w:val="002F3DA5"/>
    <w:rsid w:val="002F4C62"/>
    <w:rsid w:val="002F4C66"/>
    <w:rsid w:val="002F5D15"/>
    <w:rsid w:val="002F68F0"/>
    <w:rsid w:val="002F6CB5"/>
    <w:rsid w:val="002F7235"/>
    <w:rsid w:val="002F7906"/>
    <w:rsid w:val="002F7974"/>
    <w:rsid w:val="003001EE"/>
    <w:rsid w:val="0030092B"/>
    <w:rsid w:val="00300D16"/>
    <w:rsid w:val="0030153F"/>
    <w:rsid w:val="003031EE"/>
    <w:rsid w:val="003034BF"/>
    <w:rsid w:val="00303EFF"/>
    <w:rsid w:val="00303F6F"/>
    <w:rsid w:val="00304868"/>
    <w:rsid w:val="00304CD3"/>
    <w:rsid w:val="00305224"/>
    <w:rsid w:val="00305541"/>
    <w:rsid w:val="00305A95"/>
    <w:rsid w:val="00306336"/>
    <w:rsid w:val="00306EE0"/>
    <w:rsid w:val="0030725F"/>
    <w:rsid w:val="00307330"/>
    <w:rsid w:val="003074A9"/>
    <w:rsid w:val="003079A5"/>
    <w:rsid w:val="003103D3"/>
    <w:rsid w:val="00310487"/>
    <w:rsid w:val="0031048F"/>
    <w:rsid w:val="003107DB"/>
    <w:rsid w:val="00310FA4"/>
    <w:rsid w:val="00311DAF"/>
    <w:rsid w:val="00312172"/>
    <w:rsid w:val="0031293F"/>
    <w:rsid w:val="0031336C"/>
    <w:rsid w:val="00313C98"/>
    <w:rsid w:val="00313EDE"/>
    <w:rsid w:val="00316A32"/>
    <w:rsid w:val="0031762E"/>
    <w:rsid w:val="00320F40"/>
    <w:rsid w:val="00321339"/>
    <w:rsid w:val="003214BE"/>
    <w:rsid w:val="00321D57"/>
    <w:rsid w:val="00322404"/>
    <w:rsid w:val="003239A5"/>
    <w:rsid w:val="00323F13"/>
    <w:rsid w:val="003240F4"/>
    <w:rsid w:val="00324E71"/>
    <w:rsid w:val="00325254"/>
    <w:rsid w:val="00325D4D"/>
    <w:rsid w:val="00325E0E"/>
    <w:rsid w:val="00325F6C"/>
    <w:rsid w:val="00326600"/>
    <w:rsid w:val="00327DE9"/>
    <w:rsid w:val="00330047"/>
    <w:rsid w:val="0033052F"/>
    <w:rsid w:val="00330C2C"/>
    <w:rsid w:val="00330FE6"/>
    <w:rsid w:val="003313E5"/>
    <w:rsid w:val="00331813"/>
    <w:rsid w:val="00331ACF"/>
    <w:rsid w:val="00331B4A"/>
    <w:rsid w:val="00331F38"/>
    <w:rsid w:val="00332D08"/>
    <w:rsid w:val="003331C5"/>
    <w:rsid w:val="00333C36"/>
    <w:rsid w:val="00333C86"/>
    <w:rsid w:val="003343E0"/>
    <w:rsid w:val="003344AB"/>
    <w:rsid w:val="003349E2"/>
    <w:rsid w:val="00335650"/>
    <w:rsid w:val="00335737"/>
    <w:rsid w:val="0033598A"/>
    <w:rsid w:val="003359ED"/>
    <w:rsid w:val="00335F2A"/>
    <w:rsid w:val="00336005"/>
    <w:rsid w:val="003360BB"/>
    <w:rsid w:val="003373BB"/>
    <w:rsid w:val="0033771F"/>
    <w:rsid w:val="003405BE"/>
    <w:rsid w:val="003406DD"/>
    <w:rsid w:val="0034075B"/>
    <w:rsid w:val="00340EB8"/>
    <w:rsid w:val="00341A94"/>
    <w:rsid w:val="00341FC0"/>
    <w:rsid w:val="00343616"/>
    <w:rsid w:val="00343AB2"/>
    <w:rsid w:val="00343C11"/>
    <w:rsid w:val="00344265"/>
    <w:rsid w:val="003442E0"/>
    <w:rsid w:val="0034501A"/>
    <w:rsid w:val="003452F0"/>
    <w:rsid w:val="003453DB"/>
    <w:rsid w:val="00345453"/>
    <w:rsid w:val="00345C00"/>
    <w:rsid w:val="003466DB"/>
    <w:rsid w:val="00346893"/>
    <w:rsid w:val="003468EB"/>
    <w:rsid w:val="0034765A"/>
    <w:rsid w:val="00347F0B"/>
    <w:rsid w:val="003505DA"/>
    <w:rsid w:val="0035062B"/>
    <w:rsid w:val="00350A1C"/>
    <w:rsid w:val="003511B8"/>
    <w:rsid w:val="00351391"/>
    <w:rsid w:val="0035166E"/>
    <w:rsid w:val="0035399F"/>
    <w:rsid w:val="003540FD"/>
    <w:rsid w:val="003546C4"/>
    <w:rsid w:val="00355251"/>
    <w:rsid w:val="00355680"/>
    <w:rsid w:val="003558C4"/>
    <w:rsid w:val="00355D55"/>
    <w:rsid w:val="00356042"/>
    <w:rsid w:val="003570BB"/>
    <w:rsid w:val="00357352"/>
    <w:rsid w:val="0035770C"/>
    <w:rsid w:val="00357799"/>
    <w:rsid w:val="00357FED"/>
    <w:rsid w:val="0036040D"/>
    <w:rsid w:val="0036077A"/>
    <w:rsid w:val="00360852"/>
    <w:rsid w:val="00360D83"/>
    <w:rsid w:val="00361352"/>
    <w:rsid w:val="00361F47"/>
    <w:rsid w:val="00361FAF"/>
    <w:rsid w:val="00362DCF"/>
    <w:rsid w:val="00362E44"/>
    <w:rsid w:val="003635BA"/>
    <w:rsid w:val="00363636"/>
    <w:rsid w:val="00363D2E"/>
    <w:rsid w:val="0036435F"/>
    <w:rsid w:val="00364877"/>
    <w:rsid w:val="0036577D"/>
    <w:rsid w:val="00365D67"/>
    <w:rsid w:val="003660EB"/>
    <w:rsid w:val="003662D5"/>
    <w:rsid w:val="003665B8"/>
    <w:rsid w:val="0036685F"/>
    <w:rsid w:val="003676E0"/>
    <w:rsid w:val="003677B0"/>
    <w:rsid w:val="00367D00"/>
    <w:rsid w:val="003702AA"/>
    <w:rsid w:val="003724F8"/>
    <w:rsid w:val="00372520"/>
    <w:rsid w:val="00372A44"/>
    <w:rsid w:val="00372A9D"/>
    <w:rsid w:val="0037389F"/>
    <w:rsid w:val="00373D33"/>
    <w:rsid w:val="00373F78"/>
    <w:rsid w:val="003741CD"/>
    <w:rsid w:val="0037465C"/>
    <w:rsid w:val="003746AF"/>
    <w:rsid w:val="00374779"/>
    <w:rsid w:val="00374969"/>
    <w:rsid w:val="00374A15"/>
    <w:rsid w:val="00375E8F"/>
    <w:rsid w:val="0037624A"/>
    <w:rsid w:val="00376790"/>
    <w:rsid w:val="00376BB0"/>
    <w:rsid w:val="00376E9C"/>
    <w:rsid w:val="0038062F"/>
    <w:rsid w:val="0038068E"/>
    <w:rsid w:val="00380C9C"/>
    <w:rsid w:val="00381F22"/>
    <w:rsid w:val="00382252"/>
    <w:rsid w:val="00382A1E"/>
    <w:rsid w:val="0038314A"/>
    <w:rsid w:val="003839C4"/>
    <w:rsid w:val="0038493B"/>
    <w:rsid w:val="00384F88"/>
    <w:rsid w:val="00385633"/>
    <w:rsid w:val="00385F44"/>
    <w:rsid w:val="003864B9"/>
    <w:rsid w:val="00387086"/>
    <w:rsid w:val="003870B1"/>
    <w:rsid w:val="00387B58"/>
    <w:rsid w:val="003901C9"/>
    <w:rsid w:val="0039076B"/>
    <w:rsid w:val="00390DAA"/>
    <w:rsid w:val="003913AE"/>
    <w:rsid w:val="003929BE"/>
    <w:rsid w:val="00392BBF"/>
    <w:rsid w:val="00393B41"/>
    <w:rsid w:val="0039461E"/>
    <w:rsid w:val="003950AA"/>
    <w:rsid w:val="003950B8"/>
    <w:rsid w:val="00395A9D"/>
    <w:rsid w:val="00395EEC"/>
    <w:rsid w:val="0039635E"/>
    <w:rsid w:val="00396509"/>
    <w:rsid w:val="00396EF6"/>
    <w:rsid w:val="003977A0"/>
    <w:rsid w:val="00397E60"/>
    <w:rsid w:val="003A0395"/>
    <w:rsid w:val="003A09F2"/>
    <w:rsid w:val="003A2223"/>
    <w:rsid w:val="003A2432"/>
    <w:rsid w:val="003A246A"/>
    <w:rsid w:val="003A2609"/>
    <w:rsid w:val="003A316D"/>
    <w:rsid w:val="003A3435"/>
    <w:rsid w:val="003A34CC"/>
    <w:rsid w:val="003A3F67"/>
    <w:rsid w:val="003A422F"/>
    <w:rsid w:val="003A454D"/>
    <w:rsid w:val="003A4B20"/>
    <w:rsid w:val="003A4DBE"/>
    <w:rsid w:val="003A5303"/>
    <w:rsid w:val="003A59C0"/>
    <w:rsid w:val="003A5AC5"/>
    <w:rsid w:val="003A5C05"/>
    <w:rsid w:val="003A5C8D"/>
    <w:rsid w:val="003A60D7"/>
    <w:rsid w:val="003A6810"/>
    <w:rsid w:val="003A6972"/>
    <w:rsid w:val="003A7323"/>
    <w:rsid w:val="003A77B5"/>
    <w:rsid w:val="003A7CCF"/>
    <w:rsid w:val="003A7D0D"/>
    <w:rsid w:val="003A7EC0"/>
    <w:rsid w:val="003B0AD1"/>
    <w:rsid w:val="003B1E7E"/>
    <w:rsid w:val="003B1F7D"/>
    <w:rsid w:val="003B244E"/>
    <w:rsid w:val="003B2ED8"/>
    <w:rsid w:val="003B363D"/>
    <w:rsid w:val="003B36BA"/>
    <w:rsid w:val="003B3A38"/>
    <w:rsid w:val="003B3C8C"/>
    <w:rsid w:val="003B40B8"/>
    <w:rsid w:val="003B5352"/>
    <w:rsid w:val="003B5C23"/>
    <w:rsid w:val="003B6BE8"/>
    <w:rsid w:val="003B78F6"/>
    <w:rsid w:val="003B795C"/>
    <w:rsid w:val="003C0F1F"/>
    <w:rsid w:val="003C1700"/>
    <w:rsid w:val="003C2E52"/>
    <w:rsid w:val="003C2E9B"/>
    <w:rsid w:val="003C2F46"/>
    <w:rsid w:val="003C341E"/>
    <w:rsid w:val="003C42E0"/>
    <w:rsid w:val="003C4953"/>
    <w:rsid w:val="003C4EA7"/>
    <w:rsid w:val="003C5484"/>
    <w:rsid w:val="003C677D"/>
    <w:rsid w:val="003C697D"/>
    <w:rsid w:val="003C6D6F"/>
    <w:rsid w:val="003C701E"/>
    <w:rsid w:val="003C71F2"/>
    <w:rsid w:val="003C73A0"/>
    <w:rsid w:val="003C7973"/>
    <w:rsid w:val="003C7BC7"/>
    <w:rsid w:val="003C7D66"/>
    <w:rsid w:val="003D0486"/>
    <w:rsid w:val="003D069B"/>
    <w:rsid w:val="003D1075"/>
    <w:rsid w:val="003D1362"/>
    <w:rsid w:val="003D1479"/>
    <w:rsid w:val="003D1ADB"/>
    <w:rsid w:val="003D2404"/>
    <w:rsid w:val="003D25B7"/>
    <w:rsid w:val="003D2DB7"/>
    <w:rsid w:val="003D35C7"/>
    <w:rsid w:val="003D3921"/>
    <w:rsid w:val="003D3B01"/>
    <w:rsid w:val="003D3D2C"/>
    <w:rsid w:val="003D4051"/>
    <w:rsid w:val="003D47EA"/>
    <w:rsid w:val="003D5551"/>
    <w:rsid w:val="003D7972"/>
    <w:rsid w:val="003D7CC8"/>
    <w:rsid w:val="003E0442"/>
    <w:rsid w:val="003E06FF"/>
    <w:rsid w:val="003E07B5"/>
    <w:rsid w:val="003E12ED"/>
    <w:rsid w:val="003E2560"/>
    <w:rsid w:val="003E2B09"/>
    <w:rsid w:val="003E3285"/>
    <w:rsid w:val="003E4FCA"/>
    <w:rsid w:val="003E50A1"/>
    <w:rsid w:val="003E51B2"/>
    <w:rsid w:val="003E51DC"/>
    <w:rsid w:val="003E520C"/>
    <w:rsid w:val="003E5229"/>
    <w:rsid w:val="003E5C23"/>
    <w:rsid w:val="003E5F06"/>
    <w:rsid w:val="003E60C9"/>
    <w:rsid w:val="003E6212"/>
    <w:rsid w:val="003E6312"/>
    <w:rsid w:val="003E6C48"/>
    <w:rsid w:val="003E6CA4"/>
    <w:rsid w:val="003E772A"/>
    <w:rsid w:val="003F021C"/>
    <w:rsid w:val="003F1A01"/>
    <w:rsid w:val="003F1E6B"/>
    <w:rsid w:val="003F2393"/>
    <w:rsid w:val="003F36CC"/>
    <w:rsid w:val="003F389A"/>
    <w:rsid w:val="003F3E84"/>
    <w:rsid w:val="003F4964"/>
    <w:rsid w:val="003F52DB"/>
    <w:rsid w:val="003F5609"/>
    <w:rsid w:val="003F5E84"/>
    <w:rsid w:val="003F5E9E"/>
    <w:rsid w:val="003F6026"/>
    <w:rsid w:val="003F6DDE"/>
    <w:rsid w:val="003F6F17"/>
    <w:rsid w:val="003F70B6"/>
    <w:rsid w:val="003F737B"/>
    <w:rsid w:val="003F7387"/>
    <w:rsid w:val="003F7E06"/>
    <w:rsid w:val="00400BB9"/>
    <w:rsid w:val="0040141A"/>
    <w:rsid w:val="00401B3F"/>
    <w:rsid w:val="00401DC5"/>
    <w:rsid w:val="00401EE4"/>
    <w:rsid w:val="00402087"/>
    <w:rsid w:val="00402DDE"/>
    <w:rsid w:val="004034A1"/>
    <w:rsid w:val="0040351D"/>
    <w:rsid w:val="00403ABB"/>
    <w:rsid w:val="00404136"/>
    <w:rsid w:val="00404522"/>
    <w:rsid w:val="004057F2"/>
    <w:rsid w:val="004059B4"/>
    <w:rsid w:val="00405F9C"/>
    <w:rsid w:val="00406798"/>
    <w:rsid w:val="00407176"/>
    <w:rsid w:val="00407849"/>
    <w:rsid w:val="00407D04"/>
    <w:rsid w:val="00410767"/>
    <w:rsid w:val="00410D46"/>
    <w:rsid w:val="00412228"/>
    <w:rsid w:val="00412659"/>
    <w:rsid w:val="004140E4"/>
    <w:rsid w:val="00414157"/>
    <w:rsid w:val="00415DA9"/>
    <w:rsid w:val="00416639"/>
    <w:rsid w:val="00417072"/>
    <w:rsid w:val="0041718E"/>
    <w:rsid w:val="00417962"/>
    <w:rsid w:val="00420B90"/>
    <w:rsid w:val="0042119E"/>
    <w:rsid w:val="00421756"/>
    <w:rsid w:val="00422621"/>
    <w:rsid w:val="00422D02"/>
    <w:rsid w:val="00423292"/>
    <w:rsid w:val="0042476C"/>
    <w:rsid w:val="0042480A"/>
    <w:rsid w:val="00424E1F"/>
    <w:rsid w:val="004256FF"/>
    <w:rsid w:val="004264B4"/>
    <w:rsid w:val="0042718B"/>
    <w:rsid w:val="00427DCE"/>
    <w:rsid w:val="00430709"/>
    <w:rsid w:val="00430A86"/>
    <w:rsid w:val="00430D48"/>
    <w:rsid w:val="00430DC3"/>
    <w:rsid w:val="00430EDC"/>
    <w:rsid w:val="004315F5"/>
    <w:rsid w:val="00431C9F"/>
    <w:rsid w:val="004324B6"/>
    <w:rsid w:val="00432679"/>
    <w:rsid w:val="00432D2B"/>
    <w:rsid w:val="00433B85"/>
    <w:rsid w:val="00433C08"/>
    <w:rsid w:val="004343B5"/>
    <w:rsid w:val="004351BA"/>
    <w:rsid w:val="00435ED9"/>
    <w:rsid w:val="00435EEA"/>
    <w:rsid w:val="00437412"/>
    <w:rsid w:val="00437DEB"/>
    <w:rsid w:val="00440395"/>
    <w:rsid w:val="004408D3"/>
    <w:rsid w:val="00440AAF"/>
    <w:rsid w:val="00440CEA"/>
    <w:rsid w:val="00441082"/>
    <w:rsid w:val="00441279"/>
    <w:rsid w:val="0044184F"/>
    <w:rsid w:val="0044289E"/>
    <w:rsid w:val="004428F5"/>
    <w:rsid w:val="00442A1B"/>
    <w:rsid w:val="00442D84"/>
    <w:rsid w:val="004430C1"/>
    <w:rsid w:val="004435D5"/>
    <w:rsid w:val="00443994"/>
    <w:rsid w:val="00443D75"/>
    <w:rsid w:val="004441AB"/>
    <w:rsid w:val="004446E5"/>
    <w:rsid w:val="0044476C"/>
    <w:rsid w:val="0044613F"/>
    <w:rsid w:val="00446442"/>
    <w:rsid w:val="00446CAB"/>
    <w:rsid w:val="00446DE2"/>
    <w:rsid w:val="00447152"/>
    <w:rsid w:val="00447605"/>
    <w:rsid w:val="00447A1D"/>
    <w:rsid w:val="00447C84"/>
    <w:rsid w:val="004504E5"/>
    <w:rsid w:val="004509F9"/>
    <w:rsid w:val="00450F18"/>
    <w:rsid w:val="004516F6"/>
    <w:rsid w:val="00452072"/>
    <w:rsid w:val="004525F9"/>
    <w:rsid w:val="0045271C"/>
    <w:rsid w:val="004536BE"/>
    <w:rsid w:val="0045387B"/>
    <w:rsid w:val="00454AD2"/>
    <w:rsid w:val="004554C3"/>
    <w:rsid w:val="00455CD2"/>
    <w:rsid w:val="00455F3A"/>
    <w:rsid w:val="00456074"/>
    <w:rsid w:val="00456568"/>
    <w:rsid w:val="004567AE"/>
    <w:rsid w:val="00456AF3"/>
    <w:rsid w:val="0045774B"/>
    <w:rsid w:val="00457DB6"/>
    <w:rsid w:val="004602B6"/>
    <w:rsid w:val="00460307"/>
    <w:rsid w:val="004612B2"/>
    <w:rsid w:val="00461B9D"/>
    <w:rsid w:val="00461FCD"/>
    <w:rsid w:val="00462753"/>
    <w:rsid w:val="0046333C"/>
    <w:rsid w:val="00463E00"/>
    <w:rsid w:val="00463FC3"/>
    <w:rsid w:val="0046402C"/>
    <w:rsid w:val="00464F05"/>
    <w:rsid w:val="00465D7D"/>
    <w:rsid w:val="00466111"/>
    <w:rsid w:val="00466130"/>
    <w:rsid w:val="004667D6"/>
    <w:rsid w:val="00466864"/>
    <w:rsid w:val="00466927"/>
    <w:rsid w:val="00466BE1"/>
    <w:rsid w:val="00466DFD"/>
    <w:rsid w:val="0047008E"/>
    <w:rsid w:val="004702AA"/>
    <w:rsid w:val="00471348"/>
    <w:rsid w:val="004714C6"/>
    <w:rsid w:val="00472D3C"/>
    <w:rsid w:val="00473B26"/>
    <w:rsid w:val="00473E7B"/>
    <w:rsid w:val="00475554"/>
    <w:rsid w:val="004758EA"/>
    <w:rsid w:val="004763AE"/>
    <w:rsid w:val="004764BE"/>
    <w:rsid w:val="00476698"/>
    <w:rsid w:val="00476BD5"/>
    <w:rsid w:val="00477784"/>
    <w:rsid w:val="00477B21"/>
    <w:rsid w:val="00477CBC"/>
    <w:rsid w:val="00480024"/>
    <w:rsid w:val="00480785"/>
    <w:rsid w:val="00480BD7"/>
    <w:rsid w:val="00481204"/>
    <w:rsid w:val="004814CE"/>
    <w:rsid w:val="00481F58"/>
    <w:rsid w:val="004829BA"/>
    <w:rsid w:val="00482D65"/>
    <w:rsid w:val="0048306D"/>
    <w:rsid w:val="0048323D"/>
    <w:rsid w:val="004834ED"/>
    <w:rsid w:val="00483BD7"/>
    <w:rsid w:val="00483E85"/>
    <w:rsid w:val="00484613"/>
    <w:rsid w:val="00484988"/>
    <w:rsid w:val="00484A3D"/>
    <w:rsid w:val="00484B97"/>
    <w:rsid w:val="00484CC2"/>
    <w:rsid w:val="004860A6"/>
    <w:rsid w:val="00487228"/>
    <w:rsid w:val="0049127C"/>
    <w:rsid w:val="00491621"/>
    <w:rsid w:val="0049184A"/>
    <w:rsid w:val="00491983"/>
    <w:rsid w:val="00492E57"/>
    <w:rsid w:val="00493CB9"/>
    <w:rsid w:val="00493CE8"/>
    <w:rsid w:val="00493FD5"/>
    <w:rsid w:val="0049495F"/>
    <w:rsid w:val="00495261"/>
    <w:rsid w:val="004955AC"/>
    <w:rsid w:val="00495802"/>
    <w:rsid w:val="00495F0B"/>
    <w:rsid w:val="004960E1"/>
    <w:rsid w:val="0049675B"/>
    <w:rsid w:val="00496AE6"/>
    <w:rsid w:val="00496D4F"/>
    <w:rsid w:val="00497390"/>
    <w:rsid w:val="004A06BC"/>
    <w:rsid w:val="004A14F1"/>
    <w:rsid w:val="004A1983"/>
    <w:rsid w:val="004A27E3"/>
    <w:rsid w:val="004A30D6"/>
    <w:rsid w:val="004A401B"/>
    <w:rsid w:val="004A4BA8"/>
    <w:rsid w:val="004A4DA4"/>
    <w:rsid w:val="004A52C9"/>
    <w:rsid w:val="004A56B5"/>
    <w:rsid w:val="004A5A5F"/>
    <w:rsid w:val="004A6137"/>
    <w:rsid w:val="004A61EE"/>
    <w:rsid w:val="004A64A7"/>
    <w:rsid w:val="004A64B3"/>
    <w:rsid w:val="004A6E0D"/>
    <w:rsid w:val="004A6EA7"/>
    <w:rsid w:val="004A6F50"/>
    <w:rsid w:val="004A7839"/>
    <w:rsid w:val="004A7B14"/>
    <w:rsid w:val="004A7BBF"/>
    <w:rsid w:val="004A7EDD"/>
    <w:rsid w:val="004B115A"/>
    <w:rsid w:val="004B1AB3"/>
    <w:rsid w:val="004B24FE"/>
    <w:rsid w:val="004B2AEF"/>
    <w:rsid w:val="004B2F47"/>
    <w:rsid w:val="004B3590"/>
    <w:rsid w:val="004B44DB"/>
    <w:rsid w:val="004B55DC"/>
    <w:rsid w:val="004B5724"/>
    <w:rsid w:val="004B5FEB"/>
    <w:rsid w:val="004B60E0"/>
    <w:rsid w:val="004B63D0"/>
    <w:rsid w:val="004B7CE7"/>
    <w:rsid w:val="004B7D85"/>
    <w:rsid w:val="004C02EF"/>
    <w:rsid w:val="004C1009"/>
    <w:rsid w:val="004C1098"/>
    <w:rsid w:val="004C2722"/>
    <w:rsid w:val="004C319B"/>
    <w:rsid w:val="004C4277"/>
    <w:rsid w:val="004C4715"/>
    <w:rsid w:val="004C4B29"/>
    <w:rsid w:val="004C55CE"/>
    <w:rsid w:val="004C55FB"/>
    <w:rsid w:val="004C5DBE"/>
    <w:rsid w:val="004C6857"/>
    <w:rsid w:val="004C713F"/>
    <w:rsid w:val="004C77A9"/>
    <w:rsid w:val="004D00C4"/>
    <w:rsid w:val="004D0465"/>
    <w:rsid w:val="004D2011"/>
    <w:rsid w:val="004D231B"/>
    <w:rsid w:val="004D242C"/>
    <w:rsid w:val="004D296E"/>
    <w:rsid w:val="004D2F8F"/>
    <w:rsid w:val="004D334A"/>
    <w:rsid w:val="004D338E"/>
    <w:rsid w:val="004D3534"/>
    <w:rsid w:val="004D3F78"/>
    <w:rsid w:val="004D445A"/>
    <w:rsid w:val="004D4F79"/>
    <w:rsid w:val="004D5527"/>
    <w:rsid w:val="004D5A7A"/>
    <w:rsid w:val="004D611C"/>
    <w:rsid w:val="004D7403"/>
    <w:rsid w:val="004D7B02"/>
    <w:rsid w:val="004D7D55"/>
    <w:rsid w:val="004E03CD"/>
    <w:rsid w:val="004E0D2B"/>
    <w:rsid w:val="004E214A"/>
    <w:rsid w:val="004E2A7C"/>
    <w:rsid w:val="004E2B69"/>
    <w:rsid w:val="004E32A5"/>
    <w:rsid w:val="004E351B"/>
    <w:rsid w:val="004E356E"/>
    <w:rsid w:val="004E379F"/>
    <w:rsid w:val="004E3813"/>
    <w:rsid w:val="004E384B"/>
    <w:rsid w:val="004E3B36"/>
    <w:rsid w:val="004E4204"/>
    <w:rsid w:val="004E4344"/>
    <w:rsid w:val="004E44AC"/>
    <w:rsid w:val="004E46DA"/>
    <w:rsid w:val="004E495D"/>
    <w:rsid w:val="004E4C54"/>
    <w:rsid w:val="004E5017"/>
    <w:rsid w:val="004E616B"/>
    <w:rsid w:val="004E63DB"/>
    <w:rsid w:val="004E6925"/>
    <w:rsid w:val="004E6D0C"/>
    <w:rsid w:val="004E7360"/>
    <w:rsid w:val="004F0010"/>
    <w:rsid w:val="004F04C9"/>
    <w:rsid w:val="004F0E51"/>
    <w:rsid w:val="004F11B0"/>
    <w:rsid w:val="004F1524"/>
    <w:rsid w:val="004F2BBA"/>
    <w:rsid w:val="004F2E83"/>
    <w:rsid w:val="004F308A"/>
    <w:rsid w:val="004F383A"/>
    <w:rsid w:val="004F3C7A"/>
    <w:rsid w:val="004F3FA0"/>
    <w:rsid w:val="004F442C"/>
    <w:rsid w:val="004F50EB"/>
    <w:rsid w:val="004F5699"/>
    <w:rsid w:val="004F587A"/>
    <w:rsid w:val="004F5CAC"/>
    <w:rsid w:val="004F6BCD"/>
    <w:rsid w:val="004F6ED8"/>
    <w:rsid w:val="004F721D"/>
    <w:rsid w:val="004F73B9"/>
    <w:rsid w:val="004F7463"/>
    <w:rsid w:val="004F7B17"/>
    <w:rsid w:val="004F7EC4"/>
    <w:rsid w:val="00500307"/>
    <w:rsid w:val="00500621"/>
    <w:rsid w:val="00501314"/>
    <w:rsid w:val="005014EE"/>
    <w:rsid w:val="0050183C"/>
    <w:rsid w:val="00501DD2"/>
    <w:rsid w:val="00502195"/>
    <w:rsid w:val="00502449"/>
    <w:rsid w:val="00502694"/>
    <w:rsid w:val="00503B28"/>
    <w:rsid w:val="005043C3"/>
    <w:rsid w:val="00505216"/>
    <w:rsid w:val="00505BCB"/>
    <w:rsid w:val="00505C73"/>
    <w:rsid w:val="00505CEB"/>
    <w:rsid w:val="00505F1C"/>
    <w:rsid w:val="00505F2C"/>
    <w:rsid w:val="005060A0"/>
    <w:rsid w:val="00506342"/>
    <w:rsid w:val="00506644"/>
    <w:rsid w:val="0050712E"/>
    <w:rsid w:val="00507245"/>
    <w:rsid w:val="00507C6D"/>
    <w:rsid w:val="0051109B"/>
    <w:rsid w:val="00511C43"/>
    <w:rsid w:val="00512D92"/>
    <w:rsid w:val="00513017"/>
    <w:rsid w:val="0051309B"/>
    <w:rsid w:val="00513970"/>
    <w:rsid w:val="00513AA9"/>
    <w:rsid w:val="00515B75"/>
    <w:rsid w:val="00515BFD"/>
    <w:rsid w:val="00516602"/>
    <w:rsid w:val="00517612"/>
    <w:rsid w:val="005176D5"/>
    <w:rsid w:val="00520484"/>
    <w:rsid w:val="005207EA"/>
    <w:rsid w:val="005209A8"/>
    <w:rsid w:val="00521597"/>
    <w:rsid w:val="00521EE5"/>
    <w:rsid w:val="00522532"/>
    <w:rsid w:val="0052287D"/>
    <w:rsid w:val="00522C25"/>
    <w:rsid w:val="0052377A"/>
    <w:rsid w:val="00523CC1"/>
    <w:rsid w:val="00523DF3"/>
    <w:rsid w:val="00524229"/>
    <w:rsid w:val="00524255"/>
    <w:rsid w:val="005245AA"/>
    <w:rsid w:val="005246F3"/>
    <w:rsid w:val="00524A17"/>
    <w:rsid w:val="00524BF6"/>
    <w:rsid w:val="005253EF"/>
    <w:rsid w:val="00525836"/>
    <w:rsid w:val="005265C1"/>
    <w:rsid w:val="005267C3"/>
    <w:rsid w:val="00526818"/>
    <w:rsid w:val="00526D73"/>
    <w:rsid w:val="005276B8"/>
    <w:rsid w:val="00527A0F"/>
    <w:rsid w:val="005305B5"/>
    <w:rsid w:val="00531141"/>
    <w:rsid w:val="0053173A"/>
    <w:rsid w:val="00531C28"/>
    <w:rsid w:val="00532220"/>
    <w:rsid w:val="005328E7"/>
    <w:rsid w:val="005339AA"/>
    <w:rsid w:val="00533BA1"/>
    <w:rsid w:val="00534BCB"/>
    <w:rsid w:val="00534C8F"/>
    <w:rsid w:val="00534CBF"/>
    <w:rsid w:val="00534E1B"/>
    <w:rsid w:val="00534E35"/>
    <w:rsid w:val="00535936"/>
    <w:rsid w:val="0053729F"/>
    <w:rsid w:val="005377E9"/>
    <w:rsid w:val="00540963"/>
    <w:rsid w:val="00541643"/>
    <w:rsid w:val="00541699"/>
    <w:rsid w:val="005419D1"/>
    <w:rsid w:val="00541BC7"/>
    <w:rsid w:val="005426EE"/>
    <w:rsid w:val="0054272D"/>
    <w:rsid w:val="005437D9"/>
    <w:rsid w:val="005452EC"/>
    <w:rsid w:val="0054543E"/>
    <w:rsid w:val="0054554B"/>
    <w:rsid w:val="005457E3"/>
    <w:rsid w:val="00545F39"/>
    <w:rsid w:val="00546350"/>
    <w:rsid w:val="00547020"/>
    <w:rsid w:val="005473BE"/>
    <w:rsid w:val="00547DB7"/>
    <w:rsid w:val="00547FB4"/>
    <w:rsid w:val="00551F4A"/>
    <w:rsid w:val="005521E2"/>
    <w:rsid w:val="005522F8"/>
    <w:rsid w:val="00552705"/>
    <w:rsid w:val="00552852"/>
    <w:rsid w:val="005528C8"/>
    <w:rsid w:val="005529B9"/>
    <w:rsid w:val="005549E0"/>
    <w:rsid w:val="0055571C"/>
    <w:rsid w:val="0055575A"/>
    <w:rsid w:val="005559D2"/>
    <w:rsid w:val="00555D07"/>
    <w:rsid w:val="00556EC2"/>
    <w:rsid w:val="00557686"/>
    <w:rsid w:val="00557E9A"/>
    <w:rsid w:val="00560A35"/>
    <w:rsid w:val="00560C31"/>
    <w:rsid w:val="00561A75"/>
    <w:rsid w:val="0056250E"/>
    <w:rsid w:val="00562987"/>
    <w:rsid w:val="00562D35"/>
    <w:rsid w:val="00563312"/>
    <w:rsid w:val="0056341F"/>
    <w:rsid w:val="005634AB"/>
    <w:rsid w:val="005647C8"/>
    <w:rsid w:val="00565D62"/>
    <w:rsid w:val="00566A72"/>
    <w:rsid w:val="00566F1C"/>
    <w:rsid w:val="005673E0"/>
    <w:rsid w:val="00567C4C"/>
    <w:rsid w:val="00567E28"/>
    <w:rsid w:val="005700B7"/>
    <w:rsid w:val="00570621"/>
    <w:rsid w:val="0057080D"/>
    <w:rsid w:val="00570952"/>
    <w:rsid w:val="0057151A"/>
    <w:rsid w:val="00572A74"/>
    <w:rsid w:val="00574A3D"/>
    <w:rsid w:val="00575560"/>
    <w:rsid w:val="005759FD"/>
    <w:rsid w:val="00576481"/>
    <w:rsid w:val="00577682"/>
    <w:rsid w:val="00577B98"/>
    <w:rsid w:val="00580545"/>
    <w:rsid w:val="00580778"/>
    <w:rsid w:val="0058163B"/>
    <w:rsid w:val="00581841"/>
    <w:rsid w:val="0058185E"/>
    <w:rsid w:val="00581930"/>
    <w:rsid w:val="00581D43"/>
    <w:rsid w:val="00581EE6"/>
    <w:rsid w:val="00582637"/>
    <w:rsid w:val="0058267D"/>
    <w:rsid w:val="00583033"/>
    <w:rsid w:val="00583692"/>
    <w:rsid w:val="00583C3F"/>
    <w:rsid w:val="0058433E"/>
    <w:rsid w:val="0058434E"/>
    <w:rsid w:val="00584592"/>
    <w:rsid w:val="00584AC1"/>
    <w:rsid w:val="00584D8F"/>
    <w:rsid w:val="005851EF"/>
    <w:rsid w:val="00585839"/>
    <w:rsid w:val="00587FF8"/>
    <w:rsid w:val="005902E4"/>
    <w:rsid w:val="00590426"/>
    <w:rsid w:val="005907F4"/>
    <w:rsid w:val="005908E2"/>
    <w:rsid w:val="00590AC3"/>
    <w:rsid w:val="00590AF4"/>
    <w:rsid w:val="00591714"/>
    <w:rsid w:val="00591C4E"/>
    <w:rsid w:val="00591EC7"/>
    <w:rsid w:val="005920D5"/>
    <w:rsid w:val="00592C8F"/>
    <w:rsid w:val="005931E7"/>
    <w:rsid w:val="00593412"/>
    <w:rsid w:val="005937DE"/>
    <w:rsid w:val="00593AA8"/>
    <w:rsid w:val="00593B08"/>
    <w:rsid w:val="00593B30"/>
    <w:rsid w:val="00593DA6"/>
    <w:rsid w:val="00594339"/>
    <w:rsid w:val="005943B8"/>
    <w:rsid w:val="0059480A"/>
    <w:rsid w:val="00595A21"/>
    <w:rsid w:val="00596C5C"/>
    <w:rsid w:val="00596E8F"/>
    <w:rsid w:val="00597EC0"/>
    <w:rsid w:val="005A02DD"/>
    <w:rsid w:val="005A080D"/>
    <w:rsid w:val="005A0936"/>
    <w:rsid w:val="005A0949"/>
    <w:rsid w:val="005A09FE"/>
    <w:rsid w:val="005A0ACF"/>
    <w:rsid w:val="005A157D"/>
    <w:rsid w:val="005A20B5"/>
    <w:rsid w:val="005A26C3"/>
    <w:rsid w:val="005A29B0"/>
    <w:rsid w:val="005A3141"/>
    <w:rsid w:val="005A33CF"/>
    <w:rsid w:val="005A3607"/>
    <w:rsid w:val="005A487D"/>
    <w:rsid w:val="005A4FF8"/>
    <w:rsid w:val="005A5481"/>
    <w:rsid w:val="005A5A35"/>
    <w:rsid w:val="005A62C1"/>
    <w:rsid w:val="005A6D86"/>
    <w:rsid w:val="005A7306"/>
    <w:rsid w:val="005A7B0F"/>
    <w:rsid w:val="005A7BB5"/>
    <w:rsid w:val="005A7CF5"/>
    <w:rsid w:val="005B0294"/>
    <w:rsid w:val="005B0AE9"/>
    <w:rsid w:val="005B0E3D"/>
    <w:rsid w:val="005B0E49"/>
    <w:rsid w:val="005B1B07"/>
    <w:rsid w:val="005B1C4D"/>
    <w:rsid w:val="005B1E0F"/>
    <w:rsid w:val="005B23B7"/>
    <w:rsid w:val="005B2AE2"/>
    <w:rsid w:val="005B33F8"/>
    <w:rsid w:val="005B3971"/>
    <w:rsid w:val="005B474E"/>
    <w:rsid w:val="005B47A2"/>
    <w:rsid w:val="005B4D78"/>
    <w:rsid w:val="005B578E"/>
    <w:rsid w:val="005B599C"/>
    <w:rsid w:val="005B5AF3"/>
    <w:rsid w:val="005B62C3"/>
    <w:rsid w:val="005B64DF"/>
    <w:rsid w:val="005B66D0"/>
    <w:rsid w:val="005B6F25"/>
    <w:rsid w:val="005C0E10"/>
    <w:rsid w:val="005C105D"/>
    <w:rsid w:val="005C1BC0"/>
    <w:rsid w:val="005C1F87"/>
    <w:rsid w:val="005C230B"/>
    <w:rsid w:val="005C2924"/>
    <w:rsid w:val="005C30B7"/>
    <w:rsid w:val="005C43FA"/>
    <w:rsid w:val="005C49E8"/>
    <w:rsid w:val="005C4C04"/>
    <w:rsid w:val="005C4C4B"/>
    <w:rsid w:val="005C573B"/>
    <w:rsid w:val="005C5A2E"/>
    <w:rsid w:val="005C61DA"/>
    <w:rsid w:val="005C642B"/>
    <w:rsid w:val="005C67FF"/>
    <w:rsid w:val="005C6C38"/>
    <w:rsid w:val="005C7188"/>
    <w:rsid w:val="005C76E3"/>
    <w:rsid w:val="005C7738"/>
    <w:rsid w:val="005C7959"/>
    <w:rsid w:val="005C7B08"/>
    <w:rsid w:val="005D0CD8"/>
    <w:rsid w:val="005D1202"/>
    <w:rsid w:val="005D1242"/>
    <w:rsid w:val="005D23F8"/>
    <w:rsid w:val="005D2408"/>
    <w:rsid w:val="005D24D1"/>
    <w:rsid w:val="005D32C6"/>
    <w:rsid w:val="005D36A2"/>
    <w:rsid w:val="005D446A"/>
    <w:rsid w:val="005D482F"/>
    <w:rsid w:val="005D5178"/>
    <w:rsid w:val="005D52E4"/>
    <w:rsid w:val="005D5644"/>
    <w:rsid w:val="005D5808"/>
    <w:rsid w:val="005D5E8A"/>
    <w:rsid w:val="005D6643"/>
    <w:rsid w:val="005D676C"/>
    <w:rsid w:val="005D68BF"/>
    <w:rsid w:val="005D719A"/>
    <w:rsid w:val="005D785F"/>
    <w:rsid w:val="005D7990"/>
    <w:rsid w:val="005E0BCD"/>
    <w:rsid w:val="005E0ED7"/>
    <w:rsid w:val="005E0EF6"/>
    <w:rsid w:val="005E1618"/>
    <w:rsid w:val="005E1C89"/>
    <w:rsid w:val="005E1EEF"/>
    <w:rsid w:val="005E3142"/>
    <w:rsid w:val="005E33CF"/>
    <w:rsid w:val="005E3BD6"/>
    <w:rsid w:val="005E3F11"/>
    <w:rsid w:val="005E465E"/>
    <w:rsid w:val="005E47A0"/>
    <w:rsid w:val="005E47D7"/>
    <w:rsid w:val="005E4B10"/>
    <w:rsid w:val="005E4F65"/>
    <w:rsid w:val="005E500E"/>
    <w:rsid w:val="005E587E"/>
    <w:rsid w:val="005E5AE2"/>
    <w:rsid w:val="005E5B42"/>
    <w:rsid w:val="005E6D11"/>
    <w:rsid w:val="005E7BF1"/>
    <w:rsid w:val="005F0536"/>
    <w:rsid w:val="005F09EB"/>
    <w:rsid w:val="005F101F"/>
    <w:rsid w:val="005F1FCC"/>
    <w:rsid w:val="005F281C"/>
    <w:rsid w:val="005F401A"/>
    <w:rsid w:val="005F4461"/>
    <w:rsid w:val="005F48A8"/>
    <w:rsid w:val="005F4FF1"/>
    <w:rsid w:val="005F5129"/>
    <w:rsid w:val="005F555E"/>
    <w:rsid w:val="005F55FF"/>
    <w:rsid w:val="005F5A22"/>
    <w:rsid w:val="005F5B63"/>
    <w:rsid w:val="005F5F76"/>
    <w:rsid w:val="005F6C9F"/>
    <w:rsid w:val="005F7122"/>
    <w:rsid w:val="005F79A4"/>
    <w:rsid w:val="005F7F52"/>
    <w:rsid w:val="00600D16"/>
    <w:rsid w:val="00600DD3"/>
    <w:rsid w:val="0060101C"/>
    <w:rsid w:val="006011C1"/>
    <w:rsid w:val="00601D72"/>
    <w:rsid w:val="006021A2"/>
    <w:rsid w:val="006023F1"/>
    <w:rsid w:val="006032F6"/>
    <w:rsid w:val="0060336C"/>
    <w:rsid w:val="006034B1"/>
    <w:rsid w:val="00603AFF"/>
    <w:rsid w:val="006042E0"/>
    <w:rsid w:val="00604561"/>
    <w:rsid w:val="00604743"/>
    <w:rsid w:val="00604857"/>
    <w:rsid w:val="00604902"/>
    <w:rsid w:val="00604946"/>
    <w:rsid w:val="006050C9"/>
    <w:rsid w:val="0060513A"/>
    <w:rsid w:val="0060524A"/>
    <w:rsid w:val="0060528C"/>
    <w:rsid w:val="006054D8"/>
    <w:rsid w:val="00606951"/>
    <w:rsid w:val="00606E5D"/>
    <w:rsid w:val="0060759F"/>
    <w:rsid w:val="006104BD"/>
    <w:rsid w:val="006104C4"/>
    <w:rsid w:val="006109B1"/>
    <w:rsid w:val="00610B85"/>
    <w:rsid w:val="006116C8"/>
    <w:rsid w:val="00611E86"/>
    <w:rsid w:val="00612B11"/>
    <w:rsid w:val="006149F2"/>
    <w:rsid w:val="00614E68"/>
    <w:rsid w:val="00615466"/>
    <w:rsid w:val="006158DC"/>
    <w:rsid w:val="00615E83"/>
    <w:rsid w:val="00616B7E"/>
    <w:rsid w:val="006174EC"/>
    <w:rsid w:val="00617D10"/>
    <w:rsid w:val="00617DA8"/>
    <w:rsid w:val="006203AE"/>
    <w:rsid w:val="00620554"/>
    <w:rsid w:val="006208EC"/>
    <w:rsid w:val="00621604"/>
    <w:rsid w:val="00621D82"/>
    <w:rsid w:val="00621F7C"/>
    <w:rsid w:val="006224E5"/>
    <w:rsid w:val="00622638"/>
    <w:rsid w:val="00622A95"/>
    <w:rsid w:val="00622F67"/>
    <w:rsid w:val="006231EC"/>
    <w:rsid w:val="00623CF0"/>
    <w:rsid w:val="00624182"/>
    <w:rsid w:val="006242B3"/>
    <w:rsid w:val="00625544"/>
    <w:rsid w:val="00625796"/>
    <w:rsid w:val="00626069"/>
    <w:rsid w:val="00626152"/>
    <w:rsid w:val="006261BC"/>
    <w:rsid w:val="00626707"/>
    <w:rsid w:val="00626AC3"/>
    <w:rsid w:val="00626BA9"/>
    <w:rsid w:val="006271F1"/>
    <w:rsid w:val="006271F6"/>
    <w:rsid w:val="00630036"/>
    <w:rsid w:val="00630660"/>
    <w:rsid w:val="006307D7"/>
    <w:rsid w:val="00630955"/>
    <w:rsid w:val="00631583"/>
    <w:rsid w:val="0063173A"/>
    <w:rsid w:val="006318B6"/>
    <w:rsid w:val="00631988"/>
    <w:rsid w:val="00631AFA"/>
    <w:rsid w:val="00631D10"/>
    <w:rsid w:val="00631E5F"/>
    <w:rsid w:val="0063202C"/>
    <w:rsid w:val="0063259E"/>
    <w:rsid w:val="00633113"/>
    <w:rsid w:val="0063424E"/>
    <w:rsid w:val="00634637"/>
    <w:rsid w:val="00634D24"/>
    <w:rsid w:val="0063500C"/>
    <w:rsid w:val="00635049"/>
    <w:rsid w:val="0063580F"/>
    <w:rsid w:val="00635E66"/>
    <w:rsid w:val="00635FFD"/>
    <w:rsid w:val="00636606"/>
    <w:rsid w:val="00636D0F"/>
    <w:rsid w:val="00637440"/>
    <w:rsid w:val="0064045B"/>
    <w:rsid w:val="00640638"/>
    <w:rsid w:val="006409A2"/>
    <w:rsid w:val="00640C1E"/>
    <w:rsid w:val="00641642"/>
    <w:rsid w:val="00641730"/>
    <w:rsid w:val="006417A4"/>
    <w:rsid w:val="006417E6"/>
    <w:rsid w:val="006424A7"/>
    <w:rsid w:val="006425B0"/>
    <w:rsid w:val="00642846"/>
    <w:rsid w:val="00642A7A"/>
    <w:rsid w:val="00643D9F"/>
    <w:rsid w:val="006453F4"/>
    <w:rsid w:val="00645427"/>
    <w:rsid w:val="00645D06"/>
    <w:rsid w:val="00645F85"/>
    <w:rsid w:val="0064605F"/>
    <w:rsid w:val="00646205"/>
    <w:rsid w:val="0064620D"/>
    <w:rsid w:val="00646925"/>
    <w:rsid w:val="006469D6"/>
    <w:rsid w:val="006500D0"/>
    <w:rsid w:val="00650797"/>
    <w:rsid w:val="006507E5"/>
    <w:rsid w:val="006510B3"/>
    <w:rsid w:val="006514B9"/>
    <w:rsid w:val="00651AF7"/>
    <w:rsid w:val="00651E13"/>
    <w:rsid w:val="00652244"/>
    <w:rsid w:val="00652384"/>
    <w:rsid w:val="0065277A"/>
    <w:rsid w:val="00652AF8"/>
    <w:rsid w:val="00652CF1"/>
    <w:rsid w:val="00653484"/>
    <w:rsid w:val="006534E6"/>
    <w:rsid w:val="00653E4C"/>
    <w:rsid w:val="00654A48"/>
    <w:rsid w:val="00654C09"/>
    <w:rsid w:val="00654ED7"/>
    <w:rsid w:val="006550FB"/>
    <w:rsid w:val="0065572A"/>
    <w:rsid w:val="00655B9D"/>
    <w:rsid w:val="0065628C"/>
    <w:rsid w:val="00656B55"/>
    <w:rsid w:val="00657833"/>
    <w:rsid w:val="00660088"/>
    <w:rsid w:val="006604EA"/>
    <w:rsid w:val="00661F9E"/>
    <w:rsid w:val="006624BF"/>
    <w:rsid w:val="0066295E"/>
    <w:rsid w:val="00663786"/>
    <w:rsid w:val="00663A64"/>
    <w:rsid w:val="00664A06"/>
    <w:rsid w:val="00664BE4"/>
    <w:rsid w:val="00665119"/>
    <w:rsid w:val="00665CC2"/>
    <w:rsid w:val="00665E7E"/>
    <w:rsid w:val="00665EF5"/>
    <w:rsid w:val="00666EAD"/>
    <w:rsid w:val="00667108"/>
    <w:rsid w:val="00667933"/>
    <w:rsid w:val="00667DBA"/>
    <w:rsid w:val="00670C3F"/>
    <w:rsid w:val="00671111"/>
    <w:rsid w:val="006712FC"/>
    <w:rsid w:val="00671438"/>
    <w:rsid w:val="0067157E"/>
    <w:rsid w:val="00671B97"/>
    <w:rsid w:val="00671EDE"/>
    <w:rsid w:val="006737D8"/>
    <w:rsid w:val="00673D59"/>
    <w:rsid w:val="00673E28"/>
    <w:rsid w:val="00675406"/>
    <w:rsid w:val="00675C47"/>
    <w:rsid w:val="006760FC"/>
    <w:rsid w:val="006762F5"/>
    <w:rsid w:val="0067765A"/>
    <w:rsid w:val="006777DE"/>
    <w:rsid w:val="00677B84"/>
    <w:rsid w:val="0068020C"/>
    <w:rsid w:val="00680393"/>
    <w:rsid w:val="00680A9A"/>
    <w:rsid w:val="00680ADA"/>
    <w:rsid w:val="00680D69"/>
    <w:rsid w:val="00681554"/>
    <w:rsid w:val="00681D6B"/>
    <w:rsid w:val="00681EDD"/>
    <w:rsid w:val="00682508"/>
    <w:rsid w:val="00682620"/>
    <w:rsid w:val="00682793"/>
    <w:rsid w:val="00682CD4"/>
    <w:rsid w:val="0068306B"/>
    <w:rsid w:val="006846A9"/>
    <w:rsid w:val="006846DB"/>
    <w:rsid w:val="00684EB8"/>
    <w:rsid w:val="0068542A"/>
    <w:rsid w:val="00685585"/>
    <w:rsid w:val="00686C8E"/>
    <w:rsid w:val="00687663"/>
    <w:rsid w:val="00690545"/>
    <w:rsid w:val="006905C5"/>
    <w:rsid w:val="00690794"/>
    <w:rsid w:val="0069097F"/>
    <w:rsid w:val="00690B6D"/>
    <w:rsid w:val="00691D72"/>
    <w:rsid w:val="00691F9A"/>
    <w:rsid w:val="006928F6"/>
    <w:rsid w:val="006929B0"/>
    <w:rsid w:val="0069339D"/>
    <w:rsid w:val="006937E2"/>
    <w:rsid w:val="00693A57"/>
    <w:rsid w:val="00694497"/>
    <w:rsid w:val="00694883"/>
    <w:rsid w:val="006952F3"/>
    <w:rsid w:val="00695C08"/>
    <w:rsid w:val="00695F34"/>
    <w:rsid w:val="00696670"/>
    <w:rsid w:val="00696D74"/>
    <w:rsid w:val="00696FE7"/>
    <w:rsid w:val="006A07B9"/>
    <w:rsid w:val="006A0B40"/>
    <w:rsid w:val="006A2B7F"/>
    <w:rsid w:val="006A40FD"/>
    <w:rsid w:val="006A49B3"/>
    <w:rsid w:val="006A5604"/>
    <w:rsid w:val="006A5A84"/>
    <w:rsid w:val="006A5BEE"/>
    <w:rsid w:val="006A6482"/>
    <w:rsid w:val="006A648F"/>
    <w:rsid w:val="006A6550"/>
    <w:rsid w:val="006A6987"/>
    <w:rsid w:val="006A6B13"/>
    <w:rsid w:val="006A6E40"/>
    <w:rsid w:val="006A762C"/>
    <w:rsid w:val="006A76F6"/>
    <w:rsid w:val="006A7A0B"/>
    <w:rsid w:val="006A7AB1"/>
    <w:rsid w:val="006B0A69"/>
    <w:rsid w:val="006B137A"/>
    <w:rsid w:val="006B1584"/>
    <w:rsid w:val="006B19F1"/>
    <w:rsid w:val="006B1AC0"/>
    <w:rsid w:val="006B2340"/>
    <w:rsid w:val="006B2484"/>
    <w:rsid w:val="006B2558"/>
    <w:rsid w:val="006B2B09"/>
    <w:rsid w:val="006B3303"/>
    <w:rsid w:val="006B3504"/>
    <w:rsid w:val="006B43D8"/>
    <w:rsid w:val="006B4BA4"/>
    <w:rsid w:val="006B508E"/>
    <w:rsid w:val="006B54DA"/>
    <w:rsid w:val="006B55CD"/>
    <w:rsid w:val="006B566E"/>
    <w:rsid w:val="006B5D35"/>
    <w:rsid w:val="006B5E4B"/>
    <w:rsid w:val="006B651D"/>
    <w:rsid w:val="006B6789"/>
    <w:rsid w:val="006B6829"/>
    <w:rsid w:val="006B70E7"/>
    <w:rsid w:val="006B78D6"/>
    <w:rsid w:val="006C0888"/>
    <w:rsid w:val="006C0C6F"/>
    <w:rsid w:val="006C1D42"/>
    <w:rsid w:val="006C23AD"/>
    <w:rsid w:val="006C33DC"/>
    <w:rsid w:val="006C3619"/>
    <w:rsid w:val="006C376E"/>
    <w:rsid w:val="006C3DD1"/>
    <w:rsid w:val="006C3EAB"/>
    <w:rsid w:val="006C61C6"/>
    <w:rsid w:val="006C6374"/>
    <w:rsid w:val="006C66FE"/>
    <w:rsid w:val="006C741D"/>
    <w:rsid w:val="006C7618"/>
    <w:rsid w:val="006C7734"/>
    <w:rsid w:val="006C7885"/>
    <w:rsid w:val="006D0061"/>
    <w:rsid w:val="006D025E"/>
    <w:rsid w:val="006D05E2"/>
    <w:rsid w:val="006D0AB2"/>
    <w:rsid w:val="006D0ABC"/>
    <w:rsid w:val="006D0D91"/>
    <w:rsid w:val="006D1480"/>
    <w:rsid w:val="006D1585"/>
    <w:rsid w:val="006D2232"/>
    <w:rsid w:val="006D2A26"/>
    <w:rsid w:val="006D3CE0"/>
    <w:rsid w:val="006D48B4"/>
    <w:rsid w:val="006D4DF9"/>
    <w:rsid w:val="006D53E1"/>
    <w:rsid w:val="006D5A94"/>
    <w:rsid w:val="006D6DC7"/>
    <w:rsid w:val="006D7489"/>
    <w:rsid w:val="006D795B"/>
    <w:rsid w:val="006D7A1D"/>
    <w:rsid w:val="006D7B1C"/>
    <w:rsid w:val="006E0971"/>
    <w:rsid w:val="006E1803"/>
    <w:rsid w:val="006E1FD9"/>
    <w:rsid w:val="006E2052"/>
    <w:rsid w:val="006E2C30"/>
    <w:rsid w:val="006E2F1B"/>
    <w:rsid w:val="006E2F50"/>
    <w:rsid w:val="006E2FAF"/>
    <w:rsid w:val="006E31A9"/>
    <w:rsid w:val="006E337A"/>
    <w:rsid w:val="006E35B4"/>
    <w:rsid w:val="006E380C"/>
    <w:rsid w:val="006E4293"/>
    <w:rsid w:val="006E4560"/>
    <w:rsid w:val="006E4ABF"/>
    <w:rsid w:val="006E51FD"/>
    <w:rsid w:val="006E56E8"/>
    <w:rsid w:val="006E5D66"/>
    <w:rsid w:val="006E6FCF"/>
    <w:rsid w:val="006E7406"/>
    <w:rsid w:val="006E767A"/>
    <w:rsid w:val="006F0058"/>
    <w:rsid w:val="006F012D"/>
    <w:rsid w:val="006F0687"/>
    <w:rsid w:val="006F0BE6"/>
    <w:rsid w:val="006F1533"/>
    <w:rsid w:val="006F195F"/>
    <w:rsid w:val="006F1A3B"/>
    <w:rsid w:val="006F1C9A"/>
    <w:rsid w:val="006F2447"/>
    <w:rsid w:val="006F2513"/>
    <w:rsid w:val="006F2889"/>
    <w:rsid w:val="006F3F8C"/>
    <w:rsid w:val="006F4062"/>
    <w:rsid w:val="006F407B"/>
    <w:rsid w:val="006F4104"/>
    <w:rsid w:val="006F478D"/>
    <w:rsid w:val="006F4836"/>
    <w:rsid w:val="006F4C65"/>
    <w:rsid w:val="006F4DBC"/>
    <w:rsid w:val="006F50D1"/>
    <w:rsid w:val="006F54D6"/>
    <w:rsid w:val="006F58FE"/>
    <w:rsid w:val="006F5B1C"/>
    <w:rsid w:val="006F5F68"/>
    <w:rsid w:val="006F6003"/>
    <w:rsid w:val="006F6405"/>
    <w:rsid w:val="006F6E14"/>
    <w:rsid w:val="006F7FD7"/>
    <w:rsid w:val="00700637"/>
    <w:rsid w:val="00701774"/>
    <w:rsid w:val="00701F5E"/>
    <w:rsid w:val="007027B8"/>
    <w:rsid w:val="00705CDF"/>
    <w:rsid w:val="007109A3"/>
    <w:rsid w:val="00710C9B"/>
    <w:rsid w:val="00710CDB"/>
    <w:rsid w:val="007115A9"/>
    <w:rsid w:val="00711803"/>
    <w:rsid w:val="00711A3E"/>
    <w:rsid w:val="00711FFD"/>
    <w:rsid w:val="00712616"/>
    <w:rsid w:val="00712C37"/>
    <w:rsid w:val="007130F5"/>
    <w:rsid w:val="007148FB"/>
    <w:rsid w:val="00714F35"/>
    <w:rsid w:val="00715069"/>
    <w:rsid w:val="00715DC0"/>
    <w:rsid w:val="00716460"/>
    <w:rsid w:val="007166A1"/>
    <w:rsid w:val="00716811"/>
    <w:rsid w:val="00716A1E"/>
    <w:rsid w:val="0071701B"/>
    <w:rsid w:val="007172AC"/>
    <w:rsid w:val="00717DEC"/>
    <w:rsid w:val="007203A9"/>
    <w:rsid w:val="00720AAE"/>
    <w:rsid w:val="00721DA3"/>
    <w:rsid w:val="00722AA7"/>
    <w:rsid w:val="00724850"/>
    <w:rsid w:val="007248D3"/>
    <w:rsid w:val="00724CBB"/>
    <w:rsid w:val="00725579"/>
    <w:rsid w:val="00725992"/>
    <w:rsid w:val="007300B0"/>
    <w:rsid w:val="00730DFB"/>
    <w:rsid w:val="00731914"/>
    <w:rsid w:val="007319B5"/>
    <w:rsid w:val="007324FB"/>
    <w:rsid w:val="0073299D"/>
    <w:rsid w:val="00732A23"/>
    <w:rsid w:val="00732DFD"/>
    <w:rsid w:val="00733787"/>
    <w:rsid w:val="00733DDB"/>
    <w:rsid w:val="00733DE0"/>
    <w:rsid w:val="00733FE8"/>
    <w:rsid w:val="0073496F"/>
    <w:rsid w:val="00735377"/>
    <w:rsid w:val="00735620"/>
    <w:rsid w:val="00735624"/>
    <w:rsid w:val="007366E0"/>
    <w:rsid w:val="007369BD"/>
    <w:rsid w:val="007370F5"/>
    <w:rsid w:val="00737350"/>
    <w:rsid w:val="0073740D"/>
    <w:rsid w:val="007400E6"/>
    <w:rsid w:val="007405B1"/>
    <w:rsid w:val="007409DE"/>
    <w:rsid w:val="00740F50"/>
    <w:rsid w:val="00741649"/>
    <w:rsid w:val="0074249E"/>
    <w:rsid w:val="00742EB4"/>
    <w:rsid w:val="00743594"/>
    <w:rsid w:val="00743ABE"/>
    <w:rsid w:val="00743D88"/>
    <w:rsid w:val="0074496D"/>
    <w:rsid w:val="007458A7"/>
    <w:rsid w:val="00745A84"/>
    <w:rsid w:val="007466DC"/>
    <w:rsid w:val="00746D1B"/>
    <w:rsid w:val="00746EEF"/>
    <w:rsid w:val="0074708E"/>
    <w:rsid w:val="00747339"/>
    <w:rsid w:val="0074747D"/>
    <w:rsid w:val="00747BC8"/>
    <w:rsid w:val="00750114"/>
    <w:rsid w:val="00750D48"/>
    <w:rsid w:val="00751226"/>
    <w:rsid w:val="00751C0A"/>
    <w:rsid w:val="007521F4"/>
    <w:rsid w:val="00752CCC"/>
    <w:rsid w:val="00752D88"/>
    <w:rsid w:val="007537B9"/>
    <w:rsid w:val="007539B8"/>
    <w:rsid w:val="00753F25"/>
    <w:rsid w:val="00753FC3"/>
    <w:rsid w:val="00754F01"/>
    <w:rsid w:val="0075509B"/>
    <w:rsid w:val="00755395"/>
    <w:rsid w:val="00755D16"/>
    <w:rsid w:val="0075665B"/>
    <w:rsid w:val="00756AF8"/>
    <w:rsid w:val="00757241"/>
    <w:rsid w:val="00757311"/>
    <w:rsid w:val="00757464"/>
    <w:rsid w:val="007579A6"/>
    <w:rsid w:val="00757A8E"/>
    <w:rsid w:val="00757C69"/>
    <w:rsid w:val="00757DE1"/>
    <w:rsid w:val="00757E46"/>
    <w:rsid w:val="00760324"/>
    <w:rsid w:val="00761158"/>
    <w:rsid w:val="00761293"/>
    <w:rsid w:val="00761491"/>
    <w:rsid w:val="00761B0C"/>
    <w:rsid w:val="0076226D"/>
    <w:rsid w:val="00762A4E"/>
    <w:rsid w:val="00762BA4"/>
    <w:rsid w:val="00762D44"/>
    <w:rsid w:val="00763B5A"/>
    <w:rsid w:val="00764069"/>
    <w:rsid w:val="007654F4"/>
    <w:rsid w:val="00765C86"/>
    <w:rsid w:val="00766616"/>
    <w:rsid w:val="007666B1"/>
    <w:rsid w:val="00766CC2"/>
    <w:rsid w:val="00766E32"/>
    <w:rsid w:val="007706F2"/>
    <w:rsid w:val="00770723"/>
    <w:rsid w:val="007707BB"/>
    <w:rsid w:val="00771691"/>
    <w:rsid w:val="00771F4E"/>
    <w:rsid w:val="00772068"/>
    <w:rsid w:val="007726A8"/>
    <w:rsid w:val="007728C2"/>
    <w:rsid w:val="00772E97"/>
    <w:rsid w:val="0077373A"/>
    <w:rsid w:val="0077469A"/>
    <w:rsid w:val="00774B23"/>
    <w:rsid w:val="00774B45"/>
    <w:rsid w:val="007756F7"/>
    <w:rsid w:val="00775978"/>
    <w:rsid w:val="007762B0"/>
    <w:rsid w:val="00776689"/>
    <w:rsid w:val="007768AA"/>
    <w:rsid w:val="00777454"/>
    <w:rsid w:val="00777E08"/>
    <w:rsid w:val="00780EE4"/>
    <w:rsid w:val="00781B33"/>
    <w:rsid w:val="00781B83"/>
    <w:rsid w:val="0078281D"/>
    <w:rsid w:val="00783075"/>
    <w:rsid w:val="0078334F"/>
    <w:rsid w:val="00783363"/>
    <w:rsid w:val="007834EA"/>
    <w:rsid w:val="007841F9"/>
    <w:rsid w:val="00784447"/>
    <w:rsid w:val="00784541"/>
    <w:rsid w:val="0078523B"/>
    <w:rsid w:val="007859D0"/>
    <w:rsid w:val="00786323"/>
    <w:rsid w:val="007873CB"/>
    <w:rsid w:val="007875FA"/>
    <w:rsid w:val="00787DEC"/>
    <w:rsid w:val="0079078D"/>
    <w:rsid w:val="00791264"/>
    <w:rsid w:val="00792224"/>
    <w:rsid w:val="00792E71"/>
    <w:rsid w:val="0079301C"/>
    <w:rsid w:val="007937E4"/>
    <w:rsid w:val="00793FCB"/>
    <w:rsid w:val="00794B1F"/>
    <w:rsid w:val="00794E22"/>
    <w:rsid w:val="007953BF"/>
    <w:rsid w:val="007953DF"/>
    <w:rsid w:val="0079553A"/>
    <w:rsid w:val="00795B4D"/>
    <w:rsid w:val="007960D0"/>
    <w:rsid w:val="00796670"/>
    <w:rsid w:val="0079737B"/>
    <w:rsid w:val="007A0ADD"/>
    <w:rsid w:val="007A13CC"/>
    <w:rsid w:val="007A1668"/>
    <w:rsid w:val="007A2056"/>
    <w:rsid w:val="007A3037"/>
    <w:rsid w:val="007A31F0"/>
    <w:rsid w:val="007A3578"/>
    <w:rsid w:val="007A3F2F"/>
    <w:rsid w:val="007A518F"/>
    <w:rsid w:val="007A535F"/>
    <w:rsid w:val="007A5BBB"/>
    <w:rsid w:val="007A5DCB"/>
    <w:rsid w:val="007A645F"/>
    <w:rsid w:val="007A6901"/>
    <w:rsid w:val="007A78F4"/>
    <w:rsid w:val="007B077A"/>
    <w:rsid w:val="007B0835"/>
    <w:rsid w:val="007B0D08"/>
    <w:rsid w:val="007B11A7"/>
    <w:rsid w:val="007B1944"/>
    <w:rsid w:val="007B3123"/>
    <w:rsid w:val="007B41B3"/>
    <w:rsid w:val="007B4205"/>
    <w:rsid w:val="007B567D"/>
    <w:rsid w:val="007B58CE"/>
    <w:rsid w:val="007B594C"/>
    <w:rsid w:val="007B6EB5"/>
    <w:rsid w:val="007B7BE5"/>
    <w:rsid w:val="007B7E57"/>
    <w:rsid w:val="007C01AC"/>
    <w:rsid w:val="007C099B"/>
    <w:rsid w:val="007C0D55"/>
    <w:rsid w:val="007C0DAD"/>
    <w:rsid w:val="007C14B4"/>
    <w:rsid w:val="007C1E30"/>
    <w:rsid w:val="007C3004"/>
    <w:rsid w:val="007C325A"/>
    <w:rsid w:val="007C326B"/>
    <w:rsid w:val="007C32C2"/>
    <w:rsid w:val="007C355E"/>
    <w:rsid w:val="007C3643"/>
    <w:rsid w:val="007C405A"/>
    <w:rsid w:val="007C472C"/>
    <w:rsid w:val="007C4AA2"/>
    <w:rsid w:val="007C525E"/>
    <w:rsid w:val="007C5312"/>
    <w:rsid w:val="007C5338"/>
    <w:rsid w:val="007C57CC"/>
    <w:rsid w:val="007C6045"/>
    <w:rsid w:val="007C651A"/>
    <w:rsid w:val="007C7344"/>
    <w:rsid w:val="007C76EC"/>
    <w:rsid w:val="007C7A37"/>
    <w:rsid w:val="007D054B"/>
    <w:rsid w:val="007D128F"/>
    <w:rsid w:val="007D212A"/>
    <w:rsid w:val="007D4727"/>
    <w:rsid w:val="007D592F"/>
    <w:rsid w:val="007D6387"/>
    <w:rsid w:val="007D7456"/>
    <w:rsid w:val="007D7684"/>
    <w:rsid w:val="007D7809"/>
    <w:rsid w:val="007E01A8"/>
    <w:rsid w:val="007E0F2F"/>
    <w:rsid w:val="007E1149"/>
    <w:rsid w:val="007E22F9"/>
    <w:rsid w:val="007E299E"/>
    <w:rsid w:val="007E29BD"/>
    <w:rsid w:val="007E3904"/>
    <w:rsid w:val="007E3F57"/>
    <w:rsid w:val="007E4BE2"/>
    <w:rsid w:val="007E50D5"/>
    <w:rsid w:val="007E52FC"/>
    <w:rsid w:val="007E6A01"/>
    <w:rsid w:val="007E7522"/>
    <w:rsid w:val="007E7A6C"/>
    <w:rsid w:val="007F039B"/>
    <w:rsid w:val="007F050F"/>
    <w:rsid w:val="007F06FF"/>
    <w:rsid w:val="007F0927"/>
    <w:rsid w:val="007F0D54"/>
    <w:rsid w:val="007F1A2A"/>
    <w:rsid w:val="007F1AE7"/>
    <w:rsid w:val="007F1F6A"/>
    <w:rsid w:val="007F2A62"/>
    <w:rsid w:val="007F2FAB"/>
    <w:rsid w:val="007F3786"/>
    <w:rsid w:val="007F3CCA"/>
    <w:rsid w:val="007F4E3E"/>
    <w:rsid w:val="007F5431"/>
    <w:rsid w:val="007F57C5"/>
    <w:rsid w:val="007F57DB"/>
    <w:rsid w:val="007F672E"/>
    <w:rsid w:val="007F6F94"/>
    <w:rsid w:val="007F79E3"/>
    <w:rsid w:val="007F7BC8"/>
    <w:rsid w:val="007F7C3E"/>
    <w:rsid w:val="008003EB"/>
    <w:rsid w:val="00800694"/>
    <w:rsid w:val="008007B4"/>
    <w:rsid w:val="00800FF9"/>
    <w:rsid w:val="0080193D"/>
    <w:rsid w:val="00801A60"/>
    <w:rsid w:val="00801B34"/>
    <w:rsid w:val="00801F8A"/>
    <w:rsid w:val="00801FD2"/>
    <w:rsid w:val="008023C3"/>
    <w:rsid w:val="00802726"/>
    <w:rsid w:val="00802A20"/>
    <w:rsid w:val="00802CDC"/>
    <w:rsid w:val="00802F89"/>
    <w:rsid w:val="00803149"/>
    <w:rsid w:val="00803649"/>
    <w:rsid w:val="00803B8C"/>
    <w:rsid w:val="00803D18"/>
    <w:rsid w:val="00803D4B"/>
    <w:rsid w:val="00804000"/>
    <w:rsid w:val="00804936"/>
    <w:rsid w:val="00805159"/>
    <w:rsid w:val="00805908"/>
    <w:rsid w:val="00805A03"/>
    <w:rsid w:val="00806880"/>
    <w:rsid w:val="00806E94"/>
    <w:rsid w:val="00807A70"/>
    <w:rsid w:val="00807B2B"/>
    <w:rsid w:val="00807B86"/>
    <w:rsid w:val="00807BA7"/>
    <w:rsid w:val="00807BB2"/>
    <w:rsid w:val="00810A3F"/>
    <w:rsid w:val="00811495"/>
    <w:rsid w:val="0081257A"/>
    <w:rsid w:val="00812692"/>
    <w:rsid w:val="00812909"/>
    <w:rsid w:val="008135AD"/>
    <w:rsid w:val="00813BE4"/>
    <w:rsid w:val="00813E1B"/>
    <w:rsid w:val="00814613"/>
    <w:rsid w:val="008161B9"/>
    <w:rsid w:val="008166EA"/>
    <w:rsid w:val="008167A6"/>
    <w:rsid w:val="0081741B"/>
    <w:rsid w:val="0082018A"/>
    <w:rsid w:val="0082031B"/>
    <w:rsid w:val="00820B48"/>
    <w:rsid w:val="00820DCA"/>
    <w:rsid w:val="00820E5E"/>
    <w:rsid w:val="00820F89"/>
    <w:rsid w:val="00821062"/>
    <w:rsid w:val="0082176C"/>
    <w:rsid w:val="00821DB8"/>
    <w:rsid w:val="0082308E"/>
    <w:rsid w:val="00824B27"/>
    <w:rsid w:val="00824F70"/>
    <w:rsid w:val="008252C7"/>
    <w:rsid w:val="008254B9"/>
    <w:rsid w:val="00825D57"/>
    <w:rsid w:val="00826D33"/>
    <w:rsid w:val="0082700C"/>
    <w:rsid w:val="00827124"/>
    <w:rsid w:val="008276C0"/>
    <w:rsid w:val="00827BA7"/>
    <w:rsid w:val="00827F5D"/>
    <w:rsid w:val="00830745"/>
    <w:rsid w:val="00830BD9"/>
    <w:rsid w:val="00830F01"/>
    <w:rsid w:val="00831032"/>
    <w:rsid w:val="0083112A"/>
    <w:rsid w:val="00831623"/>
    <w:rsid w:val="00831936"/>
    <w:rsid w:val="00831A99"/>
    <w:rsid w:val="00831B21"/>
    <w:rsid w:val="00831BC4"/>
    <w:rsid w:val="00831D6B"/>
    <w:rsid w:val="0083206A"/>
    <w:rsid w:val="00832307"/>
    <w:rsid w:val="00832908"/>
    <w:rsid w:val="00832FF8"/>
    <w:rsid w:val="008333E9"/>
    <w:rsid w:val="00833402"/>
    <w:rsid w:val="00833B2F"/>
    <w:rsid w:val="00833FD2"/>
    <w:rsid w:val="00833FDC"/>
    <w:rsid w:val="0083423F"/>
    <w:rsid w:val="00834685"/>
    <w:rsid w:val="00834DCD"/>
    <w:rsid w:val="008351CA"/>
    <w:rsid w:val="008375AA"/>
    <w:rsid w:val="008377BA"/>
    <w:rsid w:val="0083784E"/>
    <w:rsid w:val="00837BBF"/>
    <w:rsid w:val="008404DE"/>
    <w:rsid w:val="00840609"/>
    <w:rsid w:val="00840784"/>
    <w:rsid w:val="00840E15"/>
    <w:rsid w:val="00840EB1"/>
    <w:rsid w:val="00840F11"/>
    <w:rsid w:val="00841C43"/>
    <w:rsid w:val="0084234F"/>
    <w:rsid w:val="00842650"/>
    <w:rsid w:val="00842C00"/>
    <w:rsid w:val="00842EE8"/>
    <w:rsid w:val="0084539A"/>
    <w:rsid w:val="00845A72"/>
    <w:rsid w:val="00845FA8"/>
    <w:rsid w:val="008460EB"/>
    <w:rsid w:val="0084685B"/>
    <w:rsid w:val="00847026"/>
    <w:rsid w:val="00847680"/>
    <w:rsid w:val="00847928"/>
    <w:rsid w:val="00851422"/>
    <w:rsid w:val="00851BFA"/>
    <w:rsid w:val="008520E0"/>
    <w:rsid w:val="008524FD"/>
    <w:rsid w:val="00852907"/>
    <w:rsid w:val="0085361F"/>
    <w:rsid w:val="008538FD"/>
    <w:rsid w:val="008542A4"/>
    <w:rsid w:val="008545C1"/>
    <w:rsid w:val="00854C06"/>
    <w:rsid w:val="00855D83"/>
    <w:rsid w:val="0085620A"/>
    <w:rsid w:val="00856391"/>
    <w:rsid w:val="0085681D"/>
    <w:rsid w:val="00857011"/>
    <w:rsid w:val="008608A9"/>
    <w:rsid w:val="00861365"/>
    <w:rsid w:val="00861879"/>
    <w:rsid w:val="0086192B"/>
    <w:rsid w:val="008627CA"/>
    <w:rsid w:val="00862D32"/>
    <w:rsid w:val="00863191"/>
    <w:rsid w:val="008632C3"/>
    <w:rsid w:val="00863697"/>
    <w:rsid w:val="00864074"/>
    <w:rsid w:val="00864978"/>
    <w:rsid w:val="00864BB2"/>
    <w:rsid w:val="00864F4D"/>
    <w:rsid w:val="00865DB3"/>
    <w:rsid w:val="008660D4"/>
    <w:rsid w:val="0086687B"/>
    <w:rsid w:val="00866C1C"/>
    <w:rsid w:val="00866E49"/>
    <w:rsid w:val="00866FCA"/>
    <w:rsid w:val="00866FF6"/>
    <w:rsid w:val="0087071B"/>
    <w:rsid w:val="00871FC7"/>
    <w:rsid w:val="00873040"/>
    <w:rsid w:val="00873220"/>
    <w:rsid w:val="00873223"/>
    <w:rsid w:val="008733DC"/>
    <w:rsid w:val="00874DA8"/>
    <w:rsid w:val="008753D4"/>
    <w:rsid w:val="008754D1"/>
    <w:rsid w:val="00875676"/>
    <w:rsid w:val="008759D8"/>
    <w:rsid w:val="0087632C"/>
    <w:rsid w:val="0087650C"/>
    <w:rsid w:val="00876543"/>
    <w:rsid w:val="00876D26"/>
    <w:rsid w:val="00877660"/>
    <w:rsid w:val="00877716"/>
    <w:rsid w:val="00877F1A"/>
    <w:rsid w:val="008806B5"/>
    <w:rsid w:val="00880A10"/>
    <w:rsid w:val="00881224"/>
    <w:rsid w:val="0088215A"/>
    <w:rsid w:val="008829C9"/>
    <w:rsid w:val="00883341"/>
    <w:rsid w:val="00883492"/>
    <w:rsid w:val="00883946"/>
    <w:rsid w:val="008846A0"/>
    <w:rsid w:val="00885BDB"/>
    <w:rsid w:val="00885F1B"/>
    <w:rsid w:val="008860AE"/>
    <w:rsid w:val="0088711D"/>
    <w:rsid w:val="0088726E"/>
    <w:rsid w:val="008874DB"/>
    <w:rsid w:val="0088764D"/>
    <w:rsid w:val="00887D10"/>
    <w:rsid w:val="00887D66"/>
    <w:rsid w:val="008902D4"/>
    <w:rsid w:val="00890A7C"/>
    <w:rsid w:val="008914D9"/>
    <w:rsid w:val="0089156F"/>
    <w:rsid w:val="008916C0"/>
    <w:rsid w:val="00891F50"/>
    <w:rsid w:val="00892480"/>
    <w:rsid w:val="0089319C"/>
    <w:rsid w:val="0089378C"/>
    <w:rsid w:val="0089415E"/>
    <w:rsid w:val="00896436"/>
    <w:rsid w:val="00896EEE"/>
    <w:rsid w:val="008A018E"/>
    <w:rsid w:val="008A0D80"/>
    <w:rsid w:val="008A0E5F"/>
    <w:rsid w:val="008A156B"/>
    <w:rsid w:val="008A1BA5"/>
    <w:rsid w:val="008A2C2D"/>
    <w:rsid w:val="008A2EE9"/>
    <w:rsid w:val="008A2F48"/>
    <w:rsid w:val="008A5BDC"/>
    <w:rsid w:val="008A5D1C"/>
    <w:rsid w:val="008A5E5B"/>
    <w:rsid w:val="008A5EA4"/>
    <w:rsid w:val="008A60C3"/>
    <w:rsid w:val="008A61C2"/>
    <w:rsid w:val="008A69F3"/>
    <w:rsid w:val="008A7FE8"/>
    <w:rsid w:val="008B01A8"/>
    <w:rsid w:val="008B0CA3"/>
    <w:rsid w:val="008B0EC7"/>
    <w:rsid w:val="008B0F7C"/>
    <w:rsid w:val="008B1583"/>
    <w:rsid w:val="008B3514"/>
    <w:rsid w:val="008B38B3"/>
    <w:rsid w:val="008B3B67"/>
    <w:rsid w:val="008B3E88"/>
    <w:rsid w:val="008B45A3"/>
    <w:rsid w:val="008B45F6"/>
    <w:rsid w:val="008B59EC"/>
    <w:rsid w:val="008B6082"/>
    <w:rsid w:val="008B60D7"/>
    <w:rsid w:val="008B61B4"/>
    <w:rsid w:val="008B6453"/>
    <w:rsid w:val="008B64DE"/>
    <w:rsid w:val="008B66E7"/>
    <w:rsid w:val="008B6E47"/>
    <w:rsid w:val="008B7791"/>
    <w:rsid w:val="008C043F"/>
    <w:rsid w:val="008C1C2B"/>
    <w:rsid w:val="008C21B2"/>
    <w:rsid w:val="008C25A8"/>
    <w:rsid w:val="008C2615"/>
    <w:rsid w:val="008C274E"/>
    <w:rsid w:val="008C2829"/>
    <w:rsid w:val="008C45F2"/>
    <w:rsid w:val="008C487A"/>
    <w:rsid w:val="008C5B25"/>
    <w:rsid w:val="008C636E"/>
    <w:rsid w:val="008C7300"/>
    <w:rsid w:val="008C7B05"/>
    <w:rsid w:val="008C7EE5"/>
    <w:rsid w:val="008D0AB4"/>
    <w:rsid w:val="008D0FF4"/>
    <w:rsid w:val="008D107F"/>
    <w:rsid w:val="008D15EC"/>
    <w:rsid w:val="008D1600"/>
    <w:rsid w:val="008D2037"/>
    <w:rsid w:val="008D24DD"/>
    <w:rsid w:val="008D24FB"/>
    <w:rsid w:val="008D2568"/>
    <w:rsid w:val="008D2FD6"/>
    <w:rsid w:val="008D30AA"/>
    <w:rsid w:val="008D35D6"/>
    <w:rsid w:val="008D3911"/>
    <w:rsid w:val="008D3EDD"/>
    <w:rsid w:val="008D46C6"/>
    <w:rsid w:val="008D4D43"/>
    <w:rsid w:val="008D5204"/>
    <w:rsid w:val="008D54E7"/>
    <w:rsid w:val="008D56FA"/>
    <w:rsid w:val="008D5FC6"/>
    <w:rsid w:val="008D6315"/>
    <w:rsid w:val="008D634E"/>
    <w:rsid w:val="008D65D6"/>
    <w:rsid w:val="008D6811"/>
    <w:rsid w:val="008D6BE9"/>
    <w:rsid w:val="008D6CD1"/>
    <w:rsid w:val="008D7026"/>
    <w:rsid w:val="008D706B"/>
    <w:rsid w:val="008D7FB5"/>
    <w:rsid w:val="008E01A0"/>
    <w:rsid w:val="008E06D0"/>
    <w:rsid w:val="008E0774"/>
    <w:rsid w:val="008E085F"/>
    <w:rsid w:val="008E0A95"/>
    <w:rsid w:val="008E0D8D"/>
    <w:rsid w:val="008E14A2"/>
    <w:rsid w:val="008E1581"/>
    <w:rsid w:val="008E1631"/>
    <w:rsid w:val="008E221A"/>
    <w:rsid w:val="008E3958"/>
    <w:rsid w:val="008E4CEC"/>
    <w:rsid w:val="008E5060"/>
    <w:rsid w:val="008E5AD2"/>
    <w:rsid w:val="008E651E"/>
    <w:rsid w:val="008E6649"/>
    <w:rsid w:val="008E6B91"/>
    <w:rsid w:val="008E6D76"/>
    <w:rsid w:val="008E7005"/>
    <w:rsid w:val="008E7568"/>
    <w:rsid w:val="008E7AB5"/>
    <w:rsid w:val="008F00D9"/>
    <w:rsid w:val="008F0C7F"/>
    <w:rsid w:val="008F0F21"/>
    <w:rsid w:val="008F101B"/>
    <w:rsid w:val="008F1061"/>
    <w:rsid w:val="008F1151"/>
    <w:rsid w:val="008F1BB3"/>
    <w:rsid w:val="008F1CC1"/>
    <w:rsid w:val="008F27BF"/>
    <w:rsid w:val="008F29E4"/>
    <w:rsid w:val="008F3616"/>
    <w:rsid w:val="008F38EE"/>
    <w:rsid w:val="008F3CA1"/>
    <w:rsid w:val="008F447F"/>
    <w:rsid w:val="008F44C7"/>
    <w:rsid w:val="008F4D11"/>
    <w:rsid w:val="008F4DC9"/>
    <w:rsid w:val="008F4DEF"/>
    <w:rsid w:val="008F592E"/>
    <w:rsid w:val="008F5BD0"/>
    <w:rsid w:val="008F5DCC"/>
    <w:rsid w:val="008F7577"/>
    <w:rsid w:val="008F78A2"/>
    <w:rsid w:val="008F7E7B"/>
    <w:rsid w:val="008F7FE2"/>
    <w:rsid w:val="009005A8"/>
    <w:rsid w:val="009017A0"/>
    <w:rsid w:val="00901888"/>
    <w:rsid w:val="00901E74"/>
    <w:rsid w:val="009021C1"/>
    <w:rsid w:val="009022E4"/>
    <w:rsid w:val="00902794"/>
    <w:rsid w:val="009032DD"/>
    <w:rsid w:val="009045C1"/>
    <w:rsid w:val="009047D2"/>
    <w:rsid w:val="0090491C"/>
    <w:rsid w:val="00904AF3"/>
    <w:rsid w:val="00905A4B"/>
    <w:rsid w:val="00906B3C"/>
    <w:rsid w:val="00906B4D"/>
    <w:rsid w:val="00907826"/>
    <w:rsid w:val="00907B14"/>
    <w:rsid w:val="00907EA1"/>
    <w:rsid w:val="009101E8"/>
    <w:rsid w:val="00910386"/>
    <w:rsid w:val="00911794"/>
    <w:rsid w:val="00911D0F"/>
    <w:rsid w:val="00911D24"/>
    <w:rsid w:val="00911F37"/>
    <w:rsid w:val="00912137"/>
    <w:rsid w:val="00912807"/>
    <w:rsid w:val="00912A69"/>
    <w:rsid w:val="00912FB9"/>
    <w:rsid w:val="009137F1"/>
    <w:rsid w:val="00913BFD"/>
    <w:rsid w:val="00913D90"/>
    <w:rsid w:val="009141D9"/>
    <w:rsid w:val="00914469"/>
    <w:rsid w:val="009149EB"/>
    <w:rsid w:val="00914F87"/>
    <w:rsid w:val="0091524F"/>
    <w:rsid w:val="0091549B"/>
    <w:rsid w:val="009158C1"/>
    <w:rsid w:val="00915A11"/>
    <w:rsid w:val="00915C5B"/>
    <w:rsid w:val="00915FE6"/>
    <w:rsid w:val="00916045"/>
    <w:rsid w:val="009161D3"/>
    <w:rsid w:val="00916505"/>
    <w:rsid w:val="00916D75"/>
    <w:rsid w:val="00917062"/>
    <w:rsid w:val="00917163"/>
    <w:rsid w:val="00917B4A"/>
    <w:rsid w:val="00917D7B"/>
    <w:rsid w:val="00917E85"/>
    <w:rsid w:val="00917EAD"/>
    <w:rsid w:val="00917EBB"/>
    <w:rsid w:val="00920121"/>
    <w:rsid w:val="009205CD"/>
    <w:rsid w:val="0092083A"/>
    <w:rsid w:val="00920F72"/>
    <w:rsid w:val="0092145B"/>
    <w:rsid w:val="00921A11"/>
    <w:rsid w:val="00921C8D"/>
    <w:rsid w:val="00921F05"/>
    <w:rsid w:val="009221E2"/>
    <w:rsid w:val="0092271B"/>
    <w:rsid w:val="0092273A"/>
    <w:rsid w:val="0092293C"/>
    <w:rsid w:val="00922C5F"/>
    <w:rsid w:val="0092368E"/>
    <w:rsid w:val="00923B8F"/>
    <w:rsid w:val="00923CF6"/>
    <w:rsid w:val="00924839"/>
    <w:rsid w:val="00924EB8"/>
    <w:rsid w:val="00925731"/>
    <w:rsid w:val="009259BF"/>
    <w:rsid w:val="00925EE8"/>
    <w:rsid w:val="00926096"/>
    <w:rsid w:val="009267D3"/>
    <w:rsid w:val="00926B44"/>
    <w:rsid w:val="0092710D"/>
    <w:rsid w:val="009271EF"/>
    <w:rsid w:val="00927210"/>
    <w:rsid w:val="009305A7"/>
    <w:rsid w:val="009314FF"/>
    <w:rsid w:val="00931622"/>
    <w:rsid w:val="00932615"/>
    <w:rsid w:val="009336B2"/>
    <w:rsid w:val="009340A5"/>
    <w:rsid w:val="0093476F"/>
    <w:rsid w:val="009347DE"/>
    <w:rsid w:val="00934BB9"/>
    <w:rsid w:val="009362BA"/>
    <w:rsid w:val="009366D8"/>
    <w:rsid w:val="00937FB0"/>
    <w:rsid w:val="009405ED"/>
    <w:rsid w:val="00940A03"/>
    <w:rsid w:val="00940DEF"/>
    <w:rsid w:val="00941051"/>
    <w:rsid w:val="009419DF"/>
    <w:rsid w:val="00941B36"/>
    <w:rsid w:val="00942024"/>
    <w:rsid w:val="00942C6A"/>
    <w:rsid w:val="00942FE1"/>
    <w:rsid w:val="009439D7"/>
    <w:rsid w:val="00943EC6"/>
    <w:rsid w:val="00944053"/>
    <w:rsid w:val="00944499"/>
    <w:rsid w:val="00944B02"/>
    <w:rsid w:val="00944C24"/>
    <w:rsid w:val="00944D95"/>
    <w:rsid w:val="00945334"/>
    <w:rsid w:val="00945AD6"/>
    <w:rsid w:val="00945B24"/>
    <w:rsid w:val="00945C36"/>
    <w:rsid w:val="00945D8B"/>
    <w:rsid w:val="009467AE"/>
    <w:rsid w:val="00947C8A"/>
    <w:rsid w:val="009506CE"/>
    <w:rsid w:val="00950C43"/>
    <w:rsid w:val="00950E03"/>
    <w:rsid w:val="009515FA"/>
    <w:rsid w:val="00951838"/>
    <w:rsid w:val="0095281F"/>
    <w:rsid w:val="00952B69"/>
    <w:rsid w:val="0095392C"/>
    <w:rsid w:val="009549F9"/>
    <w:rsid w:val="0095524B"/>
    <w:rsid w:val="00956259"/>
    <w:rsid w:val="009564C4"/>
    <w:rsid w:val="00956EB6"/>
    <w:rsid w:val="00957522"/>
    <w:rsid w:val="00957AEC"/>
    <w:rsid w:val="00960238"/>
    <w:rsid w:val="00961047"/>
    <w:rsid w:val="00961A0C"/>
    <w:rsid w:val="00961AF8"/>
    <w:rsid w:val="00961EC7"/>
    <w:rsid w:val="00962165"/>
    <w:rsid w:val="009626A2"/>
    <w:rsid w:val="00962A06"/>
    <w:rsid w:val="00962B29"/>
    <w:rsid w:val="00963D17"/>
    <w:rsid w:val="009641EF"/>
    <w:rsid w:val="00964408"/>
    <w:rsid w:val="0096484B"/>
    <w:rsid w:val="00965A2A"/>
    <w:rsid w:val="00965ECF"/>
    <w:rsid w:val="0096709B"/>
    <w:rsid w:val="00970189"/>
    <w:rsid w:val="009704E7"/>
    <w:rsid w:val="00970753"/>
    <w:rsid w:val="00970917"/>
    <w:rsid w:val="00971B3F"/>
    <w:rsid w:val="00971ED0"/>
    <w:rsid w:val="009724B6"/>
    <w:rsid w:val="00972ABA"/>
    <w:rsid w:val="00972D00"/>
    <w:rsid w:val="009730F5"/>
    <w:rsid w:val="0097346B"/>
    <w:rsid w:val="00973B16"/>
    <w:rsid w:val="00973C16"/>
    <w:rsid w:val="00974422"/>
    <w:rsid w:val="00974A94"/>
    <w:rsid w:val="00975B2F"/>
    <w:rsid w:val="0097625B"/>
    <w:rsid w:val="00976868"/>
    <w:rsid w:val="00976C3D"/>
    <w:rsid w:val="00977408"/>
    <w:rsid w:val="009778CA"/>
    <w:rsid w:val="009778EA"/>
    <w:rsid w:val="009800E0"/>
    <w:rsid w:val="009809DF"/>
    <w:rsid w:val="00980A25"/>
    <w:rsid w:val="00980AC8"/>
    <w:rsid w:val="00980EF6"/>
    <w:rsid w:val="00981C9B"/>
    <w:rsid w:val="00982BCD"/>
    <w:rsid w:val="0098356A"/>
    <w:rsid w:val="00983858"/>
    <w:rsid w:val="00983AFE"/>
    <w:rsid w:val="009873D1"/>
    <w:rsid w:val="00987413"/>
    <w:rsid w:val="009874D4"/>
    <w:rsid w:val="0099037F"/>
    <w:rsid w:val="009904E3"/>
    <w:rsid w:val="009909F3"/>
    <w:rsid w:val="00990C77"/>
    <w:rsid w:val="009924BA"/>
    <w:rsid w:val="00992674"/>
    <w:rsid w:val="00992BD2"/>
    <w:rsid w:val="00994037"/>
    <w:rsid w:val="009943C7"/>
    <w:rsid w:val="009943FF"/>
    <w:rsid w:val="0099470F"/>
    <w:rsid w:val="009948FB"/>
    <w:rsid w:val="009956AB"/>
    <w:rsid w:val="00995AEA"/>
    <w:rsid w:val="00995E1E"/>
    <w:rsid w:val="00996168"/>
    <w:rsid w:val="0099628D"/>
    <w:rsid w:val="009967F9"/>
    <w:rsid w:val="00996B50"/>
    <w:rsid w:val="00996C3D"/>
    <w:rsid w:val="009A0076"/>
    <w:rsid w:val="009A10D8"/>
    <w:rsid w:val="009A1349"/>
    <w:rsid w:val="009A1AB2"/>
    <w:rsid w:val="009A1C95"/>
    <w:rsid w:val="009A2051"/>
    <w:rsid w:val="009A2343"/>
    <w:rsid w:val="009A237A"/>
    <w:rsid w:val="009A2A43"/>
    <w:rsid w:val="009A3BC6"/>
    <w:rsid w:val="009A46E7"/>
    <w:rsid w:val="009A49B8"/>
    <w:rsid w:val="009A578D"/>
    <w:rsid w:val="009A5AA8"/>
    <w:rsid w:val="009A5F28"/>
    <w:rsid w:val="009A5F9F"/>
    <w:rsid w:val="009A6300"/>
    <w:rsid w:val="009A6A16"/>
    <w:rsid w:val="009A7300"/>
    <w:rsid w:val="009A7315"/>
    <w:rsid w:val="009B024D"/>
    <w:rsid w:val="009B0896"/>
    <w:rsid w:val="009B0B0F"/>
    <w:rsid w:val="009B1DA4"/>
    <w:rsid w:val="009B2A30"/>
    <w:rsid w:val="009B39B3"/>
    <w:rsid w:val="009B3AEC"/>
    <w:rsid w:val="009B3CE5"/>
    <w:rsid w:val="009B4203"/>
    <w:rsid w:val="009B462D"/>
    <w:rsid w:val="009B47B7"/>
    <w:rsid w:val="009B4A3E"/>
    <w:rsid w:val="009B5B17"/>
    <w:rsid w:val="009B6B42"/>
    <w:rsid w:val="009B6F67"/>
    <w:rsid w:val="009B70E8"/>
    <w:rsid w:val="009B727F"/>
    <w:rsid w:val="009B742D"/>
    <w:rsid w:val="009B756B"/>
    <w:rsid w:val="009B7EB7"/>
    <w:rsid w:val="009C05A3"/>
    <w:rsid w:val="009C0A59"/>
    <w:rsid w:val="009C1023"/>
    <w:rsid w:val="009C18F8"/>
    <w:rsid w:val="009C2AAA"/>
    <w:rsid w:val="009C2D26"/>
    <w:rsid w:val="009C38FF"/>
    <w:rsid w:val="009C3A14"/>
    <w:rsid w:val="009C47F6"/>
    <w:rsid w:val="009C48C7"/>
    <w:rsid w:val="009C4910"/>
    <w:rsid w:val="009C4B40"/>
    <w:rsid w:val="009C54AA"/>
    <w:rsid w:val="009C6055"/>
    <w:rsid w:val="009C60EF"/>
    <w:rsid w:val="009C634B"/>
    <w:rsid w:val="009C6D30"/>
    <w:rsid w:val="009C71EF"/>
    <w:rsid w:val="009D18AD"/>
    <w:rsid w:val="009D273C"/>
    <w:rsid w:val="009D3831"/>
    <w:rsid w:val="009D408F"/>
    <w:rsid w:val="009D4472"/>
    <w:rsid w:val="009D4C51"/>
    <w:rsid w:val="009D58FB"/>
    <w:rsid w:val="009D5EBE"/>
    <w:rsid w:val="009D623C"/>
    <w:rsid w:val="009D6350"/>
    <w:rsid w:val="009D6833"/>
    <w:rsid w:val="009D69A3"/>
    <w:rsid w:val="009D759B"/>
    <w:rsid w:val="009E007F"/>
    <w:rsid w:val="009E0BBF"/>
    <w:rsid w:val="009E0EE6"/>
    <w:rsid w:val="009E1173"/>
    <w:rsid w:val="009E1235"/>
    <w:rsid w:val="009E1D9A"/>
    <w:rsid w:val="009E2B34"/>
    <w:rsid w:val="009E31A1"/>
    <w:rsid w:val="009E31FD"/>
    <w:rsid w:val="009E3306"/>
    <w:rsid w:val="009E3690"/>
    <w:rsid w:val="009E60D8"/>
    <w:rsid w:val="009E6B45"/>
    <w:rsid w:val="009E6E35"/>
    <w:rsid w:val="009E7459"/>
    <w:rsid w:val="009E7CFD"/>
    <w:rsid w:val="009F0A83"/>
    <w:rsid w:val="009F0BEB"/>
    <w:rsid w:val="009F0C48"/>
    <w:rsid w:val="009F0FBB"/>
    <w:rsid w:val="009F1827"/>
    <w:rsid w:val="009F2500"/>
    <w:rsid w:val="009F2D49"/>
    <w:rsid w:val="009F2E5B"/>
    <w:rsid w:val="009F3867"/>
    <w:rsid w:val="009F433E"/>
    <w:rsid w:val="009F524A"/>
    <w:rsid w:val="009F55CB"/>
    <w:rsid w:val="009F56D1"/>
    <w:rsid w:val="009F5B1B"/>
    <w:rsid w:val="009F5EBC"/>
    <w:rsid w:val="009F66AE"/>
    <w:rsid w:val="009F72A5"/>
    <w:rsid w:val="009F7808"/>
    <w:rsid w:val="009F7B3E"/>
    <w:rsid w:val="00A00B00"/>
    <w:rsid w:val="00A00E99"/>
    <w:rsid w:val="00A01318"/>
    <w:rsid w:val="00A01B1D"/>
    <w:rsid w:val="00A01BCB"/>
    <w:rsid w:val="00A022CA"/>
    <w:rsid w:val="00A027E6"/>
    <w:rsid w:val="00A02809"/>
    <w:rsid w:val="00A02E11"/>
    <w:rsid w:val="00A03A79"/>
    <w:rsid w:val="00A04EF4"/>
    <w:rsid w:val="00A053C2"/>
    <w:rsid w:val="00A07BFF"/>
    <w:rsid w:val="00A07D3B"/>
    <w:rsid w:val="00A07D8C"/>
    <w:rsid w:val="00A1018C"/>
    <w:rsid w:val="00A1020B"/>
    <w:rsid w:val="00A10EF0"/>
    <w:rsid w:val="00A11855"/>
    <w:rsid w:val="00A12067"/>
    <w:rsid w:val="00A12362"/>
    <w:rsid w:val="00A12766"/>
    <w:rsid w:val="00A13B40"/>
    <w:rsid w:val="00A13DC9"/>
    <w:rsid w:val="00A13E73"/>
    <w:rsid w:val="00A14376"/>
    <w:rsid w:val="00A14989"/>
    <w:rsid w:val="00A152E1"/>
    <w:rsid w:val="00A15AC8"/>
    <w:rsid w:val="00A15C9F"/>
    <w:rsid w:val="00A164EF"/>
    <w:rsid w:val="00A16B25"/>
    <w:rsid w:val="00A17996"/>
    <w:rsid w:val="00A17E8B"/>
    <w:rsid w:val="00A20508"/>
    <w:rsid w:val="00A207A3"/>
    <w:rsid w:val="00A20970"/>
    <w:rsid w:val="00A20D83"/>
    <w:rsid w:val="00A21535"/>
    <w:rsid w:val="00A22766"/>
    <w:rsid w:val="00A2291C"/>
    <w:rsid w:val="00A22D99"/>
    <w:rsid w:val="00A23047"/>
    <w:rsid w:val="00A236C2"/>
    <w:rsid w:val="00A23821"/>
    <w:rsid w:val="00A23B4F"/>
    <w:rsid w:val="00A23DA7"/>
    <w:rsid w:val="00A24A75"/>
    <w:rsid w:val="00A24BE5"/>
    <w:rsid w:val="00A24E6D"/>
    <w:rsid w:val="00A25014"/>
    <w:rsid w:val="00A25BFA"/>
    <w:rsid w:val="00A2606D"/>
    <w:rsid w:val="00A26C47"/>
    <w:rsid w:val="00A27394"/>
    <w:rsid w:val="00A2783A"/>
    <w:rsid w:val="00A308E6"/>
    <w:rsid w:val="00A30BFE"/>
    <w:rsid w:val="00A30C40"/>
    <w:rsid w:val="00A30D52"/>
    <w:rsid w:val="00A31041"/>
    <w:rsid w:val="00A31415"/>
    <w:rsid w:val="00A3141F"/>
    <w:rsid w:val="00A32DE6"/>
    <w:rsid w:val="00A32E26"/>
    <w:rsid w:val="00A3328C"/>
    <w:rsid w:val="00A337F6"/>
    <w:rsid w:val="00A34B6B"/>
    <w:rsid w:val="00A3595E"/>
    <w:rsid w:val="00A35C32"/>
    <w:rsid w:val="00A3667B"/>
    <w:rsid w:val="00A37269"/>
    <w:rsid w:val="00A37B61"/>
    <w:rsid w:val="00A37C49"/>
    <w:rsid w:val="00A408D0"/>
    <w:rsid w:val="00A40AF7"/>
    <w:rsid w:val="00A42072"/>
    <w:rsid w:val="00A42A59"/>
    <w:rsid w:val="00A42BCA"/>
    <w:rsid w:val="00A433EB"/>
    <w:rsid w:val="00A4397F"/>
    <w:rsid w:val="00A43AE7"/>
    <w:rsid w:val="00A43BCB"/>
    <w:rsid w:val="00A44A9B"/>
    <w:rsid w:val="00A44BB1"/>
    <w:rsid w:val="00A45532"/>
    <w:rsid w:val="00A45FEC"/>
    <w:rsid w:val="00A46580"/>
    <w:rsid w:val="00A46933"/>
    <w:rsid w:val="00A46D3F"/>
    <w:rsid w:val="00A4710A"/>
    <w:rsid w:val="00A509B6"/>
    <w:rsid w:val="00A50D31"/>
    <w:rsid w:val="00A51180"/>
    <w:rsid w:val="00A51974"/>
    <w:rsid w:val="00A519FC"/>
    <w:rsid w:val="00A51C89"/>
    <w:rsid w:val="00A51F5F"/>
    <w:rsid w:val="00A522D3"/>
    <w:rsid w:val="00A52772"/>
    <w:rsid w:val="00A52889"/>
    <w:rsid w:val="00A53B18"/>
    <w:rsid w:val="00A53B78"/>
    <w:rsid w:val="00A53C00"/>
    <w:rsid w:val="00A53D83"/>
    <w:rsid w:val="00A5414F"/>
    <w:rsid w:val="00A54B65"/>
    <w:rsid w:val="00A5655C"/>
    <w:rsid w:val="00A56EE3"/>
    <w:rsid w:val="00A572C2"/>
    <w:rsid w:val="00A57692"/>
    <w:rsid w:val="00A5782C"/>
    <w:rsid w:val="00A57870"/>
    <w:rsid w:val="00A5795B"/>
    <w:rsid w:val="00A60444"/>
    <w:rsid w:val="00A60B29"/>
    <w:rsid w:val="00A613DA"/>
    <w:rsid w:val="00A6188E"/>
    <w:rsid w:val="00A619A4"/>
    <w:rsid w:val="00A619CB"/>
    <w:rsid w:val="00A624D0"/>
    <w:rsid w:val="00A62A0F"/>
    <w:rsid w:val="00A6378B"/>
    <w:rsid w:val="00A64C12"/>
    <w:rsid w:val="00A65464"/>
    <w:rsid w:val="00A656A3"/>
    <w:rsid w:val="00A66286"/>
    <w:rsid w:val="00A66DF9"/>
    <w:rsid w:val="00A66E19"/>
    <w:rsid w:val="00A678BB"/>
    <w:rsid w:val="00A67967"/>
    <w:rsid w:val="00A67E06"/>
    <w:rsid w:val="00A707AB"/>
    <w:rsid w:val="00A709CC"/>
    <w:rsid w:val="00A70A3F"/>
    <w:rsid w:val="00A70C42"/>
    <w:rsid w:val="00A70FA6"/>
    <w:rsid w:val="00A710C3"/>
    <w:rsid w:val="00A71157"/>
    <w:rsid w:val="00A71ACC"/>
    <w:rsid w:val="00A72252"/>
    <w:rsid w:val="00A729CA"/>
    <w:rsid w:val="00A72FAC"/>
    <w:rsid w:val="00A73944"/>
    <w:rsid w:val="00A7414D"/>
    <w:rsid w:val="00A74582"/>
    <w:rsid w:val="00A74DEA"/>
    <w:rsid w:val="00A74E00"/>
    <w:rsid w:val="00A7515E"/>
    <w:rsid w:val="00A754B3"/>
    <w:rsid w:val="00A75F74"/>
    <w:rsid w:val="00A76C78"/>
    <w:rsid w:val="00A76D0B"/>
    <w:rsid w:val="00A7708C"/>
    <w:rsid w:val="00A77DF1"/>
    <w:rsid w:val="00A80DC8"/>
    <w:rsid w:val="00A815EE"/>
    <w:rsid w:val="00A817FF"/>
    <w:rsid w:val="00A81F36"/>
    <w:rsid w:val="00A82C13"/>
    <w:rsid w:val="00A82D37"/>
    <w:rsid w:val="00A836E9"/>
    <w:rsid w:val="00A8378B"/>
    <w:rsid w:val="00A8486D"/>
    <w:rsid w:val="00A86150"/>
    <w:rsid w:val="00A86214"/>
    <w:rsid w:val="00A86779"/>
    <w:rsid w:val="00A87929"/>
    <w:rsid w:val="00A87B2E"/>
    <w:rsid w:val="00A90923"/>
    <w:rsid w:val="00A90A86"/>
    <w:rsid w:val="00A90B0B"/>
    <w:rsid w:val="00A913E3"/>
    <w:rsid w:val="00A91459"/>
    <w:rsid w:val="00A91A74"/>
    <w:rsid w:val="00A91DD1"/>
    <w:rsid w:val="00A91E45"/>
    <w:rsid w:val="00A92004"/>
    <w:rsid w:val="00A9284C"/>
    <w:rsid w:val="00A93202"/>
    <w:rsid w:val="00A93525"/>
    <w:rsid w:val="00A9420B"/>
    <w:rsid w:val="00A94B04"/>
    <w:rsid w:val="00A94D10"/>
    <w:rsid w:val="00A950FD"/>
    <w:rsid w:val="00A95C5C"/>
    <w:rsid w:val="00A95CE1"/>
    <w:rsid w:val="00A97126"/>
    <w:rsid w:val="00A97899"/>
    <w:rsid w:val="00AA0137"/>
    <w:rsid w:val="00AA01A3"/>
    <w:rsid w:val="00AA03BC"/>
    <w:rsid w:val="00AA055D"/>
    <w:rsid w:val="00AA08FC"/>
    <w:rsid w:val="00AA11B6"/>
    <w:rsid w:val="00AA1326"/>
    <w:rsid w:val="00AA150E"/>
    <w:rsid w:val="00AA1CAD"/>
    <w:rsid w:val="00AA2322"/>
    <w:rsid w:val="00AA2CF5"/>
    <w:rsid w:val="00AA2E40"/>
    <w:rsid w:val="00AA396E"/>
    <w:rsid w:val="00AA39D5"/>
    <w:rsid w:val="00AA4654"/>
    <w:rsid w:val="00AA59D0"/>
    <w:rsid w:val="00AA6517"/>
    <w:rsid w:val="00AA6630"/>
    <w:rsid w:val="00AA6D44"/>
    <w:rsid w:val="00AA6DEA"/>
    <w:rsid w:val="00AA75E7"/>
    <w:rsid w:val="00AA7ADD"/>
    <w:rsid w:val="00AA7EA2"/>
    <w:rsid w:val="00AB0B1B"/>
    <w:rsid w:val="00AB1653"/>
    <w:rsid w:val="00AB1AF1"/>
    <w:rsid w:val="00AB1BEF"/>
    <w:rsid w:val="00AB1EF8"/>
    <w:rsid w:val="00AB2844"/>
    <w:rsid w:val="00AB2CAB"/>
    <w:rsid w:val="00AB36E0"/>
    <w:rsid w:val="00AB4B04"/>
    <w:rsid w:val="00AB4E7C"/>
    <w:rsid w:val="00AB627D"/>
    <w:rsid w:val="00AB654A"/>
    <w:rsid w:val="00AB6FA4"/>
    <w:rsid w:val="00AB7124"/>
    <w:rsid w:val="00AB740D"/>
    <w:rsid w:val="00AB7D9F"/>
    <w:rsid w:val="00AB7DFF"/>
    <w:rsid w:val="00AC069E"/>
    <w:rsid w:val="00AC0A64"/>
    <w:rsid w:val="00AC0D91"/>
    <w:rsid w:val="00AC15C5"/>
    <w:rsid w:val="00AC2173"/>
    <w:rsid w:val="00AC2853"/>
    <w:rsid w:val="00AC2A6F"/>
    <w:rsid w:val="00AC2D81"/>
    <w:rsid w:val="00AC3040"/>
    <w:rsid w:val="00AC36B0"/>
    <w:rsid w:val="00AC41E8"/>
    <w:rsid w:val="00AC432C"/>
    <w:rsid w:val="00AC59FF"/>
    <w:rsid w:val="00AC5AD5"/>
    <w:rsid w:val="00AC5BFD"/>
    <w:rsid w:val="00AC675F"/>
    <w:rsid w:val="00AC6896"/>
    <w:rsid w:val="00AC6913"/>
    <w:rsid w:val="00AC6FE2"/>
    <w:rsid w:val="00AC72A5"/>
    <w:rsid w:val="00AC7512"/>
    <w:rsid w:val="00AC7AE4"/>
    <w:rsid w:val="00AD03C6"/>
    <w:rsid w:val="00AD0BF9"/>
    <w:rsid w:val="00AD18AE"/>
    <w:rsid w:val="00AD237C"/>
    <w:rsid w:val="00AD277F"/>
    <w:rsid w:val="00AD2818"/>
    <w:rsid w:val="00AD2C36"/>
    <w:rsid w:val="00AD3D81"/>
    <w:rsid w:val="00AD41CD"/>
    <w:rsid w:val="00AD47A9"/>
    <w:rsid w:val="00AD5094"/>
    <w:rsid w:val="00AD520B"/>
    <w:rsid w:val="00AD5762"/>
    <w:rsid w:val="00AD5B47"/>
    <w:rsid w:val="00AD6525"/>
    <w:rsid w:val="00AD740C"/>
    <w:rsid w:val="00AE01A0"/>
    <w:rsid w:val="00AE02D4"/>
    <w:rsid w:val="00AE091C"/>
    <w:rsid w:val="00AE199C"/>
    <w:rsid w:val="00AE1B5E"/>
    <w:rsid w:val="00AE1BD1"/>
    <w:rsid w:val="00AE1FDC"/>
    <w:rsid w:val="00AE2056"/>
    <w:rsid w:val="00AE2062"/>
    <w:rsid w:val="00AE233A"/>
    <w:rsid w:val="00AE2498"/>
    <w:rsid w:val="00AE2613"/>
    <w:rsid w:val="00AE3784"/>
    <w:rsid w:val="00AE3D0C"/>
    <w:rsid w:val="00AE44A6"/>
    <w:rsid w:val="00AE4FCD"/>
    <w:rsid w:val="00AE50FC"/>
    <w:rsid w:val="00AE5215"/>
    <w:rsid w:val="00AE58C3"/>
    <w:rsid w:val="00AE5B1C"/>
    <w:rsid w:val="00AE5D37"/>
    <w:rsid w:val="00AE5F6D"/>
    <w:rsid w:val="00AE6AB8"/>
    <w:rsid w:val="00AE74FE"/>
    <w:rsid w:val="00AF01A1"/>
    <w:rsid w:val="00AF04F8"/>
    <w:rsid w:val="00AF128F"/>
    <w:rsid w:val="00AF177B"/>
    <w:rsid w:val="00AF19B6"/>
    <w:rsid w:val="00AF1AE5"/>
    <w:rsid w:val="00AF1C99"/>
    <w:rsid w:val="00AF2283"/>
    <w:rsid w:val="00AF24EB"/>
    <w:rsid w:val="00AF3793"/>
    <w:rsid w:val="00AF4F1E"/>
    <w:rsid w:val="00AF524C"/>
    <w:rsid w:val="00AF713C"/>
    <w:rsid w:val="00AF7DEF"/>
    <w:rsid w:val="00AF7E27"/>
    <w:rsid w:val="00AF7F4A"/>
    <w:rsid w:val="00B001AF"/>
    <w:rsid w:val="00B00BDE"/>
    <w:rsid w:val="00B01666"/>
    <w:rsid w:val="00B01799"/>
    <w:rsid w:val="00B01886"/>
    <w:rsid w:val="00B01F86"/>
    <w:rsid w:val="00B02BAC"/>
    <w:rsid w:val="00B02CB4"/>
    <w:rsid w:val="00B037E8"/>
    <w:rsid w:val="00B038D9"/>
    <w:rsid w:val="00B03F39"/>
    <w:rsid w:val="00B041D4"/>
    <w:rsid w:val="00B04819"/>
    <w:rsid w:val="00B048C0"/>
    <w:rsid w:val="00B05937"/>
    <w:rsid w:val="00B06B58"/>
    <w:rsid w:val="00B07444"/>
    <w:rsid w:val="00B0755D"/>
    <w:rsid w:val="00B0768E"/>
    <w:rsid w:val="00B076AA"/>
    <w:rsid w:val="00B103F1"/>
    <w:rsid w:val="00B106C6"/>
    <w:rsid w:val="00B11484"/>
    <w:rsid w:val="00B1239B"/>
    <w:rsid w:val="00B12D61"/>
    <w:rsid w:val="00B1388B"/>
    <w:rsid w:val="00B14985"/>
    <w:rsid w:val="00B149B4"/>
    <w:rsid w:val="00B14C5D"/>
    <w:rsid w:val="00B1566B"/>
    <w:rsid w:val="00B15BFD"/>
    <w:rsid w:val="00B15EB9"/>
    <w:rsid w:val="00B16387"/>
    <w:rsid w:val="00B16408"/>
    <w:rsid w:val="00B16719"/>
    <w:rsid w:val="00B168F4"/>
    <w:rsid w:val="00B1760D"/>
    <w:rsid w:val="00B17F50"/>
    <w:rsid w:val="00B20000"/>
    <w:rsid w:val="00B20896"/>
    <w:rsid w:val="00B2172E"/>
    <w:rsid w:val="00B218DE"/>
    <w:rsid w:val="00B21962"/>
    <w:rsid w:val="00B21A47"/>
    <w:rsid w:val="00B23536"/>
    <w:rsid w:val="00B23993"/>
    <w:rsid w:val="00B23BF4"/>
    <w:rsid w:val="00B23FAC"/>
    <w:rsid w:val="00B242D2"/>
    <w:rsid w:val="00B244BC"/>
    <w:rsid w:val="00B24994"/>
    <w:rsid w:val="00B24E11"/>
    <w:rsid w:val="00B2531D"/>
    <w:rsid w:val="00B25458"/>
    <w:rsid w:val="00B256F1"/>
    <w:rsid w:val="00B25A83"/>
    <w:rsid w:val="00B25F67"/>
    <w:rsid w:val="00B27100"/>
    <w:rsid w:val="00B2762E"/>
    <w:rsid w:val="00B30838"/>
    <w:rsid w:val="00B30D60"/>
    <w:rsid w:val="00B30D6D"/>
    <w:rsid w:val="00B31375"/>
    <w:rsid w:val="00B32EC4"/>
    <w:rsid w:val="00B32ECD"/>
    <w:rsid w:val="00B337D7"/>
    <w:rsid w:val="00B33AA2"/>
    <w:rsid w:val="00B33B9B"/>
    <w:rsid w:val="00B34B99"/>
    <w:rsid w:val="00B35BCD"/>
    <w:rsid w:val="00B36597"/>
    <w:rsid w:val="00B3672C"/>
    <w:rsid w:val="00B3694C"/>
    <w:rsid w:val="00B36A12"/>
    <w:rsid w:val="00B37782"/>
    <w:rsid w:val="00B37796"/>
    <w:rsid w:val="00B37829"/>
    <w:rsid w:val="00B37A64"/>
    <w:rsid w:val="00B40DE1"/>
    <w:rsid w:val="00B41181"/>
    <w:rsid w:val="00B433A0"/>
    <w:rsid w:val="00B44713"/>
    <w:rsid w:val="00B452F2"/>
    <w:rsid w:val="00B454B6"/>
    <w:rsid w:val="00B4580F"/>
    <w:rsid w:val="00B45870"/>
    <w:rsid w:val="00B45DD1"/>
    <w:rsid w:val="00B46CD2"/>
    <w:rsid w:val="00B470C2"/>
    <w:rsid w:val="00B479AE"/>
    <w:rsid w:val="00B47B56"/>
    <w:rsid w:val="00B47CF4"/>
    <w:rsid w:val="00B50407"/>
    <w:rsid w:val="00B505FA"/>
    <w:rsid w:val="00B50E55"/>
    <w:rsid w:val="00B51C70"/>
    <w:rsid w:val="00B520C1"/>
    <w:rsid w:val="00B52671"/>
    <w:rsid w:val="00B531DC"/>
    <w:rsid w:val="00B538A7"/>
    <w:rsid w:val="00B53A13"/>
    <w:rsid w:val="00B54A5E"/>
    <w:rsid w:val="00B54CF0"/>
    <w:rsid w:val="00B555C9"/>
    <w:rsid w:val="00B5561A"/>
    <w:rsid w:val="00B557B0"/>
    <w:rsid w:val="00B559B7"/>
    <w:rsid w:val="00B562A3"/>
    <w:rsid w:val="00B56F69"/>
    <w:rsid w:val="00B56FFA"/>
    <w:rsid w:val="00B57D71"/>
    <w:rsid w:val="00B604CE"/>
    <w:rsid w:val="00B608B4"/>
    <w:rsid w:val="00B60E58"/>
    <w:rsid w:val="00B6253A"/>
    <w:rsid w:val="00B62550"/>
    <w:rsid w:val="00B62BA1"/>
    <w:rsid w:val="00B62F9A"/>
    <w:rsid w:val="00B63207"/>
    <w:rsid w:val="00B6357A"/>
    <w:rsid w:val="00B64F71"/>
    <w:rsid w:val="00B65395"/>
    <w:rsid w:val="00B65D40"/>
    <w:rsid w:val="00B65FC7"/>
    <w:rsid w:val="00B66019"/>
    <w:rsid w:val="00B6689E"/>
    <w:rsid w:val="00B66A83"/>
    <w:rsid w:val="00B679FE"/>
    <w:rsid w:val="00B7089D"/>
    <w:rsid w:val="00B70C90"/>
    <w:rsid w:val="00B70F38"/>
    <w:rsid w:val="00B712D3"/>
    <w:rsid w:val="00B71AE2"/>
    <w:rsid w:val="00B71AF5"/>
    <w:rsid w:val="00B71CF7"/>
    <w:rsid w:val="00B71EDD"/>
    <w:rsid w:val="00B71F7B"/>
    <w:rsid w:val="00B72A0C"/>
    <w:rsid w:val="00B72E35"/>
    <w:rsid w:val="00B73224"/>
    <w:rsid w:val="00B7372E"/>
    <w:rsid w:val="00B737FC"/>
    <w:rsid w:val="00B73A3A"/>
    <w:rsid w:val="00B73E8F"/>
    <w:rsid w:val="00B7476C"/>
    <w:rsid w:val="00B74FF7"/>
    <w:rsid w:val="00B75933"/>
    <w:rsid w:val="00B76846"/>
    <w:rsid w:val="00B771B4"/>
    <w:rsid w:val="00B77300"/>
    <w:rsid w:val="00B7739F"/>
    <w:rsid w:val="00B77D2D"/>
    <w:rsid w:val="00B77E4F"/>
    <w:rsid w:val="00B80B58"/>
    <w:rsid w:val="00B80F5C"/>
    <w:rsid w:val="00B81698"/>
    <w:rsid w:val="00B8302A"/>
    <w:rsid w:val="00B83694"/>
    <w:rsid w:val="00B83A8E"/>
    <w:rsid w:val="00B83B28"/>
    <w:rsid w:val="00B84105"/>
    <w:rsid w:val="00B84173"/>
    <w:rsid w:val="00B84923"/>
    <w:rsid w:val="00B857C4"/>
    <w:rsid w:val="00B85877"/>
    <w:rsid w:val="00B86CB5"/>
    <w:rsid w:val="00B873D8"/>
    <w:rsid w:val="00B8740E"/>
    <w:rsid w:val="00B8762F"/>
    <w:rsid w:val="00B87863"/>
    <w:rsid w:val="00B9000F"/>
    <w:rsid w:val="00B904CD"/>
    <w:rsid w:val="00B909A1"/>
    <w:rsid w:val="00B90B4B"/>
    <w:rsid w:val="00B90ED7"/>
    <w:rsid w:val="00B91C5A"/>
    <w:rsid w:val="00B92876"/>
    <w:rsid w:val="00B9287A"/>
    <w:rsid w:val="00B92ECE"/>
    <w:rsid w:val="00B93191"/>
    <w:rsid w:val="00B93D60"/>
    <w:rsid w:val="00B93E47"/>
    <w:rsid w:val="00B93F90"/>
    <w:rsid w:val="00B94262"/>
    <w:rsid w:val="00B94504"/>
    <w:rsid w:val="00B94C08"/>
    <w:rsid w:val="00B94DD8"/>
    <w:rsid w:val="00B94F54"/>
    <w:rsid w:val="00B94F70"/>
    <w:rsid w:val="00B9642C"/>
    <w:rsid w:val="00B9642D"/>
    <w:rsid w:val="00B9690A"/>
    <w:rsid w:val="00B9690F"/>
    <w:rsid w:val="00B96C36"/>
    <w:rsid w:val="00B9709B"/>
    <w:rsid w:val="00B974B1"/>
    <w:rsid w:val="00B97E0B"/>
    <w:rsid w:val="00BA237C"/>
    <w:rsid w:val="00BA2D8E"/>
    <w:rsid w:val="00BA3084"/>
    <w:rsid w:val="00BA36E5"/>
    <w:rsid w:val="00BA47A2"/>
    <w:rsid w:val="00BA4976"/>
    <w:rsid w:val="00BA4A3F"/>
    <w:rsid w:val="00BA5A8F"/>
    <w:rsid w:val="00BA6008"/>
    <w:rsid w:val="00BA66CB"/>
    <w:rsid w:val="00BA7603"/>
    <w:rsid w:val="00BA7795"/>
    <w:rsid w:val="00BA7C24"/>
    <w:rsid w:val="00BB0363"/>
    <w:rsid w:val="00BB0820"/>
    <w:rsid w:val="00BB16B3"/>
    <w:rsid w:val="00BB175C"/>
    <w:rsid w:val="00BB22C1"/>
    <w:rsid w:val="00BB254D"/>
    <w:rsid w:val="00BB2E44"/>
    <w:rsid w:val="00BB3431"/>
    <w:rsid w:val="00BB3BF5"/>
    <w:rsid w:val="00BB3C10"/>
    <w:rsid w:val="00BB421F"/>
    <w:rsid w:val="00BB456D"/>
    <w:rsid w:val="00BB4982"/>
    <w:rsid w:val="00BB5FA7"/>
    <w:rsid w:val="00BB6D9B"/>
    <w:rsid w:val="00BB6F65"/>
    <w:rsid w:val="00BB7DA0"/>
    <w:rsid w:val="00BB7DB9"/>
    <w:rsid w:val="00BB7EC6"/>
    <w:rsid w:val="00BC08AB"/>
    <w:rsid w:val="00BC0E7D"/>
    <w:rsid w:val="00BC1B1E"/>
    <w:rsid w:val="00BC3098"/>
    <w:rsid w:val="00BC30E6"/>
    <w:rsid w:val="00BC3932"/>
    <w:rsid w:val="00BC3C78"/>
    <w:rsid w:val="00BC47C4"/>
    <w:rsid w:val="00BC4BC5"/>
    <w:rsid w:val="00BC4E73"/>
    <w:rsid w:val="00BC4FBC"/>
    <w:rsid w:val="00BC502C"/>
    <w:rsid w:val="00BC563C"/>
    <w:rsid w:val="00BC5772"/>
    <w:rsid w:val="00BC5A69"/>
    <w:rsid w:val="00BC5BAA"/>
    <w:rsid w:val="00BC5CA2"/>
    <w:rsid w:val="00BC5D88"/>
    <w:rsid w:val="00BC5FCB"/>
    <w:rsid w:val="00BC6765"/>
    <w:rsid w:val="00BC6938"/>
    <w:rsid w:val="00BC713E"/>
    <w:rsid w:val="00BC738B"/>
    <w:rsid w:val="00BC7CB0"/>
    <w:rsid w:val="00BD0127"/>
    <w:rsid w:val="00BD1216"/>
    <w:rsid w:val="00BD1386"/>
    <w:rsid w:val="00BD1590"/>
    <w:rsid w:val="00BD16D9"/>
    <w:rsid w:val="00BD275D"/>
    <w:rsid w:val="00BD27E7"/>
    <w:rsid w:val="00BD2B6A"/>
    <w:rsid w:val="00BD2DF1"/>
    <w:rsid w:val="00BD2FDE"/>
    <w:rsid w:val="00BD3915"/>
    <w:rsid w:val="00BD39F7"/>
    <w:rsid w:val="00BD57D4"/>
    <w:rsid w:val="00BD58D7"/>
    <w:rsid w:val="00BD5CE9"/>
    <w:rsid w:val="00BD5EEC"/>
    <w:rsid w:val="00BD617D"/>
    <w:rsid w:val="00BD68EB"/>
    <w:rsid w:val="00BD6AD5"/>
    <w:rsid w:val="00BD6F28"/>
    <w:rsid w:val="00BD730D"/>
    <w:rsid w:val="00BD7350"/>
    <w:rsid w:val="00BD7A4C"/>
    <w:rsid w:val="00BE036E"/>
    <w:rsid w:val="00BE06B3"/>
    <w:rsid w:val="00BE06EA"/>
    <w:rsid w:val="00BE0E62"/>
    <w:rsid w:val="00BE1410"/>
    <w:rsid w:val="00BE15E2"/>
    <w:rsid w:val="00BE1BD0"/>
    <w:rsid w:val="00BE1BDF"/>
    <w:rsid w:val="00BE1EFF"/>
    <w:rsid w:val="00BE2014"/>
    <w:rsid w:val="00BE2A3D"/>
    <w:rsid w:val="00BE30BF"/>
    <w:rsid w:val="00BE3D10"/>
    <w:rsid w:val="00BE48B5"/>
    <w:rsid w:val="00BE635C"/>
    <w:rsid w:val="00BE645C"/>
    <w:rsid w:val="00BE6B65"/>
    <w:rsid w:val="00BE748A"/>
    <w:rsid w:val="00BE7EE2"/>
    <w:rsid w:val="00BF132E"/>
    <w:rsid w:val="00BF173A"/>
    <w:rsid w:val="00BF1A38"/>
    <w:rsid w:val="00BF295A"/>
    <w:rsid w:val="00BF3258"/>
    <w:rsid w:val="00BF39CA"/>
    <w:rsid w:val="00BF4522"/>
    <w:rsid w:val="00BF52E7"/>
    <w:rsid w:val="00BF55D4"/>
    <w:rsid w:val="00BF5811"/>
    <w:rsid w:val="00BF5966"/>
    <w:rsid w:val="00BF5A8C"/>
    <w:rsid w:val="00BF5AB9"/>
    <w:rsid w:val="00BF6D01"/>
    <w:rsid w:val="00BF7C6F"/>
    <w:rsid w:val="00BF7F00"/>
    <w:rsid w:val="00C0002E"/>
    <w:rsid w:val="00C005B0"/>
    <w:rsid w:val="00C006EE"/>
    <w:rsid w:val="00C007C2"/>
    <w:rsid w:val="00C01C2F"/>
    <w:rsid w:val="00C023BF"/>
    <w:rsid w:val="00C02860"/>
    <w:rsid w:val="00C030D2"/>
    <w:rsid w:val="00C03316"/>
    <w:rsid w:val="00C04127"/>
    <w:rsid w:val="00C0416C"/>
    <w:rsid w:val="00C04550"/>
    <w:rsid w:val="00C0456D"/>
    <w:rsid w:val="00C04778"/>
    <w:rsid w:val="00C04A4B"/>
    <w:rsid w:val="00C04C55"/>
    <w:rsid w:val="00C06691"/>
    <w:rsid w:val="00C06890"/>
    <w:rsid w:val="00C07423"/>
    <w:rsid w:val="00C100B8"/>
    <w:rsid w:val="00C1016C"/>
    <w:rsid w:val="00C105CE"/>
    <w:rsid w:val="00C10668"/>
    <w:rsid w:val="00C10CEB"/>
    <w:rsid w:val="00C11074"/>
    <w:rsid w:val="00C111D9"/>
    <w:rsid w:val="00C11B6F"/>
    <w:rsid w:val="00C120F0"/>
    <w:rsid w:val="00C12620"/>
    <w:rsid w:val="00C126C4"/>
    <w:rsid w:val="00C12823"/>
    <w:rsid w:val="00C12C3E"/>
    <w:rsid w:val="00C13510"/>
    <w:rsid w:val="00C15195"/>
    <w:rsid w:val="00C153DD"/>
    <w:rsid w:val="00C1630B"/>
    <w:rsid w:val="00C16926"/>
    <w:rsid w:val="00C16A9E"/>
    <w:rsid w:val="00C16FB8"/>
    <w:rsid w:val="00C172E5"/>
    <w:rsid w:val="00C174C7"/>
    <w:rsid w:val="00C177CF"/>
    <w:rsid w:val="00C17BAE"/>
    <w:rsid w:val="00C17CA6"/>
    <w:rsid w:val="00C2001C"/>
    <w:rsid w:val="00C209B8"/>
    <w:rsid w:val="00C209FA"/>
    <w:rsid w:val="00C20E0B"/>
    <w:rsid w:val="00C21188"/>
    <w:rsid w:val="00C2156D"/>
    <w:rsid w:val="00C217A0"/>
    <w:rsid w:val="00C22127"/>
    <w:rsid w:val="00C221EE"/>
    <w:rsid w:val="00C234AC"/>
    <w:rsid w:val="00C24184"/>
    <w:rsid w:val="00C24BFB"/>
    <w:rsid w:val="00C2515A"/>
    <w:rsid w:val="00C25769"/>
    <w:rsid w:val="00C2673F"/>
    <w:rsid w:val="00C27063"/>
    <w:rsid w:val="00C2739C"/>
    <w:rsid w:val="00C27506"/>
    <w:rsid w:val="00C27F5C"/>
    <w:rsid w:val="00C306EC"/>
    <w:rsid w:val="00C30FBA"/>
    <w:rsid w:val="00C31A33"/>
    <w:rsid w:val="00C33173"/>
    <w:rsid w:val="00C33462"/>
    <w:rsid w:val="00C33547"/>
    <w:rsid w:val="00C3387E"/>
    <w:rsid w:val="00C33C90"/>
    <w:rsid w:val="00C34134"/>
    <w:rsid w:val="00C34464"/>
    <w:rsid w:val="00C346E2"/>
    <w:rsid w:val="00C34FFD"/>
    <w:rsid w:val="00C35143"/>
    <w:rsid w:val="00C35BE4"/>
    <w:rsid w:val="00C35CCB"/>
    <w:rsid w:val="00C3665B"/>
    <w:rsid w:val="00C36A1B"/>
    <w:rsid w:val="00C379DF"/>
    <w:rsid w:val="00C40C41"/>
    <w:rsid w:val="00C40CD5"/>
    <w:rsid w:val="00C40E4C"/>
    <w:rsid w:val="00C41B5C"/>
    <w:rsid w:val="00C42101"/>
    <w:rsid w:val="00C428EC"/>
    <w:rsid w:val="00C42C62"/>
    <w:rsid w:val="00C432FC"/>
    <w:rsid w:val="00C43516"/>
    <w:rsid w:val="00C4405C"/>
    <w:rsid w:val="00C44AB1"/>
    <w:rsid w:val="00C44ECD"/>
    <w:rsid w:val="00C45D38"/>
    <w:rsid w:val="00C461D9"/>
    <w:rsid w:val="00C46992"/>
    <w:rsid w:val="00C472E3"/>
    <w:rsid w:val="00C47A5D"/>
    <w:rsid w:val="00C47BBB"/>
    <w:rsid w:val="00C5097D"/>
    <w:rsid w:val="00C50D25"/>
    <w:rsid w:val="00C50DAB"/>
    <w:rsid w:val="00C51D91"/>
    <w:rsid w:val="00C52766"/>
    <w:rsid w:val="00C52831"/>
    <w:rsid w:val="00C5331C"/>
    <w:rsid w:val="00C54104"/>
    <w:rsid w:val="00C5470D"/>
    <w:rsid w:val="00C54B1A"/>
    <w:rsid w:val="00C55265"/>
    <w:rsid w:val="00C555EA"/>
    <w:rsid w:val="00C5568A"/>
    <w:rsid w:val="00C55BF5"/>
    <w:rsid w:val="00C56475"/>
    <w:rsid w:val="00C57748"/>
    <w:rsid w:val="00C5775C"/>
    <w:rsid w:val="00C57CB9"/>
    <w:rsid w:val="00C57F19"/>
    <w:rsid w:val="00C57FBB"/>
    <w:rsid w:val="00C600FE"/>
    <w:rsid w:val="00C602BE"/>
    <w:rsid w:val="00C6035D"/>
    <w:rsid w:val="00C60411"/>
    <w:rsid w:val="00C61D33"/>
    <w:rsid w:val="00C62218"/>
    <w:rsid w:val="00C62D9E"/>
    <w:rsid w:val="00C64357"/>
    <w:rsid w:val="00C65622"/>
    <w:rsid w:val="00C656D3"/>
    <w:rsid w:val="00C66110"/>
    <w:rsid w:val="00C669A7"/>
    <w:rsid w:val="00C669CC"/>
    <w:rsid w:val="00C67639"/>
    <w:rsid w:val="00C70195"/>
    <w:rsid w:val="00C7084F"/>
    <w:rsid w:val="00C70AFC"/>
    <w:rsid w:val="00C70B57"/>
    <w:rsid w:val="00C70DC5"/>
    <w:rsid w:val="00C719A5"/>
    <w:rsid w:val="00C720DC"/>
    <w:rsid w:val="00C7217A"/>
    <w:rsid w:val="00C7230B"/>
    <w:rsid w:val="00C7250D"/>
    <w:rsid w:val="00C725E8"/>
    <w:rsid w:val="00C72DD8"/>
    <w:rsid w:val="00C7346F"/>
    <w:rsid w:val="00C735CF"/>
    <w:rsid w:val="00C746F0"/>
    <w:rsid w:val="00C74CF2"/>
    <w:rsid w:val="00C74E86"/>
    <w:rsid w:val="00C7664E"/>
    <w:rsid w:val="00C7674D"/>
    <w:rsid w:val="00C77021"/>
    <w:rsid w:val="00C779E9"/>
    <w:rsid w:val="00C80E09"/>
    <w:rsid w:val="00C80EA1"/>
    <w:rsid w:val="00C81230"/>
    <w:rsid w:val="00C81770"/>
    <w:rsid w:val="00C8277B"/>
    <w:rsid w:val="00C828F0"/>
    <w:rsid w:val="00C82FD2"/>
    <w:rsid w:val="00C832E8"/>
    <w:rsid w:val="00C83AF6"/>
    <w:rsid w:val="00C84A52"/>
    <w:rsid w:val="00C84D18"/>
    <w:rsid w:val="00C8591E"/>
    <w:rsid w:val="00C85CF2"/>
    <w:rsid w:val="00C86BC8"/>
    <w:rsid w:val="00C875D7"/>
    <w:rsid w:val="00C90389"/>
    <w:rsid w:val="00C907D9"/>
    <w:rsid w:val="00C90C6D"/>
    <w:rsid w:val="00C91873"/>
    <w:rsid w:val="00C91BD0"/>
    <w:rsid w:val="00C92CC5"/>
    <w:rsid w:val="00C92D93"/>
    <w:rsid w:val="00C934C6"/>
    <w:rsid w:val="00C93533"/>
    <w:rsid w:val="00C93883"/>
    <w:rsid w:val="00C93BC1"/>
    <w:rsid w:val="00C947ED"/>
    <w:rsid w:val="00C94B96"/>
    <w:rsid w:val="00C953B2"/>
    <w:rsid w:val="00C95E9D"/>
    <w:rsid w:val="00C96AE8"/>
    <w:rsid w:val="00C96BF9"/>
    <w:rsid w:val="00C971C2"/>
    <w:rsid w:val="00C973A7"/>
    <w:rsid w:val="00C97C61"/>
    <w:rsid w:val="00CA0427"/>
    <w:rsid w:val="00CA1AE8"/>
    <w:rsid w:val="00CA1B26"/>
    <w:rsid w:val="00CA223B"/>
    <w:rsid w:val="00CA2504"/>
    <w:rsid w:val="00CA28AE"/>
    <w:rsid w:val="00CA3017"/>
    <w:rsid w:val="00CA372A"/>
    <w:rsid w:val="00CA3EDF"/>
    <w:rsid w:val="00CA49F4"/>
    <w:rsid w:val="00CA52F9"/>
    <w:rsid w:val="00CA5C1C"/>
    <w:rsid w:val="00CA5E6B"/>
    <w:rsid w:val="00CA622C"/>
    <w:rsid w:val="00CA64A7"/>
    <w:rsid w:val="00CA6F92"/>
    <w:rsid w:val="00CA7177"/>
    <w:rsid w:val="00CA7BBF"/>
    <w:rsid w:val="00CB0478"/>
    <w:rsid w:val="00CB0D55"/>
    <w:rsid w:val="00CB1230"/>
    <w:rsid w:val="00CB15D3"/>
    <w:rsid w:val="00CB1893"/>
    <w:rsid w:val="00CB1971"/>
    <w:rsid w:val="00CB1EC2"/>
    <w:rsid w:val="00CB2DDE"/>
    <w:rsid w:val="00CB3514"/>
    <w:rsid w:val="00CB35B2"/>
    <w:rsid w:val="00CB4400"/>
    <w:rsid w:val="00CB449B"/>
    <w:rsid w:val="00CB4867"/>
    <w:rsid w:val="00CB5970"/>
    <w:rsid w:val="00CB5F1E"/>
    <w:rsid w:val="00CB645A"/>
    <w:rsid w:val="00CB69E9"/>
    <w:rsid w:val="00CB6EAA"/>
    <w:rsid w:val="00CB71E7"/>
    <w:rsid w:val="00CB72EB"/>
    <w:rsid w:val="00CB73D1"/>
    <w:rsid w:val="00CB7AD8"/>
    <w:rsid w:val="00CB7B69"/>
    <w:rsid w:val="00CB7DC1"/>
    <w:rsid w:val="00CC109F"/>
    <w:rsid w:val="00CC1110"/>
    <w:rsid w:val="00CC23B7"/>
    <w:rsid w:val="00CC2B04"/>
    <w:rsid w:val="00CC2F6B"/>
    <w:rsid w:val="00CC3076"/>
    <w:rsid w:val="00CC3D78"/>
    <w:rsid w:val="00CC3FCC"/>
    <w:rsid w:val="00CC4593"/>
    <w:rsid w:val="00CC4E56"/>
    <w:rsid w:val="00CC54D2"/>
    <w:rsid w:val="00CC5879"/>
    <w:rsid w:val="00CC698B"/>
    <w:rsid w:val="00CC735F"/>
    <w:rsid w:val="00CC75AD"/>
    <w:rsid w:val="00CC7E1E"/>
    <w:rsid w:val="00CD02DD"/>
    <w:rsid w:val="00CD030A"/>
    <w:rsid w:val="00CD0E1D"/>
    <w:rsid w:val="00CD261B"/>
    <w:rsid w:val="00CD3CB8"/>
    <w:rsid w:val="00CD46D2"/>
    <w:rsid w:val="00CD47A3"/>
    <w:rsid w:val="00CD4A5E"/>
    <w:rsid w:val="00CD4B90"/>
    <w:rsid w:val="00CD58F8"/>
    <w:rsid w:val="00CD593C"/>
    <w:rsid w:val="00CD5AD6"/>
    <w:rsid w:val="00CD5CC2"/>
    <w:rsid w:val="00CD613E"/>
    <w:rsid w:val="00CD6680"/>
    <w:rsid w:val="00CD689F"/>
    <w:rsid w:val="00CD77D2"/>
    <w:rsid w:val="00CD780A"/>
    <w:rsid w:val="00CD79BD"/>
    <w:rsid w:val="00CD7FCE"/>
    <w:rsid w:val="00CE02EE"/>
    <w:rsid w:val="00CE081D"/>
    <w:rsid w:val="00CE0FA7"/>
    <w:rsid w:val="00CE100D"/>
    <w:rsid w:val="00CE12D4"/>
    <w:rsid w:val="00CE1805"/>
    <w:rsid w:val="00CE1823"/>
    <w:rsid w:val="00CE36FB"/>
    <w:rsid w:val="00CE3A3D"/>
    <w:rsid w:val="00CE4F25"/>
    <w:rsid w:val="00CE5A21"/>
    <w:rsid w:val="00CE5FF5"/>
    <w:rsid w:val="00CE6398"/>
    <w:rsid w:val="00CE69C0"/>
    <w:rsid w:val="00CE6C36"/>
    <w:rsid w:val="00CE6C9F"/>
    <w:rsid w:val="00CE6D43"/>
    <w:rsid w:val="00CE763E"/>
    <w:rsid w:val="00CF0201"/>
    <w:rsid w:val="00CF0783"/>
    <w:rsid w:val="00CF1B62"/>
    <w:rsid w:val="00CF1B72"/>
    <w:rsid w:val="00CF272E"/>
    <w:rsid w:val="00CF284F"/>
    <w:rsid w:val="00CF2F7B"/>
    <w:rsid w:val="00CF3718"/>
    <w:rsid w:val="00CF3964"/>
    <w:rsid w:val="00CF3BB8"/>
    <w:rsid w:val="00CF3D72"/>
    <w:rsid w:val="00CF47CD"/>
    <w:rsid w:val="00CF503D"/>
    <w:rsid w:val="00CF5288"/>
    <w:rsid w:val="00CF5A0F"/>
    <w:rsid w:val="00CF5C4E"/>
    <w:rsid w:val="00CF6BC5"/>
    <w:rsid w:val="00CF6E19"/>
    <w:rsid w:val="00CF6EF3"/>
    <w:rsid w:val="00CF7308"/>
    <w:rsid w:val="00CF7456"/>
    <w:rsid w:val="00CF74BC"/>
    <w:rsid w:val="00D00039"/>
    <w:rsid w:val="00D0119A"/>
    <w:rsid w:val="00D016DE"/>
    <w:rsid w:val="00D02397"/>
    <w:rsid w:val="00D02654"/>
    <w:rsid w:val="00D027D4"/>
    <w:rsid w:val="00D0399E"/>
    <w:rsid w:val="00D039C8"/>
    <w:rsid w:val="00D03BAC"/>
    <w:rsid w:val="00D04148"/>
    <w:rsid w:val="00D043A4"/>
    <w:rsid w:val="00D04DBE"/>
    <w:rsid w:val="00D051AF"/>
    <w:rsid w:val="00D053BF"/>
    <w:rsid w:val="00D05952"/>
    <w:rsid w:val="00D05F45"/>
    <w:rsid w:val="00D06356"/>
    <w:rsid w:val="00D0655F"/>
    <w:rsid w:val="00D065CF"/>
    <w:rsid w:val="00D07037"/>
    <w:rsid w:val="00D10E9D"/>
    <w:rsid w:val="00D1137D"/>
    <w:rsid w:val="00D12197"/>
    <w:rsid w:val="00D128C3"/>
    <w:rsid w:val="00D12EF1"/>
    <w:rsid w:val="00D1374F"/>
    <w:rsid w:val="00D14140"/>
    <w:rsid w:val="00D142E4"/>
    <w:rsid w:val="00D15948"/>
    <w:rsid w:val="00D15C3B"/>
    <w:rsid w:val="00D16075"/>
    <w:rsid w:val="00D16F45"/>
    <w:rsid w:val="00D172D5"/>
    <w:rsid w:val="00D22088"/>
    <w:rsid w:val="00D2237A"/>
    <w:rsid w:val="00D23B62"/>
    <w:rsid w:val="00D2468C"/>
    <w:rsid w:val="00D246D3"/>
    <w:rsid w:val="00D24C30"/>
    <w:rsid w:val="00D25468"/>
    <w:rsid w:val="00D25482"/>
    <w:rsid w:val="00D268CC"/>
    <w:rsid w:val="00D274E2"/>
    <w:rsid w:val="00D27505"/>
    <w:rsid w:val="00D2786D"/>
    <w:rsid w:val="00D30399"/>
    <w:rsid w:val="00D3064E"/>
    <w:rsid w:val="00D30916"/>
    <w:rsid w:val="00D30ADE"/>
    <w:rsid w:val="00D3178D"/>
    <w:rsid w:val="00D31886"/>
    <w:rsid w:val="00D31C6C"/>
    <w:rsid w:val="00D31E63"/>
    <w:rsid w:val="00D325AF"/>
    <w:rsid w:val="00D32DDF"/>
    <w:rsid w:val="00D32E8C"/>
    <w:rsid w:val="00D33C11"/>
    <w:rsid w:val="00D33DC2"/>
    <w:rsid w:val="00D347F9"/>
    <w:rsid w:val="00D34B95"/>
    <w:rsid w:val="00D35539"/>
    <w:rsid w:val="00D355AB"/>
    <w:rsid w:val="00D3594C"/>
    <w:rsid w:val="00D36390"/>
    <w:rsid w:val="00D36548"/>
    <w:rsid w:val="00D37070"/>
    <w:rsid w:val="00D37249"/>
    <w:rsid w:val="00D373D0"/>
    <w:rsid w:val="00D37569"/>
    <w:rsid w:val="00D403F4"/>
    <w:rsid w:val="00D40C8B"/>
    <w:rsid w:val="00D40D49"/>
    <w:rsid w:val="00D413AA"/>
    <w:rsid w:val="00D4185F"/>
    <w:rsid w:val="00D4229A"/>
    <w:rsid w:val="00D425D2"/>
    <w:rsid w:val="00D42D7E"/>
    <w:rsid w:val="00D42E00"/>
    <w:rsid w:val="00D43074"/>
    <w:rsid w:val="00D4340B"/>
    <w:rsid w:val="00D43C39"/>
    <w:rsid w:val="00D44309"/>
    <w:rsid w:val="00D44683"/>
    <w:rsid w:val="00D448E8"/>
    <w:rsid w:val="00D44C27"/>
    <w:rsid w:val="00D44DCC"/>
    <w:rsid w:val="00D44F35"/>
    <w:rsid w:val="00D4579D"/>
    <w:rsid w:val="00D46247"/>
    <w:rsid w:val="00D464CE"/>
    <w:rsid w:val="00D46857"/>
    <w:rsid w:val="00D46FE4"/>
    <w:rsid w:val="00D4707E"/>
    <w:rsid w:val="00D4737F"/>
    <w:rsid w:val="00D4738A"/>
    <w:rsid w:val="00D5016C"/>
    <w:rsid w:val="00D5047E"/>
    <w:rsid w:val="00D51000"/>
    <w:rsid w:val="00D51877"/>
    <w:rsid w:val="00D51A73"/>
    <w:rsid w:val="00D51FAD"/>
    <w:rsid w:val="00D522C0"/>
    <w:rsid w:val="00D52701"/>
    <w:rsid w:val="00D52BEE"/>
    <w:rsid w:val="00D53D9E"/>
    <w:rsid w:val="00D53F31"/>
    <w:rsid w:val="00D54424"/>
    <w:rsid w:val="00D545F0"/>
    <w:rsid w:val="00D54810"/>
    <w:rsid w:val="00D55FB5"/>
    <w:rsid w:val="00D563DC"/>
    <w:rsid w:val="00D56F5B"/>
    <w:rsid w:val="00D57395"/>
    <w:rsid w:val="00D575AB"/>
    <w:rsid w:val="00D5772B"/>
    <w:rsid w:val="00D57AC7"/>
    <w:rsid w:val="00D57C67"/>
    <w:rsid w:val="00D60680"/>
    <w:rsid w:val="00D607C8"/>
    <w:rsid w:val="00D61122"/>
    <w:rsid w:val="00D6121E"/>
    <w:rsid w:val="00D615B0"/>
    <w:rsid w:val="00D61BDF"/>
    <w:rsid w:val="00D62705"/>
    <w:rsid w:val="00D6376D"/>
    <w:rsid w:val="00D64EE8"/>
    <w:rsid w:val="00D650E6"/>
    <w:rsid w:val="00D65DD3"/>
    <w:rsid w:val="00D668D1"/>
    <w:rsid w:val="00D670F2"/>
    <w:rsid w:val="00D67438"/>
    <w:rsid w:val="00D678CA"/>
    <w:rsid w:val="00D7032A"/>
    <w:rsid w:val="00D7046D"/>
    <w:rsid w:val="00D70984"/>
    <w:rsid w:val="00D70B05"/>
    <w:rsid w:val="00D71F3E"/>
    <w:rsid w:val="00D729C9"/>
    <w:rsid w:val="00D72A5A"/>
    <w:rsid w:val="00D747E7"/>
    <w:rsid w:val="00D74911"/>
    <w:rsid w:val="00D74A79"/>
    <w:rsid w:val="00D74E0D"/>
    <w:rsid w:val="00D7549B"/>
    <w:rsid w:val="00D75AFF"/>
    <w:rsid w:val="00D75B86"/>
    <w:rsid w:val="00D76216"/>
    <w:rsid w:val="00D76722"/>
    <w:rsid w:val="00D7694B"/>
    <w:rsid w:val="00D76EE1"/>
    <w:rsid w:val="00D776E4"/>
    <w:rsid w:val="00D77842"/>
    <w:rsid w:val="00D77AF7"/>
    <w:rsid w:val="00D77B9C"/>
    <w:rsid w:val="00D80659"/>
    <w:rsid w:val="00D81CBE"/>
    <w:rsid w:val="00D81FEC"/>
    <w:rsid w:val="00D82A83"/>
    <w:rsid w:val="00D8341F"/>
    <w:rsid w:val="00D838C4"/>
    <w:rsid w:val="00D85099"/>
    <w:rsid w:val="00D85166"/>
    <w:rsid w:val="00D85224"/>
    <w:rsid w:val="00D8539E"/>
    <w:rsid w:val="00D857F2"/>
    <w:rsid w:val="00D85809"/>
    <w:rsid w:val="00D86DCD"/>
    <w:rsid w:val="00D87665"/>
    <w:rsid w:val="00D87AF3"/>
    <w:rsid w:val="00D87E48"/>
    <w:rsid w:val="00D925DF"/>
    <w:rsid w:val="00D933A8"/>
    <w:rsid w:val="00D93E78"/>
    <w:rsid w:val="00D94695"/>
    <w:rsid w:val="00D94775"/>
    <w:rsid w:val="00D94C71"/>
    <w:rsid w:val="00D95909"/>
    <w:rsid w:val="00D95C1B"/>
    <w:rsid w:val="00D96176"/>
    <w:rsid w:val="00D96285"/>
    <w:rsid w:val="00D96704"/>
    <w:rsid w:val="00D96C58"/>
    <w:rsid w:val="00D976B1"/>
    <w:rsid w:val="00D97871"/>
    <w:rsid w:val="00D97F37"/>
    <w:rsid w:val="00D97F89"/>
    <w:rsid w:val="00DA0330"/>
    <w:rsid w:val="00DA0E11"/>
    <w:rsid w:val="00DA23EA"/>
    <w:rsid w:val="00DA24B8"/>
    <w:rsid w:val="00DA2C1D"/>
    <w:rsid w:val="00DA3135"/>
    <w:rsid w:val="00DA350B"/>
    <w:rsid w:val="00DA37A3"/>
    <w:rsid w:val="00DA3A95"/>
    <w:rsid w:val="00DA3B92"/>
    <w:rsid w:val="00DA3BF2"/>
    <w:rsid w:val="00DA3C30"/>
    <w:rsid w:val="00DA3D64"/>
    <w:rsid w:val="00DA4159"/>
    <w:rsid w:val="00DA4AD1"/>
    <w:rsid w:val="00DA51E7"/>
    <w:rsid w:val="00DA5A50"/>
    <w:rsid w:val="00DA6B46"/>
    <w:rsid w:val="00DA6DA1"/>
    <w:rsid w:val="00DA6ED2"/>
    <w:rsid w:val="00DA7FB7"/>
    <w:rsid w:val="00DB00AF"/>
    <w:rsid w:val="00DB0552"/>
    <w:rsid w:val="00DB069A"/>
    <w:rsid w:val="00DB0AE0"/>
    <w:rsid w:val="00DB10B9"/>
    <w:rsid w:val="00DB1198"/>
    <w:rsid w:val="00DB1258"/>
    <w:rsid w:val="00DB131B"/>
    <w:rsid w:val="00DB1720"/>
    <w:rsid w:val="00DB1986"/>
    <w:rsid w:val="00DB1AEF"/>
    <w:rsid w:val="00DB2AED"/>
    <w:rsid w:val="00DB375F"/>
    <w:rsid w:val="00DB4273"/>
    <w:rsid w:val="00DB5760"/>
    <w:rsid w:val="00DB5773"/>
    <w:rsid w:val="00DB6086"/>
    <w:rsid w:val="00DB64C0"/>
    <w:rsid w:val="00DB67FA"/>
    <w:rsid w:val="00DB7DB0"/>
    <w:rsid w:val="00DC0767"/>
    <w:rsid w:val="00DC1362"/>
    <w:rsid w:val="00DC13F4"/>
    <w:rsid w:val="00DC17CE"/>
    <w:rsid w:val="00DC261D"/>
    <w:rsid w:val="00DC2C01"/>
    <w:rsid w:val="00DC3278"/>
    <w:rsid w:val="00DC3E9B"/>
    <w:rsid w:val="00DC4D6C"/>
    <w:rsid w:val="00DC6AD6"/>
    <w:rsid w:val="00DC6B3F"/>
    <w:rsid w:val="00DC7074"/>
    <w:rsid w:val="00DC7751"/>
    <w:rsid w:val="00DD0127"/>
    <w:rsid w:val="00DD03D3"/>
    <w:rsid w:val="00DD0A98"/>
    <w:rsid w:val="00DD1658"/>
    <w:rsid w:val="00DD1E9D"/>
    <w:rsid w:val="00DD1EDE"/>
    <w:rsid w:val="00DD2467"/>
    <w:rsid w:val="00DD2AF1"/>
    <w:rsid w:val="00DD33EF"/>
    <w:rsid w:val="00DD3B6C"/>
    <w:rsid w:val="00DD3C4A"/>
    <w:rsid w:val="00DD3D80"/>
    <w:rsid w:val="00DD4707"/>
    <w:rsid w:val="00DD481E"/>
    <w:rsid w:val="00DD49D0"/>
    <w:rsid w:val="00DD4EA5"/>
    <w:rsid w:val="00DD5138"/>
    <w:rsid w:val="00DD51EC"/>
    <w:rsid w:val="00DD543A"/>
    <w:rsid w:val="00DD7473"/>
    <w:rsid w:val="00DD7647"/>
    <w:rsid w:val="00DE032A"/>
    <w:rsid w:val="00DE0610"/>
    <w:rsid w:val="00DE0889"/>
    <w:rsid w:val="00DE0A86"/>
    <w:rsid w:val="00DE0B77"/>
    <w:rsid w:val="00DE1A35"/>
    <w:rsid w:val="00DE1E5E"/>
    <w:rsid w:val="00DE26D4"/>
    <w:rsid w:val="00DE2744"/>
    <w:rsid w:val="00DE27D3"/>
    <w:rsid w:val="00DE2A37"/>
    <w:rsid w:val="00DE3119"/>
    <w:rsid w:val="00DE3733"/>
    <w:rsid w:val="00DE3793"/>
    <w:rsid w:val="00DE4805"/>
    <w:rsid w:val="00DE4CF5"/>
    <w:rsid w:val="00DE729F"/>
    <w:rsid w:val="00DE7BF6"/>
    <w:rsid w:val="00DE7FE4"/>
    <w:rsid w:val="00DF04B0"/>
    <w:rsid w:val="00DF0892"/>
    <w:rsid w:val="00DF0930"/>
    <w:rsid w:val="00DF157F"/>
    <w:rsid w:val="00DF1B54"/>
    <w:rsid w:val="00DF1D16"/>
    <w:rsid w:val="00DF2B63"/>
    <w:rsid w:val="00DF4354"/>
    <w:rsid w:val="00DF478C"/>
    <w:rsid w:val="00DF4B8F"/>
    <w:rsid w:val="00DF570A"/>
    <w:rsid w:val="00DF7532"/>
    <w:rsid w:val="00DF7821"/>
    <w:rsid w:val="00DF7FF0"/>
    <w:rsid w:val="00E006D5"/>
    <w:rsid w:val="00E00990"/>
    <w:rsid w:val="00E00E5A"/>
    <w:rsid w:val="00E0106F"/>
    <w:rsid w:val="00E015E2"/>
    <w:rsid w:val="00E02151"/>
    <w:rsid w:val="00E02B91"/>
    <w:rsid w:val="00E03011"/>
    <w:rsid w:val="00E0377A"/>
    <w:rsid w:val="00E03A73"/>
    <w:rsid w:val="00E04B01"/>
    <w:rsid w:val="00E04EC1"/>
    <w:rsid w:val="00E05185"/>
    <w:rsid w:val="00E052DB"/>
    <w:rsid w:val="00E064F6"/>
    <w:rsid w:val="00E068A4"/>
    <w:rsid w:val="00E06C7D"/>
    <w:rsid w:val="00E0791A"/>
    <w:rsid w:val="00E07CC5"/>
    <w:rsid w:val="00E1073D"/>
    <w:rsid w:val="00E118AA"/>
    <w:rsid w:val="00E11E0C"/>
    <w:rsid w:val="00E136D1"/>
    <w:rsid w:val="00E14254"/>
    <w:rsid w:val="00E14A9F"/>
    <w:rsid w:val="00E14ABE"/>
    <w:rsid w:val="00E1622B"/>
    <w:rsid w:val="00E16D65"/>
    <w:rsid w:val="00E16EFA"/>
    <w:rsid w:val="00E1708A"/>
    <w:rsid w:val="00E17461"/>
    <w:rsid w:val="00E174AC"/>
    <w:rsid w:val="00E20A55"/>
    <w:rsid w:val="00E20FB1"/>
    <w:rsid w:val="00E21180"/>
    <w:rsid w:val="00E215EC"/>
    <w:rsid w:val="00E2178C"/>
    <w:rsid w:val="00E21AB9"/>
    <w:rsid w:val="00E220BA"/>
    <w:rsid w:val="00E22C07"/>
    <w:rsid w:val="00E22DB8"/>
    <w:rsid w:val="00E23409"/>
    <w:rsid w:val="00E238C4"/>
    <w:rsid w:val="00E241CC"/>
    <w:rsid w:val="00E2492F"/>
    <w:rsid w:val="00E24A4C"/>
    <w:rsid w:val="00E24A5E"/>
    <w:rsid w:val="00E24F8F"/>
    <w:rsid w:val="00E25E05"/>
    <w:rsid w:val="00E26ACF"/>
    <w:rsid w:val="00E26BFF"/>
    <w:rsid w:val="00E279E5"/>
    <w:rsid w:val="00E27A22"/>
    <w:rsid w:val="00E27FAE"/>
    <w:rsid w:val="00E302D5"/>
    <w:rsid w:val="00E31285"/>
    <w:rsid w:val="00E312B0"/>
    <w:rsid w:val="00E3180B"/>
    <w:rsid w:val="00E33727"/>
    <w:rsid w:val="00E34587"/>
    <w:rsid w:val="00E35133"/>
    <w:rsid w:val="00E35F21"/>
    <w:rsid w:val="00E362B9"/>
    <w:rsid w:val="00E3639F"/>
    <w:rsid w:val="00E36B12"/>
    <w:rsid w:val="00E36B18"/>
    <w:rsid w:val="00E36B9D"/>
    <w:rsid w:val="00E3716D"/>
    <w:rsid w:val="00E3789D"/>
    <w:rsid w:val="00E40130"/>
    <w:rsid w:val="00E40264"/>
    <w:rsid w:val="00E40732"/>
    <w:rsid w:val="00E4074B"/>
    <w:rsid w:val="00E408EB"/>
    <w:rsid w:val="00E415B3"/>
    <w:rsid w:val="00E41907"/>
    <w:rsid w:val="00E41F3D"/>
    <w:rsid w:val="00E42371"/>
    <w:rsid w:val="00E42425"/>
    <w:rsid w:val="00E4254B"/>
    <w:rsid w:val="00E4304F"/>
    <w:rsid w:val="00E432E6"/>
    <w:rsid w:val="00E43C89"/>
    <w:rsid w:val="00E441AB"/>
    <w:rsid w:val="00E4443D"/>
    <w:rsid w:val="00E446FD"/>
    <w:rsid w:val="00E453EB"/>
    <w:rsid w:val="00E459BB"/>
    <w:rsid w:val="00E45C9D"/>
    <w:rsid w:val="00E45D7B"/>
    <w:rsid w:val="00E4615A"/>
    <w:rsid w:val="00E465CA"/>
    <w:rsid w:val="00E474E9"/>
    <w:rsid w:val="00E50094"/>
    <w:rsid w:val="00E5126A"/>
    <w:rsid w:val="00E5180D"/>
    <w:rsid w:val="00E52938"/>
    <w:rsid w:val="00E52CD0"/>
    <w:rsid w:val="00E53256"/>
    <w:rsid w:val="00E53834"/>
    <w:rsid w:val="00E54BEB"/>
    <w:rsid w:val="00E5532D"/>
    <w:rsid w:val="00E55C97"/>
    <w:rsid w:val="00E55EDF"/>
    <w:rsid w:val="00E57557"/>
    <w:rsid w:val="00E576EF"/>
    <w:rsid w:val="00E579DF"/>
    <w:rsid w:val="00E6025D"/>
    <w:rsid w:val="00E60539"/>
    <w:rsid w:val="00E61C50"/>
    <w:rsid w:val="00E61C7C"/>
    <w:rsid w:val="00E625BE"/>
    <w:rsid w:val="00E62EDE"/>
    <w:rsid w:val="00E63555"/>
    <w:rsid w:val="00E646AC"/>
    <w:rsid w:val="00E64E3E"/>
    <w:rsid w:val="00E657B0"/>
    <w:rsid w:val="00E66501"/>
    <w:rsid w:val="00E665FA"/>
    <w:rsid w:val="00E66775"/>
    <w:rsid w:val="00E66DAC"/>
    <w:rsid w:val="00E67062"/>
    <w:rsid w:val="00E71069"/>
    <w:rsid w:val="00E710E1"/>
    <w:rsid w:val="00E71201"/>
    <w:rsid w:val="00E716F6"/>
    <w:rsid w:val="00E722BE"/>
    <w:rsid w:val="00E724CC"/>
    <w:rsid w:val="00E72724"/>
    <w:rsid w:val="00E72D78"/>
    <w:rsid w:val="00E73FA3"/>
    <w:rsid w:val="00E74342"/>
    <w:rsid w:val="00E75C0D"/>
    <w:rsid w:val="00E75C2F"/>
    <w:rsid w:val="00E7643E"/>
    <w:rsid w:val="00E76E55"/>
    <w:rsid w:val="00E77665"/>
    <w:rsid w:val="00E77BE5"/>
    <w:rsid w:val="00E8004D"/>
    <w:rsid w:val="00E80D4E"/>
    <w:rsid w:val="00E81172"/>
    <w:rsid w:val="00E8119A"/>
    <w:rsid w:val="00E8264B"/>
    <w:rsid w:val="00E82D5C"/>
    <w:rsid w:val="00E82ECD"/>
    <w:rsid w:val="00E831CA"/>
    <w:rsid w:val="00E83717"/>
    <w:rsid w:val="00E8385C"/>
    <w:rsid w:val="00E83C99"/>
    <w:rsid w:val="00E83D1F"/>
    <w:rsid w:val="00E83F64"/>
    <w:rsid w:val="00E84D0B"/>
    <w:rsid w:val="00E85A7B"/>
    <w:rsid w:val="00E860B5"/>
    <w:rsid w:val="00E861DA"/>
    <w:rsid w:val="00E86505"/>
    <w:rsid w:val="00E865B3"/>
    <w:rsid w:val="00E86B14"/>
    <w:rsid w:val="00E87824"/>
    <w:rsid w:val="00E87A0E"/>
    <w:rsid w:val="00E9052A"/>
    <w:rsid w:val="00E907E3"/>
    <w:rsid w:val="00E90CE7"/>
    <w:rsid w:val="00E90DDD"/>
    <w:rsid w:val="00E91484"/>
    <w:rsid w:val="00E917ED"/>
    <w:rsid w:val="00E91A86"/>
    <w:rsid w:val="00E91CB8"/>
    <w:rsid w:val="00E9251E"/>
    <w:rsid w:val="00E9253F"/>
    <w:rsid w:val="00E9279D"/>
    <w:rsid w:val="00E92CA3"/>
    <w:rsid w:val="00E92CCB"/>
    <w:rsid w:val="00E92F93"/>
    <w:rsid w:val="00E93685"/>
    <w:rsid w:val="00E94C94"/>
    <w:rsid w:val="00E956CD"/>
    <w:rsid w:val="00E95E0E"/>
    <w:rsid w:val="00E96566"/>
    <w:rsid w:val="00E96728"/>
    <w:rsid w:val="00E96A18"/>
    <w:rsid w:val="00E96F07"/>
    <w:rsid w:val="00E96FE0"/>
    <w:rsid w:val="00E97136"/>
    <w:rsid w:val="00E97A66"/>
    <w:rsid w:val="00E97FAD"/>
    <w:rsid w:val="00EA00BD"/>
    <w:rsid w:val="00EA055A"/>
    <w:rsid w:val="00EA08BE"/>
    <w:rsid w:val="00EA08D0"/>
    <w:rsid w:val="00EA100E"/>
    <w:rsid w:val="00EA1115"/>
    <w:rsid w:val="00EA1990"/>
    <w:rsid w:val="00EA1A37"/>
    <w:rsid w:val="00EA23FB"/>
    <w:rsid w:val="00EA25F4"/>
    <w:rsid w:val="00EA35BC"/>
    <w:rsid w:val="00EA3910"/>
    <w:rsid w:val="00EA3D30"/>
    <w:rsid w:val="00EA4ABB"/>
    <w:rsid w:val="00EA4DA9"/>
    <w:rsid w:val="00EA4E1B"/>
    <w:rsid w:val="00EA5C27"/>
    <w:rsid w:val="00EA5C3B"/>
    <w:rsid w:val="00EA68AD"/>
    <w:rsid w:val="00EA6D33"/>
    <w:rsid w:val="00EA7390"/>
    <w:rsid w:val="00EA7B14"/>
    <w:rsid w:val="00EA7B3F"/>
    <w:rsid w:val="00EA7EF6"/>
    <w:rsid w:val="00EB0108"/>
    <w:rsid w:val="00EB1115"/>
    <w:rsid w:val="00EB1137"/>
    <w:rsid w:val="00EB19D7"/>
    <w:rsid w:val="00EB1D1E"/>
    <w:rsid w:val="00EB2245"/>
    <w:rsid w:val="00EB2536"/>
    <w:rsid w:val="00EB384F"/>
    <w:rsid w:val="00EB3D02"/>
    <w:rsid w:val="00EB43B1"/>
    <w:rsid w:val="00EB4A35"/>
    <w:rsid w:val="00EB4C9F"/>
    <w:rsid w:val="00EB4DC8"/>
    <w:rsid w:val="00EB4E7D"/>
    <w:rsid w:val="00EB5E37"/>
    <w:rsid w:val="00EB5F33"/>
    <w:rsid w:val="00EB6C53"/>
    <w:rsid w:val="00EB7373"/>
    <w:rsid w:val="00EC0353"/>
    <w:rsid w:val="00EC1350"/>
    <w:rsid w:val="00EC1970"/>
    <w:rsid w:val="00EC1B51"/>
    <w:rsid w:val="00EC21C5"/>
    <w:rsid w:val="00EC2210"/>
    <w:rsid w:val="00EC22CD"/>
    <w:rsid w:val="00EC23DC"/>
    <w:rsid w:val="00EC2530"/>
    <w:rsid w:val="00EC2E3B"/>
    <w:rsid w:val="00EC3170"/>
    <w:rsid w:val="00EC3A1A"/>
    <w:rsid w:val="00EC4306"/>
    <w:rsid w:val="00EC441C"/>
    <w:rsid w:val="00EC4FA1"/>
    <w:rsid w:val="00EC548B"/>
    <w:rsid w:val="00EC5491"/>
    <w:rsid w:val="00EC5504"/>
    <w:rsid w:val="00EC5E74"/>
    <w:rsid w:val="00EC633B"/>
    <w:rsid w:val="00EC6A66"/>
    <w:rsid w:val="00EC6AA7"/>
    <w:rsid w:val="00EC736E"/>
    <w:rsid w:val="00ED05F7"/>
    <w:rsid w:val="00ED08CD"/>
    <w:rsid w:val="00ED0CCB"/>
    <w:rsid w:val="00ED1624"/>
    <w:rsid w:val="00ED1B24"/>
    <w:rsid w:val="00ED2A80"/>
    <w:rsid w:val="00ED3298"/>
    <w:rsid w:val="00ED37A2"/>
    <w:rsid w:val="00ED39B1"/>
    <w:rsid w:val="00ED3B0C"/>
    <w:rsid w:val="00ED4A5A"/>
    <w:rsid w:val="00ED4E8C"/>
    <w:rsid w:val="00ED558F"/>
    <w:rsid w:val="00ED5B41"/>
    <w:rsid w:val="00ED5D97"/>
    <w:rsid w:val="00ED62D3"/>
    <w:rsid w:val="00ED6A3A"/>
    <w:rsid w:val="00EE0062"/>
    <w:rsid w:val="00EE03C5"/>
    <w:rsid w:val="00EE0686"/>
    <w:rsid w:val="00EE07DE"/>
    <w:rsid w:val="00EE0C9D"/>
    <w:rsid w:val="00EE184E"/>
    <w:rsid w:val="00EE1DCC"/>
    <w:rsid w:val="00EE315C"/>
    <w:rsid w:val="00EE4332"/>
    <w:rsid w:val="00EE4CF7"/>
    <w:rsid w:val="00EE4D9F"/>
    <w:rsid w:val="00EE51C7"/>
    <w:rsid w:val="00EE532B"/>
    <w:rsid w:val="00EE591A"/>
    <w:rsid w:val="00EE5C64"/>
    <w:rsid w:val="00EE5E2B"/>
    <w:rsid w:val="00EE6804"/>
    <w:rsid w:val="00EE6D20"/>
    <w:rsid w:val="00EE6E2F"/>
    <w:rsid w:val="00EE74C6"/>
    <w:rsid w:val="00EE75A6"/>
    <w:rsid w:val="00EE7937"/>
    <w:rsid w:val="00EE7A03"/>
    <w:rsid w:val="00EF0293"/>
    <w:rsid w:val="00EF0C3B"/>
    <w:rsid w:val="00EF16C5"/>
    <w:rsid w:val="00EF1914"/>
    <w:rsid w:val="00EF1C2B"/>
    <w:rsid w:val="00EF2C98"/>
    <w:rsid w:val="00EF2FC1"/>
    <w:rsid w:val="00EF3FF2"/>
    <w:rsid w:val="00EF4BAE"/>
    <w:rsid w:val="00EF5ACA"/>
    <w:rsid w:val="00EF653C"/>
    <w:rsid w:val="00EF65CD"/>
    <w:rsid w:val="00EF723D"/>
    <w:rsid w:val="00EF78F4"/>
    <w:rsid w:val="00EF79E7"/>
    <w:rsid w:val="00EF7AC1"/>
    <w:rsid w:val="00F0023D"/>
    <w:rsid w:val="00F00D21"/>
    <w:rsid w:val="00F02003"/>
    <w:rsid w:val="00F0202B"/>
    <w:rsid w:val="00F0356D"/>
    <w:rsid w:val="00F0364C"/>
    <w:rsid w:val="00F0386C"/>
    <w:rsid w:val="00F03D22"/>
    <w:rsid w:val="00F03F19"/>
    <w:rsid w:val="00F040EC"/>
    <w:rsid w:val="00F047B7"/>
    <w:rsid w:val="00F04A52"/>
    <w:rsid w:val="00F05B2A"/>
    <w:rsid w:val="00F05D55"/>
    <w:rsid w:val="00F07381"/>
    <w:rsid w:val="00F07533"/>
    <w:rsid w:val="00F10339"/>
    <w:rsid w:val="00F10487"/>
    <w:rsid w:val="00F104F4"/>
    <w:rsid w:val="00F10BEA"/>
    <w:rsid w:val="00F10CF3"/>
    <w:rsid w:val="00F10E1C"/>
    <w:rsid w:val="00F12454"/>
    <w:rsid w:val="00F12AB2"/>
    <w:rsid w:val="00F12F3B"/>
    <w:rsid w:val="00F1312C"/>
    <w:rsid w:val="00F1358A"/>
    <w:rsid w:val="00F13F85"/>
    <w:rsid w:val="00F140DB"/>
    <w:rsid w:val="00F14103"/>
    <w:rsid w:val="00F14E57"/>
    <w:rsid w:val="00F14EE2"/>
    <w:rsid w:val="00F150A5"/>
    <w:rsid w:val="00F15876"/>
    <w:rsid w:val="00F15885"/>
    <w:rsid w:val="00F161C5"/>
    <w:rsid w:val="00F1705D"/>
    <w:rsid w:val="00F17C09"/>
    <w:rsid w:val="00F2036F"/>
    <w:rsid w:val="00F20520"/>
    <w:rsid w:val="00F20585"/>
    <w:rsid w:val="00F20BD8"/>
    <w:rsid w:val="00F20C1D"/>
    <w:rsid w:val="00F216BD"/>
    <w:rsid w:val="00F21736"/>
    <w:rsid w:val="00F21C08"/>
    <w:rsid w:val="00F21F13"/>
    <w:rsid w:val="00F2262C"/>
    <w:rsid w:val="00F22CB5"/>
    <w:rsid w:val="00F233BC"/>
    <w:rsid w:val="00F23967"/>
    <w:rsid w:val="00F23A8E"/>
    <w:rsid w:val="00F2416E"/>
    <w:rsid w:val="00F245BE"/>
    <w:rsid w:val="00F247A6"/>
    <w:rsid w:val="00F25765"/>
    <w:rsid w:val="00F26134"/>
    <w:rsid w:val="00F2614E"/>
    <w:rsid w:val="00F261DF"/>
    <w:rsid w:val="00F268A7"/>
    <w:rsid w:val="00F27A56"/>
    <w:rsid w:val="00F3021F"/>
    <w:rsid w:val="00F30A61"/>
    <w:rsid w:val="00F30C51"/>
    <w:rsid w:val="00F30CED"/>
    <w:rsid w:val="00F31737"/>
    <w:rsid w:val="00F3193D"/>
    <w:rsid w:val="00F31A44"/>
    <w:rsid w:val="00F32032"/>
    <w:rsid w:val="00F32070"/>
    <w:rsid w:val="00F32229"/>
    <w:rsid w:val="00F3271E"/>
    <w:rsid w:val="00F32869"/>
    <w:rsid w:val="00F33189"/>
    <w:rsid w:val="00F332B6"/>
    <w:rsid w:val="00F3389A"/>
    <w:rsid w:val="00F33FE4"/>
    <w:rsid w:val="00F343FB"/>
    <w:rsid w:val="00F361FD"/>
    <w:rsid w:val="00F36507"/>
    <w:rsid w:val="00F373ED"/>
    <w:rsid w:val="00F37E35"/>
    <w:rsid w:val="00F40CAD"/>
    <w:rsid w:val="00F40D2F"/>
    <w:rsid w:val="00F412A9"/>
    <w:rsid w:val="00F416CA"/>
    <w:rsid w:val="00F41946"/>
    <w:rsid w:val="00F420A7"/>
    <w:rsid w:val="00F4246E"/>
    <w:rsid w:val="00F43C7C"/>
    <w:rsid w:val="00F43D40"/>
    <w:rsid w:val="00F43E17"/>
    <w:rsid w:val="00F4447F"/>
    <w:rsid w:val="00F449B2"/>
    <w:rsid w:val="00F44FC4"/>
    <w:rsid w:val="00F44FE7"/>
    <w:rsid w:val="00F453E6"/>
    <w:rsid w:val="00F4566C"/>
    <w:rsid w:val="00F45A0B"/>
    <w:rsid w:val="00F46349"/>
    <w:rsid w:val="00F46355"/>
    <w:rsid w:val="00F47491"/>
    <w:rsid w:val="00F50B19"/>
    <w:rsid w:val="00F50E57"/>
    <w:rsid w:val="00F5157B"/>
    <w:rsid w:val="00F519AD"/>
    <w:rsid w:val="00F51B8A"/>
    <w:rsid w:val="00F524FE"/>
    <w:rsid w:val="00F53599"/>
    <w:rsid w:val="00F53CC1"/>
    <w:rsid w:val="00F53D5D"/>
    <w:rsid w:val="00F54628"/>
    <w:rsid w:val="00F54980"/>
    <w:rsid w:val="00F54CB8"/>
    <w:rsid w:val="00F54F65"/>
    <w:rsid w:val="00F55F8D"/>
    <w:rsid w:val="00F56EE9"/>
    <w:rsid w:val="00F57892"/>
    <w:rsid w:val="00F57E9A"/>
    <w:rsid w:val="00F60DF9"/>
    <w:rsid w:val="00F60E53"/>
    <w:rsid w:val="00F612E9"/>
    <w:rsid w:val="00F61750"/>
    <w:rsid w:val="00F618E5"/>
    <w:rsid w:val="00F61F29"/>
    <w:rsid w:val="00F637BA"/>
    <w:rsid w:val="00F63BE2"/>
    <w:rsid w:val="00F63ECC"/>
    <w:rsid w:val="00F6476B"/>
    <w:rsid w:val="00F64F05"/>
    <w:rsid w:val="00F64F0E"/>
    <w:rsid w:val="00F6556F"/>
    <w:rsid w:val="00F658B2"/>
    <w:rsid w:val="00F65C7E"/>
    <w:rsid w:val="00F6663C"/>
    <w:rsid w:val="00F66EBF"/>
    <w:rsid w:val="00F67500"/>
    <w:rsid w:val="00F676E5"/>
    <w:rsid w:val="00F700DF"/>
    <w:rsid w:val="00F700FB"/>
    <w:rsid w:val="00F70A40"/>
    <w:rsid w:val="00F70CEE"/>
    <w:rsid w:val="00F70EDA"/>
    <w:rsid w:val="00F71906"/>
    <w:rsid w:val="00F7228D"/>
    <w:rsid w:val="00F7273B"/>
    <w:rsid w:val="00F727AE"/>
    <w:rsid w:val="00F72A61"/>
    <w:rsid w:val="00F73615"/>
    <w:rsid w:val="00F73F16"/>
    <w:rsid w:val="00F747B1"/>
    <w:rsid w:val="00F74D05"/>
    <w:rsid w:val="00F75E5B"/>
    <w:rsid w:val="00F762AC"/>
    <w:rsid w:val="00F76AB9"/>
    <w:rsid w:val="00F76E24"/>
    <w:rsid w:val="00F77572"/>
    <w:rsid w:val="00F775C8"/>
    <w:rsid w:val="00F77D53"/>
    <w:rsid w:val="00F77E23"/>
    <w:rsid w:val="00F802FF"/>
    <w:rsid w:val="00F8053B"/>
    <w:rsid w:val="00F80B1E"/>
    <w:rsid w:val="00F81438"/>
    <w:rsid w:val="00F81C1A"/>
    <w:rsid w:val="00F82167"/>
    <w:rsid w:val="00F822D5"/>
    <w:rsid w:val="00F8341D"/>
    <w:rsid w:val="00F83E43"/>
    <w:rsid w:val="00F854D7"/>
    <w:rsid w:val="00F86129"/>
    <w:rsid w:val="00F87348"/>
    <w:rsid w:val="00F87C54"/>
    <w:rsid w:val="00F87D37"/>
    <w:rsid w:val="00F9019A"/>
    <w:rsid w:val="00F904BF"/>
    <w:rsid w:val="00F9053D"/>
    <w:rsid w:val="00F90B22"/>
    <w:rsid w:val="00F9100E"/>
    <w:rsid w:val="00F912BB"/>
    <w:rsid w:val="00F913F7"/>
    <w:rsid w:val="00F91A34"/>
    <w:rsid w:val="00F91ACE"/>
    <w:rsid w:val="00F91B35"/>
    <w:rsid w:val="00F922B0"/>
    <w:rsid w:val="00F93215"/>
    <w:rsid w:val="00F9323A"/>
    <w:rsid w:val="00F9524F"/>
    <w:rsid w:val="00F96170"/>
    <w:rsid w:val="00F96395"/>
    <w:rsid w:val="00F9639B"/>
    <w:rsid w:val="00F975CE"/>
    <w:rsid w:val="00F976B1"/>
    <w:rsid w:val="00FA00FD"/>
    <w:rsid w:val="00FA030F"/>
    <w:rsid w:val="00FA0BB4"/>
    <w:rsid w:val="00FA1AEA"/>
    <w:rsid w:val="00FA2577"/>
    <w:rsid w:val="00FA3125"/>
    <w:rsid w:val="00FA356F"/>
    <w:rsid w:val="00FA37EC"/>
    <w:rsid w:val="00FA3879"/>
    <w:rsid w:val="00FA3BBB"/>
    <w:rsid w:val="00FA4324"/>
    <w:rsid w:val="00FA4DDF"/>
    <w:rsid w:val="00FA570D"/>
    <w:rsid w:val="00FA5AF8"/>
    <w:rsid w:val="00FA5E63"/>
    <w:rsid w:val="00FA66B1"/>
    <w:rsid w:val="00FA6E00"/>
    <w:rsid w:val="00FA6F83"/>
    <w:rsid w:val="00FA71BD"/>
    <w:rsid w:val="00FA76CC"/>
    <w:rsid w:val="00FA7E21"/>
    <w:rsid w:val="00FB0105"/>
    <w:rsid w:val="00FB1353"/>
    <w:rsid w:val="00FB17AA"/>
    <w:rsid w:val="00FB1835"/>
    <w:rsid w:val="00FB1A95"/>
    <w:rsid w:val="00FB1DAB"/>
    <w:rsid w:val="00FB4499"/>
    <w:rsid w:val="00FB4A7F"/>
    <w:rsid w:val="00FB5B0C"/>
    <w:rsid w:val="00FB6C1E"/>
    <w:rsid w:val="00FB6D6B"/>
    <w:rsid w:val="00FB6DDA"/>
    <w:rsid w:val="00FB719F"/>
    <w:rsid w:val="00FB72C6"/>
    <w:rsid w:val="00FB77EF"/>
    <w:rsid w:val="00FB7830"/>
    <w:rsid w:val="00FC0ED5"/>
    <w:rsid w:val="00FC0F8C"/>
    <w:rsid w:val="00FC2219"/>
    <w:rsid w:val="00FC2544"/>
    <w:rsid w:val="00FC2CEC"/>
    <w:rsid w:val="00FC2F2E"/>
    <w:rsid w:val="00FC30FE"/>
    <w:rsid w:val="00FC4997"/>
    <w:rsid w:val="00FC5758"/>
    <w:rsid w:val="00FC5792"/>
    <w:rsid w:val="00FC6B0B"/>
    <w:rsid w:val="00FC6C2F"/>
    <w:rsid w:val="00FC7637"/>
    <w:rsid w:val="00FD04A4"/>
    <w:rsid w:val="00FD0DAD"/>
    <w:rsid w:val="00FD16D4"/>
    <w:rsid w:val="00FD1BD9"/>
    <w:rsid w:val="00FD2659"/>
    <w:rsid w:val="00FD276E"/>
    <w:rsid w:val="00FD27D7"/>
    <w:rsid w:val="00FD2870"/>
    <w:rsid w:val="00FD28F6"/>
    <w:rsid w:val="00FD2961"/>
    <w:rsid w:val="00FD2A94"/>
    <w:rsid w:val="00FD2ACF"/>
    <w:rsid w:val="00FD2BF7"/>
    <w:rsid w:val="00FD3370"/>
    <w:rsid w:val="00FD3BF8"/>
    <w:rsid w:val="00FD3D08"/>
    <w:rsid w:val="00FD4A04"/>
    <w:rsid w:val="00FD5B60"/>
    <w:rsid w:val="00FD5D01"/>
    <w:rsid w:val="00FD65AD"/>
    <w:rsid w:val="00FD6C88"/>
    <w:rsid w:val="00FD79C2"/>
    <w:rsid w:val="00FD7A27"/>
    <w:rsid w:val="00FE02B3"/>
    <w:rsid w:val="00FE0676"/>
    <w:rsid w:val="00FE11B7"/>
    <w:rsid w:val="00FE124C"/>
    <w:rsid w:val="00FE13D0"/>
    <w:rsid w:val="00FE1590"/>
    <w:rsid w:val="00FE1747"/>
    <w:rsid w:val="00FE1FA8"/>
    <w:rsid w:val="00FE24A6"/>
    <w:rsid w:val="00FE28A0"/>
    <w:rsid w:val="00FE2958"/>
    <w:rsid w:val="00FE2ED6"/>
    <w:rsid w:val="00FE337F"/>
    <w:rsid w:val="00FE34C1"/>
    <w:rsid w:val="00FE39A1"/>
    <w:rsid w:val="00FE3DF5"/>
    <w:rsid w:val="00FE4308"/>
    <w:rsid w:val="00FE48CD"/>
    <w:rsid w:val="00FE491C"/>
    <w:rsid w:val="00FE4DD6"/>
    <w:rsid w:val="00FE505D"/>
    <w:rsid w:val="00FE54BC"/>
    <w:rsid w:val="00FE62CB"/>
    <w:rsid w:val="00FE6916"/>
    <w:rsid w:val="00FE6B37"/>
    <w:rsid w:val="00FF03BB"/>
    <w:rsid w:val="00FF0626"/>
    <w:rsid w:val="00FF0677"/>
    <w:rsid w:val="00FF0F93"/>
    <w:rsid w:val="00FF109E"/>
    <w:rsid w:val="00FF1A3C"/>
    <w:rsid w:val="00FF208B"/>
    <w:rsid w:val="00FF2377"/>
    <w:rsid w:val="00FF243E"/>
    <w:rsid w:val="00FF2D1D"/>
    <w:rsid w:val="00FF30E9"/>
    <w:rsid w:val="00FF3E59"/>
    <w:rsid w:val="00FF3FE7"/>
    <w:rsid w:val="00FF425E"/>
    <w:rsid w:val="00FF4DAB"/>
    <w:rsid w:val="00FF4F38"/>
    <w:rsid w:val="00FF6374"/>
    <w:rsid w:val="00FF6506"/>
    <w:rsid w:val="00FF69C5"/>
    <w:rsid w:val="00FF6C3D"/>
    <w:rsid w:val="00FF720A"/>
    <w:rsid w:val="00FF7D7E"/>
    <w:rsid w:val="0318B9F2"/>
    <w:rsid w:val="4217B8B4"/>
    <w:rsid w:val="5FA3F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6507339D"/>
  <w15:docId w15:val="{69E0899A-A979-4B82-A452-5EE8B0497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link w:val="Heading1Char"/>
    <w:qFormat/>
    <w:pPr>
      <w:keepNext/>
      <w:outlineLvl w:val="0"/>
    </w:pPr>
    <w:rPr>
      <w:b/>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semiHidden/>
    <w:unhideWhenUsed/>
    <w:qFormat/>
    <w:rsid w:val="001A03CC"/>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style>
  <w:style w:type="paragraph" w:styleId="BodyText2">
    <w:name w:val="Body Text 2"/>
    <w:basedOn w:val="Normal"/>
    <w:pPr>
      <w:jc w:val="both"/>
    </w:pPr>
    <w:rPr>
      <w:color w:val="000000"/>
    </w:rPr>
  </w:style>
  <w:style w:type="paragraph" w:styleId="FootnoteText">
    <w:name w:val="footnote text"/>
    <w:aliases w:val="Footnote Text Char1 Char,TBG Style Char Char Char,Footnote Text Char2,Footnote Text Char1,TBG Style Char Char,Footnote Text Char3 Char,Footnote Text Char Char Char,Footnote Text Char1 Char Char Char,Footnote Text Char3,f,fn,fn Char Char,ft"/>
    <w:basedOn w:val="Normal"/>
    <w:link w:val="FootnoteTextChar"/>
    <w:uiPriority w:val="99"/>
    <w:rPr>
      <w:sz w:val="20"/>
    </w:rPr>
  </w:style>
  <w:style w:type="character" w:styleId="FootnoteReference">
    <w:name w:val="footnote reference"/>
    <w:aliases w:val="o,fr,Style 3,o1,o2,o3,o4,o5,o6,o11,o21,o7,Style 13,Style 12,Style 15,Style 17,Style 9,fr1,fr2,fr3,Style 18,(NECG) Footnote Reference,Style 20,Style 7,Style 8,Style 19,Style 5,Styl,Style 28,Style 11,Style 16"/>
    <w:uiPriority w:val="99"/>
    <w:qFormat/>
    <w:rPr>
      <w:vertAlign w:val="superscript"/>
    </w:rPr>
  </w:style>
  <w:style w:type="character" w:styleId="Hyperlink">
    <w:name w:val="Hyperlink"/>
    <w:rPr>
      <w:color w:val="0000FF"/>
      <w:u w:val="single"/>
    </w:rPr>
  </w:style>
  <w:style w:type="paragraph" w:styleId="BalloonText">
    <w:name w:val="Balloon Text"/>
    <w:basedOn w:val="Normal"/>
    <w:semiHidden/>
    <w:rsid w:val="00B93F90"/>
    <w:rPr>
      <w:rFonts w:ascii="Tahoma" w:hAnsi="Tahoma" w:cs="Tahoma"/>
      <w:sz w:val="16"/>
      <w:szCs w:val="16"/>
    </w:rPr>
  </w:style>
  <w:style w:type="character" w:customStyle="1" w:styleId="FootnoteTextChar">
    <w:name w:val="Footnote Text Char"/>
    <w:aliases w:val="Footnote Text Char1 Char Char,TBG Style Char Char Char Char,Footnote Text Char2 Char,Footnote Text Char1 Char1,TBG Style Char Char Char1,Footnote Text Char3 Char Char,Footnote Text Char Char Char Char,Footnote Text Char3 Char1,f Char"/>
    <w:link w:val="FootnoteText"/>
    <w:uiPriority w:val="99"/>
    <w:rsid w:val="00390DAA"/>
    <w:rPr>
      <w:rFonts w:ascii="Arial" w:hAnsi="Arial"/>
    </w:rPr>
  </w:style>
  <w:style w:type="paragraph" w:styleId="NoSpacing">
    <w:name w:val="No Spacing"/>
    <w:uiPriority w:val="1"/>
    <w:qFormat/>
    <w:rsid w:val="00025D03"/>
    <w:rPr>
      <w:rFonts w:ascii="Calibri" w:eastAsia="Calibri" w:hAnsi="Calibri"/>
      <w:sz w:val="22"/>
      <w:szCs w:val="22"/>
    </w:rPr>
  </w:style>
  <w:style w:type="paragraph" w:styleId="EndnoteText">
    <w:name w:val="endnote text"/>
    <w:basedOn w:val="Normal"/>
    <w:link w:val="EndnoteTextChar"/>
    <w:uiPriority w:val="99"/>
    <w:unhideWhenUsed/>
    <w:rsid w:val="00025D03"/>
    <w:pPr>
      <w:overflowPunct/>
      <w:autoSpaceDE/>
      <w:autoSpaceDN/>
      <w:adjustRightInd/>
      <w:textAlignment w:val="auto"/>
    </w:pPr>
    <w:rPr>
      <w:rFonts w:ascii="Calibri" w:eastAsia="Calibri" w:hAnsi="Calibri"/>
      <w:sz w:val="20"/>
    </w:rPr>
  </w:style>
  <w:style w:type="character" w:customStyle="1" w:styleId="EndnoteTextChar">
    <w:name w:val="Endnote Text Char"/>
    <w:link w:val="EndnoteText"/>
    <w:uiPriority w:val="99"/>
    <w:rsid w:val="00025D03"/>
    <w:rPr>
      <w:rFonts w:ascii="Calibri" w:eastAsia="Calibri" w:hAnsi="Calibri"/>
    </w:rPr>
  </w:style>
  <w:style w:type="character" w:styleId="EndnoteReference">
    <w:name w:val="endnote reference"/>
    <w:uiPriority w:val="99"/>
    <w:unhideWhenUsed/>
    <w:rsid w:val="00025D03"/>
    <w:rPr>
      <w:vertAlign w:val="superscript"/>
    </w:rPr>
  </w:style>
  <w:style w:type="character" w:styleId="CommentReference">
    <w:name w:val="annotation reference"/>
    <w:uiPriority w:val="99"/>
    <w:rsid w:val="00EE51C7"/>
    <w:rPr>
      <w:sz w:val="16"/>
      <w:szCs w:val="16"/>
    </w:rPr>
  </w:style>
  <w:style w:type="paragraph" w:styleId="CommentText">
    <w:name w:val="annotation text"/>
    <w:basedOn w:val="Normal"/>
    <w:link w:val="CommentTextChar"/>
    <w:uiPriority w:val="99"/>
    <w:rsid w:val="00EE51C7"/>
    <w:rPr>
      <w:sz w:val="20"/>
    </w:rPr>
  </w:style>
  <w:style w:type="character" w:customStyle="1" w:styleId="CommentTextChar">
    <w:name w:val="Comment Text Char"/>
    <w:link w:val="CommentText"/>
    <w:uiPriority w:val="99"/>
    <w:rsid w:val="00EE51C7"/>
    <w:rPr>
      <w:rFonts w:ascii="Arial" w:hAnsi="Arial"/>
    </w:rPr>
  </w:style>
  <w:style w:type="paragraph" w:styleId="CommentSubject">
    <w:name w:val="annotation subject"/>
    <w:basedOn w:val="CommentText"/>
    <w:next w:val="CommentText"/>
    <w:link w:val="CommentSubjectChar"/>
    <w:rsid w:val="00EE51C7"/>
    <w:rPr>
      <w:b/>
      <w:bCs/>
    </w:rPr>
  </w:style>
  <w:style w:type="character" w:customStyle="1" w:styleId="CommentSubjectChar">
    <w:name w:val="Comment Subject Char"/>
    <w:link w:val="CommentSubject"/>
    <w:rsid w:val="00EE51C7"/>
    <w:rPr>
      <w:rFonts w:ascii="Arial" w:hAnsi="Arial"/>
      <w:b/>
      <w:bCs/>
    </w:rPr>
  </w:style>
  <w:style w:type="paragraph" w:styleId="ListParagraph">
    <w:name w:val="List Paragraph"/>
    <w:basedOn w:val="Normal"/>
    <w:uiPriority w:val="34"/>
    <w:qFormat/>
    <w:rsid w:val="003702AA"/>
    <w:pPr>
      <w:ind w:left="720"/>
      <w:contextualSpacing/>
    </w:pPr>
  </w:style>
  <w:style w:type="table" w:styleId="TableGrid">
    <w:name w:val="Table Grid"/>
    <w:basedOn w:val="TableNormal"/>
    <w:uiPriority w:val="59"/>
    <w:rsid w:val="006C2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36B63"/>
    <w:pPr>
      <w:autoSpaceDE w:val="0"/>
      <w:autoSpaceDN w:val="0"/>
      <w:adjustRightInd w:val="0"/>
    </w:pPr>
    <w:rPr>
      <w:rFonts w:ascii="Book Antiqua" w:hAnsi="Book Antiqua" w:cs="Book Antiqua"/>
      <w:color w:val="000000"/>
      <w:sz w:val="24"/>
      <w:szCs w:val="24"/>
    </w:rPr>
  </w:style>
  <w:style w:type="paragraph" w:styleId="Revision">
    <w:name w:val="Revision"/>
    <w:hidden/>
    <w:uiPriority w:val="99"/>
    <w:semiHidden/>
    <w:rsid w:val="00094951"/>
    <w:rPr>
      <w:rFonts w:ascii="Arial" w:hAnsi="Arial"/>
      <w:sz w:val="24"/>
    </w:rPr>
  </w:style>
  <w:style w:type="character" w:customStyle="1" w:styleId="Heading1Char">
    <w:name w:val="Heading 1 Char"/>
    <w:basedOn w:val="DefaultParagraphFont"/>
    <w:link w:val="Heading1"/>
    <w:rsid w:val="00D43C39"/>
    <w:rPr>
      <w:rFonts w:ascii="Arial" w:hAnsi="Arial"/>
      <w:b/>
      <w:sz w:val="24"/>
      <w:u w:val="single"/>
    </w:rPr>
  </w:style>
  <w:style w:type="paragraph" w:styleId="ListBullet">
    <w:name w:val="List Bullet"/>
    <w:basedOn w:val="Normal"/>
    <w:rsid w:val="006A648F"/>
    <w:pPr>
      <w:numPr>
        <w:numId w:val="5"/>
      </w:numPr>
      <w:contextualSpacing/>
    </w:pPr>
  </w:style>
  <w:style w:type="paragraph" w:styleId="Subtitle">
    <w:name w:val="Subtitle"/>
    <w:basedOn w:val="Normal"/>
    <w:next w:val="Normal"/>
    <w:link w:val="SubtitleChar"/>
    <w:qFormat/>
    <w:rsid w:val="00B33AA2"/>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B33AA2"/>
    <w:rPr>
      <w:rFonts w:asciiTheme="majorHAnsi" w:eastAsiaTheme="majorEastAsia" w:hAnsiTheme="majorHAnsi" w:cstheme="majorBidi"/>
      <w:i/>
      <w:iCs/>
      <w:color w:val="4F81BD" w:themeColor="accent1"/>
      <w:spacing w:val="15"/>
      <w:sz w:val="24"/>
      <w:szCs w:val="24"/>
    </w:rPr>
  </w:style>
  <w:style w:type="paragraph" w:styleId="PlainText">
    <w:name w:val="Plain Text"/>
    <w:basedOn w:val="Normal"/>
    <w:link w:val="PlainTextChar"/>
    <w:uiPriority w:val="99"/>
    <w:unhideWhenUsed/>
    <w:rsid w:val="00917B4A"/>
    <w:pPr>
      <w:overflowPunct/>
      <w:autoSpaceDE/>
      <w:autoSpaceDN/>
      <w:adjustRightInd/>
      <w:textAlignment w:val="auto"/>
    </w:pPr>
    <w:rPr>
      <w:rFonts w:ascii="Calibri" w:hAnsi="Calibri"/>
      <w:sz w:val="22"/>
      <w:szCs w:val="21"/>
    </w:rPr>
  </w:style>
  <w:style w:type="character" w:customStyle="1" w:styleId="PlainTextChar">
    <w:name w:val="Plain Text Char"/>
    <w:basedOn w:val="DefaultParagraphFont"/>
    <w:link w:val="PlainText"/>
    <w:uiPriority w:val="99"/>
    <w:rsid w:val="00917B4A"/>
    <w:rPr>
      <w:rFonts w:ascii="Calibri" w:hAnsi="Calibri"/>
      <w:sz w:val="22"/>
      <w:szCs w:val="21"/>
    </w:rPr>
  </w:style>
  <w:style w:type="character" w:customStyle="1" w:styleId="Heading3Char">
    <w:name w:val="Heading 3 Char"/>
    <w:basedOn w:val="DefaultParagraphFont"/>
    <w:link w:val="Heading3"/>
    <w:semiHidden/>
    <w:rsid w:val="001A03CC"/>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8F4DEF"/>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UnresolvedMention1">
    <w:name w:val="Unresolved Mention1"/>
    <w:basedOn w:val="DefaultParagraphFont"/>
    <w:uiPriority w:val="99"/>
    <w:semiHidden/>
    <w:unhideWhenUsed/>
    <w:rsid w:val="00392BBF"/>
    <w:rPr>
      <w:color w:val="808080"/>
      <w:shd w:val="clear" w:color="auto" w:fill="E6E6E6"/>
    </w:rPr>
  </w:style>
  <w:style w:type="character" w:customStyle="1" w:styleId="UnresolvedMention2">
    <w:name w:val="Unresolved Mention2"/>
    <w:basedOn w:val="DefaultParagraphFont"/>
    <w:uiPriority w:val="99"/>
    <w:semiHidden/>
    <w:unhideWhenUsed/>
    <w:rsid w:val="0017319B"/>
    <w:rPr>
      <w:color w:val="808080"/>
      <w:shd w:val="clear" w:color="auto" w:fill="E6E6E6"/>
    </w:rPr>
  </w:style>
  <w:style w:type="character" w:customStyle="1" w:styleId="HeaderChar">
    <w:name w:val="Header Char"/>
    <w:basedOn w:val="DefaultParagraphFont"/>
    <w:link w:val="Header"/>
    <w:uiPriority w:val="99"/>
    <w:rsid w:val="003E51DC"/>
    <w:rPr>
      <w:rFonts w:ascii="Arial" w:hAnsi="Arial"/>
      <w:sz w:val="24"/>
    </w:rPr>
  </w:style>
  <w:style w:type="character" w:customStyle="1" w:styleId="UnresolvedMention3">
    <w:name w:val="Unresolved Mention3"/>
    <w:basedOn w:val="DefaultParagraphFont"/>
    <w:uiPriority w:val="99"/>
    <w:semiHidden/>
    <w:unhideWhenUsed/>
    <w:rsid w:val="004B7D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1669">
      <w:bodyDiv w:val="1"/>
      <w:marLeft w:val="0"/>
      <w:marRight w:val="0"/>
      <w:marTop w:val="0"/>
      <w:marBottom w:val="0"/>
      <w:divBdr>
        <w:top w:val="none" w:sz="0" w:space="0" w:color="auto"/>
        <w:left w:val="none" w:sz="0" w:space="0" w:color="auto"/>
        <w:bottom w:val="none" w:sz="0" w:space="0" w:color="auto"/>
        <w:right w:val="none" w:sz="0" w:space="0" w:color="auto"/>
      </w:divBdr>
    </w:div>
    <w:div w:id="20787779">
      <w:bodyDiv w:val="1"/>
      <w:marLeft w:val="0"/>
      <w:marRight w:val="0"/>
      <w:marTop w:val="0"/>
      <w:marBottom w:val="0"/>
      <w:divBdr>
        <w:top w:val="none" w:sz="0" w:space="0" w:color="auto"/>
        <w:left w:val="none" w:sz="0" w:space="0" w:color="auto"/>
        <w:bottom w:val="none" w:sz="0" w:space="0" w:color="auto"/>
        <w:right w:val="none" w:sz="0" w:space="0" w:color="auto"/>
      </w:divBdr>
    </w:div>
    <w:div w:id="27801725">
      <w:bodyDiv w:val="1"/>
      <w:marLeft w:val="0"/>
      <w:marRight w:val="0"/>
      <w:marTop w:val="0"/>
      <w:marBottom w:val="0"/>
      <w:divBdr>
        <w:top w:val="none" w:sz="0" w:space="0" w:color="auto"/>
        <w:left w:val="none" w:sz="0" w:space="0" w:color="auto"/>
        <w:bottom w:val="none" w:sz="0" w:space="0" w:color="auto"/>
        <w:right w:val="none" w:sz="0" w:space="0" w:color="auto"/>
      </w:divBdr>
    </w:div>
    <w:div w:id="38167409">
      <w:bodyDiv w:val="1"/>
      <w:marLeft w:val="0"/>
      <w:marRight w:val="0"/>
      <w:marTop w:val="0"/>
      <w:marBottom w:val="0"/>
      <w:divBdr>
        <w:top w:val="none" w:sz="0" w:space="0" w:color="auto"/>
        <w:left w:val="none" w:sz="0" w:space="0" w:color="auto"/>
        <w:bottom w:val="none" w:sz="0" w:space="0" w:color="auto"/>
        <w:right w:val="none" w:sz="0" w:space="0" w:color="auto"/>
      </w:divBdr>
    </w:div>
    <w:div w:id="38434919">
      <w:bodyDiv w:val="1"/>
      <w:marLeft w:val="0"/>
      <w:marRight w:val="0"/>
      <w:marTop w:val="0"/>
      <w:marBottom w:val="0"/>
      <w:divBdr>
        <w:top w:val="none" w:sz="0" w:space="0" w:color="auto"/>
        <w:left w:val="none" w:sz="0" w:space="0" w:color="auto"/>
        <w:bottom w:val="none" w:sz="0" w:space="0" w:color="auto"/>
        <w:right w:val="none" w:sz="0" w:space="0" w:color="auto"/>
      </w:divBdr>
    </w:div>
    <w:div w:id="43601559">
      <w:bodyDiv w:val="1"/>
      <w:marLeft w:val="0"/>
      <w:marRight w:val="0"/>
      <w:marTop w:val="0"/>
      <w:marBottom w:val="0"/>
      <w:divBdr>
        <w:top w:val="none" w:sz="0" w:space="0" w:color="auto"/>
        <w:left w:val="none" w:sz="0" w:space="0" w:color="auto"/>
        <w:bottom w:val="none" w:sz="0" w:space="0" w:color="auto"/>
        <w:right w:val="none" w:sz="0" w:space="0" w:color="auto"/>
      </w:divBdr>
    </w:div>
    <w:div w:id="58721296">
      <w:bodyDiv w:val="1"/>
      <w:marLeft w:val="0"/>
      <w:marRight w:val="0"/>
      <w:marTop w:val="0"/>
      <w:marBottom w:val="0"/>
      <w:divBdr>
        <w:top w:val="none" w:sz="0" w:space="0" w:color="auto"/>
        <w:left w:val="none" w:sz="0" w:space="0" w:color="auto"/>
        <w:bottom w:val="none" w:sz="0" w:space="0" w:color="auto"/>
        <w:right w:val="none" w:sz="0" w:space="0" w:color="auto"/>
      </w:divBdr>
    </w:div>
    <w:div w:id="65961873">
      <w:bodyDiv w:val="1"/>
      <w:marLeft w:val="0"/>
      <w:marRight w:val="0"/>
      <w:marTop w:val="0"/>
      <w:marBottom w:val="0"/>
      <w:divBdr>
        <w:top w:val="none" w:sz="0" w:space="0" w:color="auto"/>
        <w:left w:val="none" w:sz="0" w:space="0" w:color="auto"/>
        <w:bottom w:val="none" w:sz="0" w:space="0" w:color="auto"/>
        <w:right w:val="none" w:sz="0" w:space="0" w:color="auto"/>
      </w:divBdr>
      <w:divsChild>
        <w:div w:id="2022581984">
          <w:marLeft w:val="1166"/>
          <w:marRight w:val="0"/>
          <w:marTop w:val="200"/>
          <w:marBottom w:val="0"/>
          <w:divBdr>
            <w:top w:val="none" w:sz="0" w:space="0" w:color="auto"/>
            <w:left w:val="none" w:sz="0" w:space="0" w:color="auto"/>
            <w:bottom w:val="none" w:sz="0" w:space="0" w:color="auto"/>
            <w:right w:val="none" w:sz="0" w:space="0" w:color="auto"/>
          </w:divBdr>
        </w:div>
      </w:divsChild>
    </w:div>
    <w:div w:id="67922320">
      <w:bodyDiv w:val="1"/>
      <w:marLeft w:val="0"/>
      <w:marRight w:val="0"/>
      <w:marTop w:val="0"/>
      <w:marBottom w:val="0"/>
      <w:divBdr>
        <w:top w:val="none" w:sz="0" w:space="0" w:color="auto"/>
        <w:left w:val="none" w:sz="0" w:space="0" w:color="auto"/>
        <w:bottom w:val="none" w:sz="0" w:space="0" w:color="auto"/>
        <w:right w:val="none" w:sz="0" w:space="0" w:color="auto"/>
      </w:divBdr>
    </w:div>
    <w:div w:id="85536592">
      <w:bodyDiv w:val="1"/>
      <w:marLeft w:val="0"/>
      <w:marRight w:val="0"/>
      <w:marTop w:val="0"/>
      <w:marBottom w:val="0"/>
      <w:divBdr>
        <w:top w:val="none" w:sz="0" w:space="0" w:color="auto"/>
        <w:left w:val="none" w:sz="0" w:space="0" w:color="auto"/>
        <w:bottom w:val="none" w:sz="0" w:space="0" w:color="auto"/>
        <w:right w:val="none" w:sz="0" w:space="0" w:color="auto"/>
      </w:divBdr>
    </w:div>
    <w:div w:id="106896637">
      <w:bodyDiv w:val="1"/>
      <w:marLeft w:val="0"/>
      <w:marRight w:val="0"/>
      <w:marTop w:val="0"/>
      <w:marBottom w:val="0"/>
      <w:divBdr>
        <w:top w:val="none" w:sz="0" w:space="0" w:color="auto"/>
        <w:left w:val="none" w:sz="0" w:space="0" w:color="auto"/>
        <w:bottom w:val="none" w:sz="0" w:space="0" w:color="auto"/>
        <w:right w:val="none" w:sz="0" w:space="0" w:color="auto"/>
      </w:divBdr>
    </w:div>
    <w:div w:id="117992074">
      <w:bodyDiv w:val="1"/>
      <w:marLeft w:val="0"/>
      <w:marRight w:val="0"/>
      <w:marTop w:val="0"/>
      <w:marBottom w:val="0"/>
      <w:divBdr>
        <w:top w:val="none" w:sz="0" w:space="0" w:color="auto"/>
        <w:left w:val="none" w:sz="0" w:space="0" w:color="auto"/>
        <w:bottom w:val="none" w:sz="0" w:space="0" w:color="auto"/>
        <w:right w:val="none" w:sz="0" w:space="0" w:color="auto"/>
      </w:divBdr>
      <w:divsChild>
        <w:div w:id="1997109016">
          <w:marLeft w:val="1166"/>
          <w:marRight w:val="0"/>
          <w:marTop w:val="200"/>
          <w:marBottom w:val="0"/>
          <w:divBdr>
            <w:top w:val="none" w:sz="0" w:space="0" w:color="auto"/>
            <w:left w:val="none" w:sz="0" w:space="0" w:color="auto"/>
            <w:bottom w:val="none" w:sz="0" w:space="0" w:color="auto"/>
            <w:right w:val="none" w:sz="0" w:space="0" w:color="auto"/>
          </w:divBdr>
        </w:div>
      </w:divsChild>
    </w:div>
    <w:div w:id="122695936">
      <w:bodyDiv w:val="1"/>
      <w:marLeft w:val="0"/>
      <w:marRight w:val="0"/>
      <w:marTop w:val="0"/>
      <w:marBottom w:val="0"/>
      <w:divBdr>
        <w:top w:val="none" w:sz="0" w:space="0" w:color="auto"/>
        <w:left w:val="none" w:sz="0" w:space="0" w:color="auto"/>
        <w:bottom w:val="none" w:sz="0" w:space="0" w:color="auto"/>
        <w:right w:val="none" w:sz="0" w:space="0" w:color="auto"/>
      </w:divBdr>
    </w:div>
    <w:div w:id="124741813">
      <w:bodyDiv w:val="1"/>
      <w:marLeft w:val="0"/>
      <w:marRight w:val="0"/>
      <w:marTop w:val="0"/>
      <w:marBottom w:val="0"/>
      <w:divBdr>
        <w:top w:val="none" w:sz="0" w:space="0" w:color="auto"/>
        <w:left w:val="none" w:sz="0" w:space="0" w:color="auto"/>
        <w:bottom w:val="none" w:sz="0" w:space="0" w:color="auto"/>
        <w:right w:val="none" w:sz="0" w:space="0" w:color="auto"/>
      </w:divBdr>
    </w:div>
    <w:div w:id="136652346">
      <w:bodyDiv w:val="1"/>
      <w:marLeft w:val="0"/>
      <w:marRight w:val="0"/>
      <w:marTop w:val="0"/>
      <w:marBottom w:val="0"/>
      <w:divBdr>
        <w:top w:val="none" w:sz="0" w:space="0" w:color="auto"/>
        <w:left w:val="none" w:sz="0" w:space="0" w:color="auto"/>
        <w:bottom w:val="none" w:sz="0" w:space="0" w:color="auto"/>
        <w:right w:val="none" w:sz="0" w:space="0" w:color="auto"/>
      </w:divBdr>
    </w:div>
    <w:div w:id="148177307">
      <w:bodyDiv w:val="1"/>
      <w:marLeft w:val="0"/>
      <w:marRight w:val="0"/>
      <w:marTop w:val="0"/>
      <w:marBottom w:val="0"/>
      <w:divBdr>
        <w:top w:val="none" w:sz="0" w:space="0" w:color="auto"/>
        <w:left w:val="none" w:sz="0" w:space="0" w:color="auto"/>
        <w:bottom w:val="none" w:sz="0" w:space="0" w:color="auto"/>
        <w:right w:val="none" w:sz="0" w:space="0" w:color="auto"/>
      </w:divBdr>
    </w:div>
    <w:div w:id="149103456">
      <w:bodyDiv w:val="1"/>
      <w:marLeft w:val="0"/>
      <w:marRight w:val="0"/>
      <w:marTop w:val="0"/>
      <w:marBottom w:val="0"/>
      <w:divBdr>
        <w:top w:val="none" w:sz="0" w:space="0" w:color="auto"/>
        <w:left w:val="none" w:sz="0" w:space="0" w:color="auto"/>
        <w:bottom w:val="none" w:sz="0" w:space="0" w:color="auto"/>
        <w:right w:val="none" w:sz="0" w:space="0" w:color="auto"/>
      </w:divBdr>
    </w:div>
    <w:div w:id="169609560">
      <w:bodyDiv w:val="1"/>
      <w:marLeft w:val="0"/>
      <w:marRight w:val="0"/>
      <w:marTop w:val="0"/>
      <w:marBottom w:val="0"/>
      <w:divBdr>
        <w:top w:val="none" w:sz="0" w:space="0" w:color="auto"/>
        <w:left w:val="none" w:sz="0" w:space="0" w:color="auto"/>
        <w:bottom w:val="none" w:sz="0" w:space="0" w:color="auto"/>
        <w:right w:val="none" w:sz="0" w:space="0" w:color="auto"/>
      </w:divBdr>
    </w:div>
    <w:div w:id="199326580">
      <w:bodyDiv w:val="1"/>
      <w:marLeft w:val="0"/>
      <w:marRight w:val="0"/>
      <w:marTop w:val="0"/>
      <w:marBottom w:val="0"/>
      <w:divBdr>
        <w:top w:val="none" w:sz="0" w:space="0" w:color="auto"/>
        <w:left w:val="none" w:sz="0" w:space="0" w:color="auto"/>
        <w:bottom w:val="none" w:sz="0" w:space="0" w:color="auto"/>
        <w:right w:val="none" w:sz="0" w:space="0" w:color="auto"/>
      </w:divBdr>
    </w:div>
    <w:div w:id="205525867">
      <w:bodyDiv w:val="1"/>
      <w:marLeft w:val="0"/>
      <w:marRight w:val="0"/>
      <w:marTop w:val="0"/>
      <w:marBottom w:val="0"/>
      <w:divBdr>
        <w:top w:val="none" w:sz="0" w:space="0" w:color="auto"/>
        <w:left w:val="none" w:sz="0" w:space="0" w:color="auto"/>
        <w:bottom w:val="none" w:sz="0" w:space="0" w:color="auto"/>
        <w:right w:val="none" w:sz="0" w:space="0" w:color="auto"/>
      </w:divBdr>
    </w:div>
    <w:div w:id="213934273">
      <w:bodyDiv w:val="1"/>
      <w:marLeft w:val="0"/>
      <w:marRight w:val="0"/>
      <w:marTop w:val="0"/>
      <w:marBottom w:val="0"/>
      <w:divBdr>
        <w:top w:val="none" w:sz="0" w:space="0" w:color="auto"/>
        <w:left w:val="none" w:sz="0" w:space="0" w:color="auto"/>
        <w:bottom w:val="none" w:sz="0" w:space="0" w:color="auto"/>
        <w:right w:val="none" w:sz="0" w:space="0" w:color="auto"/>
      </w:divBdr>
    </w:div>
    <w:div w:id="221673607">
      <w:bodyDiv w:val="1"/>
      <w:marLeft w:val="0"/>
      <w:marRight w:val="0"/>
      <w:marTop w:val="0"/>
      <w:marBottom w:val="0"/>
      <w:divBdr>
        <w:top w:val="none" w:sz="0" w:space="0" w:color="auto"/>
        <w:left w:val="none" w:sz="0" w:space="0" w:color="auto"/>
        <w:bottom w:val="none" w:sz="0" w:space="0" w:color="auto"/>
        <w:right w:val="none" w:sz="0" w:space="0" w:color="auto"/>
      </w:divBdr>
    </w:div>
    <w:div w:id="227963666">
      <w:bodyDiv w:val="1"/>
      <w:marLeft w:val="0"/>
      <w:marRight w:val="0"/>
      <w:marTop w:val="0"/>
      <w:marBottom w:val="0"/>
      <w:divBdr>
        <w:top w:val="none" w:sz="0" w:space="0" w:color="auto"/>
        <w:left w:val="none" w:sz="0" w:space="0" w:color="auto"/>
        <w:bottom w:val="none" w:sz="0" w:space="0" w:color="auto"/>
        <w:right w:val="none" w:sz="0" w:space="0" w:color="auto"/>
      </w:divBdr>
    </w:div>
    <w:div w:id="243685718">
      <w:bodyDiv w:val="1"/>
      <w:marLeft w:val="0"/>
      <w:marRight w:val="0"/>
      <w:marTop w:val="0"/>
      <w:marBottom w:val="0"/>
      <w:divBdr>
        <w:top w:val="none" w:sz="0" w:space="0" w:color="auto"/>
        <w:left w:val="none" w:sz="0" w:space="0" w:color="auto"/>
        <w:bottom w:val="none" w:sz="0" w:space="0" w:color="auto"/>
        <w:right w:val="none" w:sz="0" w:space="0" w:color="auto"/>
      </w:divBdr>
    </w:div>
    <w:div w:id="257057654">
      <w:bodyDiv w:val="1"/>
      <w:marLeft w:val="0"/>
      <w:marRight w:val="0"/>
      <w:marTop w:val="0"/>
      <w:marBottom w:val="0"/>
      <w:divBdr>
        <w:top w:val="none" w:sz="0" w:space="0" w:color="auto"/>
        <w:left w:val="none" w:sz="0" w:space="0" w:color="auto"/>
        <w:bottom w:val="none" w:sz="0" w:space="0" w:color="auto"/>
        <w:right w:val="none" w:sz="0" w:space="0" w:color="auto"/>
      </w:divBdr>
    </w:div>
    <w:div w:id="267739111">
      <w:bodyDiv w:val="1"/>
      <w:marLeft w:val="0"/>
      <w:marRight w:val="0"/>
      <w:marTop w:val="0"/>
      <w:marBottom w:val="0"/>
      <w:divBdr>
        <w:top w:val="none" w:sz="0" w:space="0" w:color="auto"/>
        <w:left w:val="none" w:sz="0" w:space="0" w:color="auto"/>
        <w:bottom w:val="none" w:sz="0" w:space="0" w:color="auto"/>
        <w:right w:val="none" w:sz="0" w:space="0" w:color="auto"/>
      </w:divBdr>
    </w:div>
    <w:div w:id="282884616">
      <w:bodyDiv w:val="1"/>
      <w:marLeft w:val="0"/>
      <w:marRight w:val="0"/>
      <w:marTop w:val="0"/>
      <w:marBottom w:val="0"/>
      <w:divBdr>
        <w:top w:val="none" w:sz="0" w:space="0" w:color="auto"/>
        <w:left w:val="none" w:sz="0" w:space="0" w:color="auto"/>
        <w:bottom w:val="none" w:sz="0" w:space="0" w:color="auto"/>
        <w:right w:val="none" w:sz="0" w:space="0" w:color="auto"/>
      </w:divBdr>
    </w:div>
    <w:div w:id="284625000">
      <w:bodyDiv w:val="1"/>
      <w:marLeft w:val="0"/>
      <w:marRight w:val="0"/>
      <w:marTop w:val="0"/>
      <w:marBottom w:val="0"/>
      <w:divBdr>
        <w:top w:val="none" w:sz="0" w:space="0" w:color="auto"/>
        <w:left w:val="none" w:sz="0" w:space="0" w:color="auto"/>
        <w:bottom w:val="none" w:sz="0" w:space="0" w:color="auto"/>
        <w:right w:val="none" w:sz="0" w:space="0" w:color="auto"/>
      </w:divBdr>
    </w:div>
    <w:div w:id="298151161">
      <w:bodyDiv w:val="1"/>
      <w:marLeft w:val="0"/>
      <w:marRight w:val="0"/>
      <w:marTop w:val="0"/>
      <w:marBottom w:val="0"/>
      <w:divBdr>
        <w:top w:val="none" w:sz="0" w:space="0" w:color="auto"/>
        <w:left w:val="none" w:sz="0" w:space="0" w:color="auto"/>
        <w:bottom w:val="none" w:sz="0" w:space="0" w:color="auto"/>
        <w:right w:val="none" w:sz="0" w:space="0" w:color="auto"/>
      </w:divBdr>
    </w:div>
    <w:div w:id="304547162">
      <w:bodyDiv w:val="1"/>
      <w:marLeft w:val="0"/>
      <w:marRight w:val="0"/>
      <w:marTop w:val="0"/>
      <w:marBottom w:val="0"/>
      <w:divBdr>
        <w:top w:val="none" w:sz="0" w:space="0" w:color="auto"/>
        <w:left w:val="none" w:sz="0" w:space="0" w:color="auto"/>
        <w:bottom w:val="none" w:sz="0" w:space="0" w:color="auto"/>
        <w:right w:val="none" w:sz="0" w:space="0" w:color="auto"/>
      </w:divBdr>
    </w:div>
    <w:div w:id="316032389">
      <w:bodyDiv w:val="1"/>
      <w:marLeft w:val="0"/>
      <w:marRight w:val="0"/>
      <w:marTop w:val="0"/>
      <w:marBottom w:val="0"/>
      <w:divBdr>
        <w:top w:val="none" w:sz="0" w:space="0" w:color="auto"/>
        <w:left w:val="none" w:sz="0" w:space="0" w:color="auto"/>
        <w:bottom w:val="none" w:sz="0" w:space="0" w:color="auto"/>
        <w:right w:val="none" w:sz="0" w:space="0" w:color="auto"/>
      </w:divBdr>
    </w:div>
    <w:div w:id="320618941">
      <w:bodyDiv w:val="1"/>
      <w:marLeft w:val="0"/>
      <w:marRight w:val="0"/>
      <w:marTop w:val="0"/>
      <w:marBottom w:val="0"/>
      <w:divBdr>
        <w:top w:val="none" w:sz="0" w:space="0" w:color="auto"/>
        <w:left w:val="none" w:sz="0" w:space="0" w:color="auto"/>
        <w:bottom w:val="none" w:sz="0" w:space="0" w:color="auto"/>
        <w:right w:val="none" w:sz="0" w:space="0" w:color="auto"/>
      </w:divBdr>
    </w:div>
    <w:div w:id="326516753">
      <w:bodyDiv w:val="1"/>
      <w:marLeft w:val="0"/>
      <w:marRight w:val="0"/>
      <w:marTop w:val="0"/>
      <w:marBottom w:val="0"/>
      <w:divBdr>
        <w:top w:val="none" w:sz="0" w:space="0" w:color="auto"/>
        <w:left w:val="none" w:sz="0" w:space="0" w:color="auto"/>
        <w:bottom w:val="none" w:sz="0" w:space="0" w:color="auto"/>
        <w:right w:val="none" w:sz="0" w:space="0" w:color="auto"/>
      </w:divBdr>
    </w:div>
    <w:div w:id="340281968">
      <w:bodyDiv w:val="1"/>
      <w:marLeft w:val="0"/>
      <w:marRight w:val="0"/>
      <w:marTop w:val="0"/>
      <w:marBottom w:val="0"/>
      <w:divBdr>
        <w:top w:val="none" w:sz="0" w:space="0" w:color="auto"/>
        <w:left w:val="none" w:sz="0" w:space="0" w:color="auto"/>
        <w:bottom w:val="none" w:sz="0" w:space="0" w:color="auto"/>
        <w:right w:val="none" w:sz="0" w:space="0" w:color="auto"/>
      </w:divBdr>
    </w:div>
    <w:div w:id="351958449">
      <w:bodyDiv w:val="1"/>
      <w:marLeft w:val="0"/>
      <w:marRight w:val="0"/>
      <w:marTop w:val="0"/>
      <w:marBottom w:val="0"/>
      <w:divBdr>
        <w:top w:val="none" w:sz="0" w:space="0" w:color="auto"/>
        <w:left w:val="none" w:sz="0" w:space="0" w:color="auto"/>
        <w:bottom w:val="none" w:sz="0" w:space="0" w:color="auto"/>
        <w:right w:val="none" w:sz="0" w:space="0" w:color="auto"/>
      </w:divBdr>
    </w:div>
    <w:div w:id="381634452">
      <w:bodyDiv w:val="1"/>
      <w:marLeft w:val="0"/>
      <w:marRight w:val="0"/>
      <w:marTop w:val="0"/>
      <w:marBottom w:val="0"/>
      <w:divBdr>
        <w:top w:val="none" w:sz="0" w:space="0" w:color="auto"/>
        <w:left w:val="none" w:sz="0" w:space="0" w:color="auto"/>
        <w:bottom w:val="none" w:sz="0" w:space="0" w:color="auto"/>
        <w:right w:val="none" w:sz="0" w:space="0" w:color="auto"/>
      </w:divBdr>
    </w:div>
    <w:div w:id="401559437">
      <w:bodyDiv w:val="1"/>
      <w:marLeft w:val="0"/>
      <w:marRight w:val="0"/>
      <w:marTop w:val="0"/>
      <w:marBottom w:val="0"/>
      <w:divBdr>
        <w:top w:val="none" w:sz="0" w:space="0" w:color="auto"/>
        <w:left w:val="none" w:sz="0" w:space="0" w:color="auto"/>
        <w:bottom w:val="none" w:sz="0" w:space="0" w:color="auto"/>
        <w:right w:val="none" w:sz="0" w:space="0" w:color="auto"/>
      </w:divBdr>
    </w:div>
    <w:div w:id="405688983">
      <w:bodyDiv w:val="1"/>
      <w:marLeft w:val="0"/>
      <w:marRight w:val="0"/>
      <w:marTop w:val="0"/>
      <w:marBottom w:val="0"/>
      <w:divBdr>
        <w:top w:val="none" w:sz="0" w:space="0" w:color="auto"/>
        <w:left w:val="none" w:sz="0" w:space="0" w:color="auto"/>
        <w:bottom w:val="none" w:sz="0" w:space="0" w:color="auto"/>
        <w:right w:val="none" w:sz="0" w:space="0" w:color="auto"/>
      </w:divBdr>
    </w:div>
    <w:div w:id="413011139">
      <w:bodyDiv w:val="1"/>
      <w:marLeft w:val="0"/>
      <w:marRight w:val="0"/>
      <w:marTop w:val="0"/>
      <w:marBottom w:val="0"/>
      <w:divBdr>
        <w:top w:val="none" w:sz="0" w:space="0" w:color="auto"/>
        <w:left w:val="none" w:sz="0" w:space="0" w:color="auto"/>
        <w:bottom w:val="none" w:sz="0" w:space="0" w:color="auto"/>
        <w:right w:val="none" w:sz="0" w:space="0" w:color="auto"/>
      </w:divBdr>
    </w:div>
    <w:div w:id="417093917">
      <w:bodyDiv w:val="1"/>
      <w:marLeft w:val="0"/>
      <w:marRight w:val="0"/>
      <w:marTop w:val="0"/>
      <w:marBottom w:val="0"/>
      <w:divBdr>
        <w:top w:val="none" w:sz="0" w:space="0" w:color="auto"/>
        <w:left w:val="none" w:sz="0" w:space="0" w:color="auto"/>
        <w:bottom w:val="none" w:sz="0" w:space="0" w:color="auto"/>
        <w:right w:val="none" w:sz="0" w:space="0" w:color="auto"/>
      </w:divBdr>
    </w:div>
    <w:div w:id="439418951">
      <w:bodyDiv w:val="1"/>
      <w:marLeft w:val="0"/>
      <w:marRight w:val="0"/>
      <w:marTop w:val="0"/>
      <w:marBottom w:val="0"/>
      <w:divBdr>
        <w:top w:val="none" w:sz="0" w:space="0" w:color="auto"/>
        <w:left w:val="none" w:sz="0" w:space="0" w:color="auto"/>
        <w:bottom w:val="none" w:sz="0" w:space="0" w:color="auto"/>
        <w:right w:val="none" w:sz="0" w:space="0" w:color="auto"/>
      </w:divBdr>
    </w:div>
    <w:div w:id="444814531">
      <w:bodyDiv w:val="1"/>
      <w:marLeft w:val="0"/>
      <w:marRight w:val="0"/>
      <w:marTop w:val="0"/>
      <w:marBottom w:val="0"/>
      <w:divBdr>
        <w:top w:val="none" w:sz="0" w:space="0" w:color="auto"/>
        <w:left w:val="none" w:sz="0" w:space="0" w:color="auto"/>
        <w:bottom w:val="none" w:sz="0" w:space="0" w:color="auto"/>
        <w:right w:val="none" w:sz="0" w:space="0" w:color="auto"/>
      </w:divBdr>
    </w:div>
    <w:div w:id="448281905">
      <w:bodyDiv w:val="1"/>
      <w:marLeft w:val="0"/>
      <w:marRight w:val="0"/>
      <w:marTop w:val="0"/>
      <w:marBottom w:val="0"/>
      <w:divBdr>
        <w:top w:val="none" w:sz="0" w:space="0" w:color="auto"/>
        <w:left w:val="none" w:sz="0" w:space="0" w:color="auto"/>
        <w:bottom w:val="none" w:sz="0" w:space="0" w:color="auto"/>
        <w:right w:val="none" w:sz="0" w:space="0" w:color="auto"/>
      </w:divBdr>
    </w:div>
    <w:div w:id="456219174">
      <w:bodyDiv w:val="1"/>
      <w:marLeft w:val="0"/>
      <w:marRight w:val="0"/>
      <w:marTop w:val="0"/>
      <w:marBottom w:val="0"/>
      <w:divBdr>
        <w:top w:val="none" w:sz="0" w:space="0" w:color="auto"/>
        <w:left w:val="none" w:sz="0" w:space="0" w:color="auto"/>
        <w:bottom w:val="none" w:sz="0" w:space="0" w:color="auto"/>
        <w:right w:val="none" w:sz="0" w:space="0" w:color="auto"/>
      </w:divBdr>
    </w:div>
    <w:div w:id="467821929">
      <w:bodyDiv w:val="1"/>
      <w:marLeft w:val="0"/>
      <w:marRight w:val="0"/>
      <w:marTop w:val="0"/>
      <w:marBottom w:val="0"/>
      <w:divBdr>
        <w:top w:val="none" w:sz="0" w:space="0" w:color="auto"/>
        <w:left w:val="none" w:sz="0" w:space="0" w:color="auto"/>
        <w:bottom w:val="none" w:sz="0" w:space="0" w:color="auto"/>
        <w:right w:val="none" w:sz="0" w:space="0" w:color="auto"/>
      </w:divBdr>
    </w:div>
    <w:div w:id="509105381">
      <w:bodyDiv w:val="1"/>
      <w:marLeft w:val="0"/>
      <w:marRight w:val="0"/>
      <w:marTop w:val="0"/>
      <w:marBottom w:val="0"/>
      <w:divBdr>
        <w:top w:val="none" w:sz="0" w:space="0" w:color="auto"/>
        <w:left w:val="none" w:sz="0" w:space="0" w:color="auto"/>
        <w:bottom w:val="none" w:sz="0" w:space="0" w:color="auto"/>
        <w:right w:val="none" w:sz="0" w:space="0" w:color="auto"/>
      </w:divBdr>
    </w:div>
    <w:div w:id="521743328">
      <w:bodyDiv w:val="1"/>
      <w:marLeft w:val="0"/>
      <w:marRight w:val="0"/>
      <w:marTop w:val="0"/>
      <w:marBottom w:val="0"/>
      <w:divBdr>
        <w:top w:val="none" w:sz="0" w:space="0" w:color="auto"/>
        <w:left w:val="none" w:sz="0" w:space="0" w:color="auto"/>
        <w:bottom w:val="none" w:sz="0" w:space="0" w:color="auto"/>
        <w:right w:val="none" w:sz="0" w:space="0" w:color="auto"/>
      </w:divBdr>
    </w:div>
    <w:div w:id="523326542">
      <w:bodyDiv w:val="1"/>
      <w:marLeft w:val="0"/>
      <w:marRight w:val="0"/>
      <w:marTop w:val="0"/>
      <w:marBottom w:val="0"/>
      <w:divBdr>
        <w:top w:val="none" w:sz="0" w:space="0" w:color="auto"/>
        <w:left w:val="none" w:sz="0" w:space="0" w:color="auto"/>
        <w:bottom w:val="none" w:sz="0" w:space="0" w:color="auto"/>
        <w:right w:val="none" w:sz="0" w:space="0" w:color="auto"/>
      </w:divBdr>
    </w:div>
    <w:div w:id="524364286">
      <w:bodyDiv w:val="1"/>
      <w:marLeft w:val="0"/>
      <w:marRight w:val="0"/>
      <w:marTop w:val="0"/>
      <w:marBottom w:val="0"/>
      <w:divBdr>
        <w:top w:val="none" w:sz="0" w:space="0" w:color="auto"/>
        <w:left w:val="none" w:sz="0" w:space="0" w:color="auto"/>
        <w:bottom w:val="none" w:sz="0" w:space="0" w:color="auto"/>
        <w:right w:val="none" w:sz="0" w:space="0" w:color="auto"/>
      </w:divBdr>
    </w:div>
    <w:div w:id="546114277">
      <w:bodyDiv w:val="1"/>
      <w:marLeft w:val="0"/>
      <w:marRight w:val="0"/>
      <w:marTop w:val="0"/>
      <w:marBottom w:val="0"/>
      <w:divBdr>
        <w:top w:val="none" w:sz="0" w:space="0" w:color="auto"/>
        <w:left w:val="none" w:sz="0" w:space="0" w:color="auto"/>
        <w:bottom w:val="none" w:sz="0" w:space="0" w:color="auto"/>
        <w:right w:val="none" w:sz="0" w:space="0" w:color="auto"/>
      </w:divBdr>
    </w:div>
    <w:div w:id="549997442">
      <w:bodyDiv w:val="1"/>
      <w:marLeft w:val="0"/>
      <w:marRight w:val="0"/>
      <w:marTop w:val="0"/>
      <w:marBottom w:val="0"/>
      <w:divBdr>
        <w:top w:val="none" w:sz="0" w:space="0" w:color="auto"/>
        <w:left w:val="none" w:sz="0" w:space="0" w:color="auto"/>
        <w:bottom w:val="none" w:sz="0" w:space="0" w:color="auto"/>
        <w:right w:val="none" w:sz="0" w:space="0" w:color="auto"/>
      </w:divBdr>
    </w:div>
    <w:div w:id="553736895">
      <w:bodyDiv w:val="1"/>
      <w:marLeft w:val="0"/>
      <w:marRight w:val="0"/>
      <w:marTop w:val="0"/>
      <w:marBottom w:val="0"/>
      <w:divBdr>
        <w:top w:val="none" w:sz="0" w:space="0" w:color="auto"/>
        <w:left w:val="none" w:sz="0" w:space="0" w:color="auto"/>
        <w:bottom w:val="none" w:sz="0" w:space="0" w:color="auto"/>
        <w:right w:val="none" w:sz="0" w:space="0" w:color="auto"/>
      </w:divBdr>
    </w:div>
    <w:div w:id="557934779">
      <w:bodyDiv w:val="1"/>
      <w:marLeft w:val="0"/>
      <w:marRight w:val="0"/>
      <w:marTop w:val="0"/>
      <w:marBottom w:val="0"/>
      <w:divBdr>
        <w:top w:val="none" w:sz="0" w:space="0" w:color="auto"/>
        <w:left w:val="none" w:sz="0" w:space="0" w:color="auto"/>
        <w:bottom w:val="none" w:sz="0" w:space="0" w:color="auto"/>
        <w:right w:val="none" w:sz="0" w:space="0" w:color="auto"/>
      </w:divBdr>
    </w:div>
    <w:div w:id="585577948">
      <w:bodyDiv w:val="1"/>
      <w:marLeft w:val="0"/>
      <w:marRight w:val="0"/>
      <w:marTop w:val="0"/>
      <w:marBottom w:val="0"/>
      <w:divBdr>
        <w:top w:val="none" w:sz="0" w:space="0" w:color="auto"/>
        <w:left w:val="none" w:sz="0" w:space="0" w:color="auto"/>
        <w:bottom w:val="none" w:sz="0" w:space="0" w:color="auto"/>
        <w:right w:val="none" w:sz="0" w:space="0" w:color="auto"/>
      </w:divBdr>
    </w:div>
    <w:div w:id="593712823">
      <w:bodyDiv w:val="1"/>
      <w:marLeft w:val="0"/>
      <w:marRight w:val="0"/>
      <w:marTop w:val="0"/>
      <w:marBottom w:val="0"/>
      <w:divBdr>
        <w:top w:val="none" w:sz="0" w:space="0" w:color="auto"/>
        <w:left w:val="none" w:sz="0" w:space="0" w:color="auto"/>
        <w:bottom w:val="none" w:sz="0" w:space="0" w:color="auto"/>
        <w:right w:val="none" w:sz="0" w:space="0" w:color="auto"/>
      </w:divBdr>
    </w:div>
    <w:div w:id="595292019">
      <w:bodyDiv w:val="1"/>
      <w:marLeft w:val="0"/>
      <w:marRight w:val="0"/>
      <w:marTop w:val="0"/>
      <w:marBottom w:val="0"/>
      <w:divBdr>
        <w:top w:val="none" w:sz="0" w:space="0" w:color="auto"/>
        <w:left w:val="none" w:sz="0" w:space="0" w:color="auto"/>
        <w:bottom w:val="none" w:sz="0" w:space="0" w:color="auto"/>
        <w:right w:val="none" w:sz="0" w:space="0" w:color="auto"/>
      </w:divBdr>
    </w:div>
    <w:div w:id="635187413">
      <w:bodyDiv w:val="1"/>
      <w:marLeft w:val="0"/>
      <w:marRight w:val="0"/>
      <w:marTop w:val="0"/>
      <w:marBottom w:val="0"/>
      <w:divBdr>
        <w:top w:val="none" w:sz="0" w:space="0" w:color="auto"/>
        <w:left w:val="none" w:sz="0" w:space="0" w:color="auto"/>
        <w:bottom w:val="none" w:sz="0" w:space="0" w:color="auto"/>
        <w:right w:val="none" w:sz="0" w:space="0" w:color="auto"/>
      </w:divBdr>
    </w:div>
    <w:div w:id="635600129">
      <w:bodyDiv w:val="1"/>
      <w:marLeft w:val="0"/>
      <w:marRight w:val="0"/>
      <w:marTop w:val="0"/>
      <w:marBottom w:val="0"/>
      <w:divBdr>
        <w:top w:val="none" w:sz="0" w:space="0" w:color="auto"/>
        <w:left w:val="none" w:sz="0" w:space="0" w:color="auto"/>
        <w:bottom w:val="none" w:sz="0" w:space="0" w:color="auto"/>
        <w:right w:val="none" w:sz="0" w:space="0" w:color="auto"/>
      </w:divBdr>
    </w:div>
    <w:div w:id="640887098">
      <w:bodyDiv w:val="1"/>
      <w:marLeft w:val="0"/>
      <w:marRight w:val="0"/>
      <w:marTop w:val="0"/>
      <w:marBottom w:val="0"/>
      <w:divBdr>
        <w:top w:val="none" w:sz="0" w:space="0" w:color="auto"/>
        <w:left w:val="none" w:sz="0" w:space="0" w:color="auto"/>
        <w:bottom w:val="none" w:sz="0" w:space="0" w:color="auto"/>
        <w:right w:val="none" w:sz="0" w:space="0" w:color="auto"/>
      </w:divBdr>
    </w:div>
    <w:div w:id="644747736">
      <w:bodyDiv w:val="1"/>
      <w:marLeft w:val="0"/>
      <w:marRight w:val="0"/>
      <w:marTop w:val="0"/>
      <w:marBottom w:val="0"/>
      <w:divBdr>
        <w:top w:val="none" w:sz="0" w:space="0" w:color="auto"/>
        <w:left w:val="none" w:sz="0" w:space="0" w:color="auto"/>
        <w:bottom w:val="none" w:sz="0" w:space="0" w:color="auto"/>
        <w:right w:val="none" w:sz="0" w:space="0" w:color="auto"/>
      </w:divBdr>
    </w:div>
    <w:div w:id="684327825">
      <w:bodyDiv w:val="1"/>
      <w:marLeft w:val="0"/>
      <w:marRight w:val="0"/>
      <w:marTop w:val="0"/>
      <w:marBottom w:val="0"/>
      <w:divBdr>
        <w:top w:val="none" w:sz="0" w:space="0" w:color="auto"/>
        <w:left w:val="none" w:sz="0" w:space="0" w:color="auto"/>
        <w:bottom w:val="none" w:sz="0" w:space="0" w:color="auto"/>
        <w:right w:val="none" w:sz="0" w:space="0" w:color="auto"/>
      </w:divBdr>
    </w:div>
    <w:div w:id="719328134">
      <w:bodyDiv w:val="1"/>
      <w:marLeft w:val="0"/>
      <w:marRight w:val="0"/>
      <w:marTop w:val="0"/>
      <w:marBottom w:val="0"/>
      <w:divBdr>
        <w:top w:val="none" w:sz="0" w:space="0" w:color="auto"/>
        <w:left w:val="none" w:sz="0" w:space="0" w:color="auto"/>
        <w:bottom w:val="none" w:sz="0" w:space="0" w:color="auto"/>
        <w:right w:val="none" w:sz="0" w:space="0" w:color="auto"/>
      </w:divBdr>
    </w:div>
    <w:div w:id="734547331">
      <w:bodyDiv w:val="1"/>
      <w:marLeft w:val="0"/>
      <w:marRight w:val="0"/>
      <w:marTop w:val="0"/>
      <w:marBottom w:val="0"/>
      <w:divBdr>
        <w:top w:val="none" w:sz="0" w:space="0" w:color="auto"/>
        <w:left w:val="none" w:sz="0" w:space="0" w:color="auto"/>
        <w:bottom w:val="none" w:sz="0" w:space="0" w:color="auto"/>
        <w:right w:val="none" w:sz="0" w:space="0" w:color="auto"/>
      </w:divBdr>
    </w:div>
    <w:div w:id="736711292">
      <w:bodyDiv w:val="1"/>
      <w:marLeft w:val="0"/>
      <w:marRight w:val="0"/>
      <w:marTop w:val="0"/>
      <w:marBottom w:val="0"/>
      <w:divBdr>
        <w:top w:val="none" w:sz="0" w:space="0" w:color="auto"/>
        <w:left w:val="none" w:sz="0" w:space="0" w:color="auto"/>
        <w:bottom w:val="none" w:sz="0" w:space="0" w:color="auto"/>
        <w:right w:val="none" w:sz="0" w:space="0" w:color="auto"/>
      </w:divBdr>
    </w:div>
    <w:div w:id="752167975">
      <w:bodyDiv w:val="1"/>
      <w:marLeft w:val="0"/>
      <w:marRight w:val="0"/>
      <w:marTop w:val="0"/>
      <w:marBottom w:val="0"/>
      <w:divBdr>
        <w:top w:val="none" w:sz="0" w:space="0" w:color="auto"/>
        <w:left w:val="none" w:sz="0" w:space="0" w:color="auto"/>
        <w:bottom w:val="none" w:sz="0" w:space="0" w:color="auto"/>
        <w:right w:val="none" w:sz="0" w:space="0" w:color="auto"/>
      </w:divBdr>
    </w:div>
    <w:div w:id="758058763">
      <w:bodyDiv w:val="1"/>
      <w:marLeft w:val="0"/>
      <w:marRight w:val="0"/>
      <w:marTop w:val="0"/>
      <w:marBottom w:val="0"/>
      <w:divBdr>
        <w:top w:val="none" w:sz="0" w:space="0" w:color="auto"/>
        <w:left w:val="none" w:sz="0" w:space="0" w:color="auto"/>
        <w:bottom w:val="none" w:sz="0" w:space="0" w:color="auto"/>
        <w:right w:val="none" w:sz="0" w:space="0" w:color="auto"/>
      </w:divBdr>
    </w:div>
    <w:div w:id="760636929">
      <w:bodyDiv w:val="1"/>
      <w:marLeft w:val="0"/>
      <w:marRight w:val="0"/>
      <w:marTop w:val="0"/>
      <w:marBottom w:val="0"/>
      <w:divBdr>
        <w:top w:val="none" w:sz="0" w:space="0" w:color="auto"/>
        <w:left w:val="none" w:sz="0" w:space="0" w:color="auto"/>
        <w:bottom w:val="none" w:sz="0" w:space="0" w:color="auto"/>
        <w:right w:val="none" w:sz="0" w:space="0" w:color="auto"/>
      </w:divBdr>
    </w:div>
    <w:div w:id="776170749">
      <w:bodyDiv w:val="1"/>
      <w:marLeft w:val="0"/>
      <w:marRight w:val="0"/>
      <w:marTop w:val="0"/>
      <w:marBottom w:val="0"/>
      <w:divBdr>
        <w:top w:val="none" w:sz="0" w:space="0" w:color="auto"/>
        <w:left w:val="none" w:sz="0" w:space="0" w:color="auto"/>
        <w:bottom w:val="none" w:sz="0" w:space="0" w:color="auto"/>
        <w:right w:val="none" w:sz="0" w:space="0" w:color="auto"/>
      </w:divBdr>
    </w:div>
    <w:div w:id="792404974">
      <w:bodyDiv w:val="1"/>
      <w:marLeft w:val="0"/>
      <w:marRight w:val="0"/>
      <w:marTop w:val="0"/>
      <w:marBottom w:val="0"/>
      <w:divBdr>
        <w:top w:val="none" w:sz="0" w:space="0" w:color="auto"/>
        <w:left w:val="none" w:sz="0" w:space="0" w:color="auto"/>
        <w:bottom w:val="none" w:sz="0" w:space="0" w:color="auto"/>
        <w:right w:val="none" w:sz="0" w:space="0" w:color="auto"/>
      </w:divBdr>
    </w:div>
    <w:div w:id="800658687">
      <w:bodyDiv w:val="1"/>
      <w:marLeft w:val="0"/>
      <w:marRight w:val="0"/>
      <w:marTop w:val="0"/>
      <w:marBottom w:val="0"/>
      <w:divBdr>
        <w:top w:val="none" w:sz="0" w:space="0" w:color="auto"/>
        <w:left w:val="none" w:sz="0" w:space="0" w:color="auto"/>
        <w:bottom w:val="none" w:sz="0" w:space="0" w:color="auto"/>
        <w:right w:val="none" w:sz="0" w:space="0" w:color="auto"/>
      </w:divBdr>
    </w:div>
    <w:div w:id="807404357">
      <w:bodyDiv w:val="1"/>
      <w:marLeft w:val="0"/>
      <w:marRight w:val="0"/>
      <w:marTop w:val="0"/>
      <w:marBottom w:val="0"/>
      <w:divBdr>
        <w:top w:val="none" w:sz="0" w:space="0" w:color="auto"/>
        <w:left w:val="none" w:sz="0" w:space="0" w:color="auto"/>
        <w:bottom w:val="none" w:sz="0" w:space="0" w:color="auto"/>
        <w:right w:val="none" w:sz="0" w:space="0" w:color="auto"/>
      </w:divBdr>
    </w:div>
    <w:div w:id="810950507">
      <w:bodyDiv w:val="1"/>
      <w:marLeft w:val="0"/>
      <w:marRight w:val="0"/>
      <w:marTop w:val="0"/>
      <w:marBottom w:val="0"/>
      <w:divBdr>
        <w:top w:val="none" w:sz="0" w:space="0" w:color="auto"/>
        <w:left w:val="none" w:sz="0" w:space="0" w:color="auto"/>
        <w:bottom w:val="none" w:sz="0" w:space="0" w:color="auto"/>
        <w:right w:val="none" w:sz="0" w:space="0" w:color="auto"/>
      </w:divBdr>
      <w:divsChild>
        <w:div w:id="2067489660">
          <w:marLeft w:val="1166"/>
          <w:marRight w:val="0"/>
          <w:marTop w:val="200"/>
          <w:marBottom w:val="0"/>
          <w:divBdr>
            <w:top w:val="none" w:sz="0" w:space="0" w:color="auto"/>
            <w:left w:val="none" w:sz="0" w:space="0" w:color="auto"/>
            <w:bottom w:val="none" w:sz="0" w:space="0" w:color="auto"/>
            <w:right w:val="none" w:sz="0" w:space="0" w:color="auto"/>
          </w:divBdr>
        </w:div>
      </w:divsChild>
    </w:div>
    <w:div w:id="821895594">
      <w:bodyDiv w:val="1"/>
      <w:marLeft w:val="0"/>
      <w:marRight w:val="0"/>
      <w:marTop w:val="0"/>
      <w:marBottom w:val="0"/>
      <w:divBdr>
        <w:top w:val="none" w:sz="0" w:space="0" w:color="auto"/>
        <w:left w:val="none" w:sz="0" w:space="0" w:color="auto"/>
        <w:bottom w:val="none" w:sz="0" w:space="0" w:color="auto"/>
        <w:right w:val="none" w:sz="0" w:space="0" w:color="auto"/>
      </w:divBdr>
    </w:div>
    <w:div w:id="835070277">
      <w:bodyDiv w:val="1"/>
      <w:marLeft w:val="0"/>
      <w:marRight w:val="0"/>
      <w:marTop w:val="0"/>
      <w:marBottom w:val="0"/>
      <w:divBdr>
        <w:top w:val="none" w:sz="0" w:space="0" w:color="auto"/>
        <w:left w:val="none" w:sz="0" w:space="0" w:color="auto"/>
        <w:bottom w:val="none" w:sz="0" w:space="0" w:color="auto"/>
        <w:right w:val="none" w:sz="0" w:space="0" w:color="auto"/>
      </w:divBdr>
    </w:div>
    <w:div w:id="842554336">
      <w:bodyDiv w:val="1"/>
      <w:marLeft w:val="0"/>
      <w:marRight w:val="0"/>
      <w:marTop w:val="0"/>
      <w:marBottom w:val="0"/>
      <w:divBdr>
        <w:top w:val="none" w:sz="0" w:space="0" w:color="auto"/>
        <w:left w:val="none" w:sz="0" w:space="0" w:color="auto"/>
        <w:bottom w:val="none" w:sz="0" w:space="0" w:color="auto"/>
        <w:right w:val="none" w:sz="0" w:space="0" w:color="auto"/>
      </w:divBdr>
    </w:div>
    <w:div w:id="871457483">
      <w:bodyDiv w:val="1"/>
      <w:marLeft w:val="0"/>
      <w:marRight w:val="0"/>
      <w:marTop w:val="0"/>
      <w:marBottom w:val="0"/>
      <w:divBdr>
        <w:top w:val="none" w:sz="0" w:space="0" w:color="auto"/>
        <w:left w:val="none" w:sz="0" w:space="0" w:color="auto"/>
        <w:bottom w:val="none" w:sz="0" w:space="0" w:color="auto"/>
        <w:right w:val="none" w:sz="0" w:space="0" w:color="auto"/>
      </w:divBdr>
    </w:div>
    <w:div w:id="904922220">
      <w:bodyDiv w:val="1"/>
      <w:marLeft w:val="0"/>
      <w:marRight w:val="0"/>
      <w:marTop w:val="0"/>
      <w:marBottom w:val="0"/>
      <w:divBdr>
        <w:top w:val="none" w:sz="0" w:space="0" w:color="auto"/>
        <w:left w:val="none" w:sz="0" w:space="0" w:color="auto"/>
        <w:bottom w:val="none" w:sz="0" w:space="0" w:color="auto"/>
        <w:right w:val="none" w:sz="0" w:space="0" w:color="auto"/>
      </w:divBdr>
    </w:div>
    <w:div w:id="928000194">
      <w:bodyDiv w:val="1"/>
      <w:marLeft w:val="0"/>
      <w:marRight w:val="0"/>
      <w:marTop w:val="0"/>
      <w:marBottom w:val="0"/>
      <w:divBdr>
        <w:top w:val="none" w:sz="0" w:space="0" w:color="auto"/>
        <w:left w:val="none" w:sz="0" w:space="0" w:color="auto"/>
        <w:bottom w:val="none" w:sz="0" w:space="0" w:color="auto"/>
        <w:right w:val="none" w:sz="0" w:space="0" w:color="auto"/>
      </w:divBdr>
    </w:div>
    <w:div w:id="951785796">
      <w:bodyDiv w:val="1"/>
      <w:marLeft w:val="0"/>
      <w:marRight w:val="0"/>
      <w:marTop w:val="0"/>
      <w:marBottom w:val="0"/>
      <w:divBdr>
        <w:top w:val="none" w:sz="0" w:space="0" w:color="auto"/>
        <w:left w:val="none" w:sz="0" w:space="0" w:color="auto"/>
        <w:bottom w:val="none" w:sz="0" w:space="0" w:color="auto"/>
        <w:right w:val="none" w:sz="0" w:space="0" w:color="auto"/>
      </w:divBdr>
    </w:div>
    <w:div w:id="955798383">
      <w:bodyDiv w:val="1"/>
      <w:marLeft w:val="0"/>
      <w:marRight w:val="0"/>
      <w:marTop w:val="0"/>
      <w:marBottom w:val="0"/>
      <w:divBdr>
        <w:top w:val="none" w:sz="0" w:space="0" w:color="auto"/>
        <w:left w:val="none" w:sz="0" w:space="0" w:color="auto"/>
        <w:bottom w:val="none" w:sz="0" w:space="0" w:color="auto"/>
        <w:right w:val="none" w:sz="0" w:space="0" w:color="auto"/>
      </w:divBdr>
    </w:div>
    <w:div w:id="975069974">
      <w:bodyDiv w:val="1"/>
      <w:marLeft w:val="0"/>
      <w:marRight w:val="0"/>
      <w:marTop w:val="0"/>
      <w:marBottom w:val="0"/>
      <w:divBdr>
        <w:top w:val="none" w:sz="0" w:space="0" w:color="auto"/>
        <w:left w:val="none" w:sz="0" w:space="0" w:color="auto"/>
        <w:bottom w:val="none" w:sz="0" w:space="0" w:color="auto"/>
        <w:right w:val="none" w:sz="0" w:space="0" w:color="auto"/>
      </w:divBdr>
    </w:div>
    <w:div w:id="980304256">
      <w:bodyDiv w:val="1"/>
      <w:marLeft w:val="0"/>
      <w:marRight w:val="0"/>
      <w:marTop w:val="0"/>
      <w:marBottom w:val="0"/>
      <w:divBdr>
        <w:top w:val="none" w:sz="0" w:space="0" w:color="auto"/>
        <w:left w:val="none" w:sz="0" w:space="0" w:color="auto"/>
        <w:bottom w:val="none" w:sz="0" w:space="0" w:color="auto"/>
        <w:right w:val="none" w:sz="0" w:space="0" w:color="auto"/>
      </w:divBdr>
    </w:div>
    <w:div w:id="1002591158">
      <w:bodyDiv w:val="1"/>
      <w:marLeft w:val="0"/>
      <w:marRight w:val="0"/>
      <w:marTop w:val="0"/>
      <w:marBottom w:val="0"/>
      <w:divBdr>
        <w:top w:val="none" w:sz="0" w:space="0" w:color="auto"/>
        <w:left w:val="none" w:sz="0" w:space="0" w:color="auto"/>
        <w:bottom w:val="none" w:sz="0" w:space="0" w:color="auto"/>
        <w:right w:val="none" w:sz="0" w:space="0" w:color="auto"/>
      </w:divBdr>
    </w:div>
    <w:div w:id="1074742567">
      <w:bodyDiv w:val="1"/>
      <w:marLeft w:val="0"/>
      <w:marRight w:val="0"/>
      <w:marTop w:val="0"/>
      <w:marBottom w:val="0"/>
      <w:divBdr>
        <w:top w:val="none" w:sz="0" w:space="0" w:color="auto"/>
        <w:left w:val="none" w:sz="0" w:space="0" w:color="auto"/>
        <w:bottom w:val="none" w:sz="0" w:space="0" w:color="auto"/>
        <w:right w:val="none" w:sz="0" w:space="0" w:color="auto"/>
      </w:divBdr>
    </w:div>
    <w:div w:id="1083377761">
      <w:bodyDiv w:val="1"/>
      <w:marLeft w:val="0"/>
      <w:marRight w:val="0"/>
      <w:marTop w:val="0"/>
      <w:marBottom w:val="0"/>
      <w:divBdr>
        <w:top w:val="none" w:sz="0" w:space="0" w:color="auto"/>
        <w:left w:val="none" w:sz="0" w:space="0" w:color="auto"/>
        <w:bottom w:val="none" w:sz="0" w:space="0" w:color="auto"/>
        <w:right w:val="none" w:sz="0" w:space="0" w:color="auto"/>
      </w:divBdr>
    </w:div>
    <w:div w:id="1101949710">
      <w:bodyDiv w:val="1"/>
      <w:marLeft w:val="0"/>
      <w:marRight w:val="0"/>
      <w:marTop w:val="0"/>
      <w:marBottom w:val="0"/>
      <w:divBdr>
        <w:top w:val="none" w:sz="0" w:space="0" w:color="auto"/>
        <w:left w:val="none" w:sz="0" w:space="0" w:color="auto"/>
        <w:bottom w:val="none" w:sz="0" w:space="0" w:color="auto"/>
        <w:right w:val="none" w:sz="0" w:space="0" w:color="auto"/>
      </w:divBdr>
    </w:div>
    <w:div w:id="1129278769">
      <w:bodyDiv w:val="1"/>
      <w:marLeft w:val="0"/>
      <w:marRight w:val="0"/>
      <w:marTop w:val="0"/>
      <w:marBottom w:val="0"/>
      <w:divBdr>
        <w:top w:val="none" w:sz="0" w:space="0" w:color="auto"/>
        <w:left w:val="none" w:sz="0" w:space="0" w:color="auto"/>
        <w:bottom w:val="none" w:sz="0" w:space="0" w:color="auto"/>
        <w:right w:val="none" w:sz="0" w:space="0" w:color="auto"/>
      </w:divBdr>
    </w:div>
    <w:div w:id="1131559711">
      <w:bodyDiv w:val="1"/>
      <w:marLeft w:val="0"/>
      <w:marRight w:val="0"/>
      <w:marTop w:val="0"/>
      <w:marBottom w:val="0"/>
      <w:divBdr>
        <w:top w:val="none" w:sz="0" w:space="0" w:color="auto"/>
        <w:left w:val="none" w:sz="0" w:space="0" w:color="auto"/>
        <w:bottom w:val="none" w:sz="0" w:space="0" w:color="auto"/>
        <w:right w:val="none" w:sz="0" w:space="0" w:color="auto"/>
      </w:divBdr>
    </w:div>
    <w:div w:id="1174228979">
      <w:bodyDiv w:val="1"/>
      <w:marLeft w:val="0"/>
      <w:marRight w:val="0"/>
      <w:marTop w:val="0"/>
      <w:marBottom w:val="0"/>
      <w:divBdr>
        <w:top w:val="none" w:sz="0" w:space="0" w:color="auto"/>
        <w:left w:val="none" w:sz="0" w:space="0" w:color="auto"/>
        <w:bottom w:val="none" w:sz="0" w:space="0" w:color="auto"/>
        <w:right w:val="none" w:sz="0" w:space="0" w:color="auto"/>
      </w:divBdr>
    </w:div>
    <w:div w:id="1212696413">
      <w:bodyDiv w:val="1"/>
      <w:marLeft w:val="0"/>
      <w:marRight w:val="0"/>
      <w:marTop w:val="0"/>
      <w:marBottom w:val="0"/>
      <w:divBdr>
        <w:top w:val="none" w:sz="0" w:space="0" w:color="auto"/>
        <w:left w:val="none" w:sz="0" w:space="0" w:color="auto"/>
        <w:bottom w:val="none" w:sz="0" w:space="0" w:color="auto"/>
        <w:right w:val="none" w:sz="0" w:space="0" w:color="auto"/>
      </w:divBdr>
    </w:div>
    <w:div w:id="1234390023">
      <w:bodyDiv w:val="1"/>
      <w:marLeft w:val="0"/>
      <w:marRight w:val="0"/>
      <w:marTop w:val="0"/>
      <w:marBottom w:val="0"/>
      <w:divBdr>
        <w:top w:val="none" w:sz="0" w:space="0" w:color="auto"/>
        <w:left w:val="none" w:sz="0" w:space="0" w:color="auto"/>
        <w:bottom w:val="none" w:sz="0" w:space="0" w:color="auto"/>
        <w:right w:val="none" w:sz="0" w:space="0" w:color="auto"/>
      </w:divBdr>
    </w:div>
    <w:div w:id="1245145060">
      <w:bodyDiv w:val="1"/>
      <w:marLeft w:val="0"/>
      <w:marRight w:val="0"/>
      <w:marTop w:val="0"/>
      <w:marBottom w:val="0"/>
      <w:divBdr>
        <w:top w:val="none" w:sz="0" w:space="0" w:color="auto"/>
        <w:left w:val="none" w:sz="0" w:space="0" w:color="auto"/>
        <w:bottom w:val="none" w:sz="0" w:space="0" w:color="auto"/>
        <w:right w:val="none" w:sz="0" w:space="0" w:color="auto"/>
      </w:divBdr>
    </w:div>
    <w:div w:id="1265966095">
      <w:bodyDiv w:val="1"/>
      <w:marLeft w:val="0"/>
      <w:marRight w:val="0"/>
      <w:marTop w:val="0"/>
      <w:marBottom w:val="0"/>
      <w:divBdr>
        <w:top w:val="none" w:sz="0" w:space="0" w:color="auto"/>
        <w:left w:val="none" w:sz="0" w:space="0" w:color="auto"/>
        <w:bottom w:val="none" w:sz="0" w:space="0" w:color="auto"/>
        <w:right w:val="none" w:sz="0" w:space="0" w:color="auto"/>
      </w:divBdr>
    </w:div>
    <w:div w:id="1307664597">
      <w:bodyDiv w:val="1"/>
      <w:marLeft w:val="0"/>
      <w:marRight w:val="0"/>
      <w:marTop w:val="0"/>
      <w:marBottom w:val="0"/>
      <w:divBdr>
        <w:top w:val="none" w:sz="0" w:space="0" w:color="auto"/>
        <w:left w:val="none" w:sz="0" w:space="0" w:color="auto"/>
        <w:bottom w:val="none" w:sz="0" w:space="0" w:color="auto"/>
        <w:right w:val="none" w:sz="0" w:space="0" w:color="auto"/>
      </w:divBdr>
    </w:div>
    <w:div w:id="1324893078">
      <w:bodyDiv w:val="1"/>
      <w:marLeft w:val="0"/>
      <w:marRight w:val="0"/>
      <w:marTop w:val="0"/>
      <w:marBottom w:val="0"/>
      <w:divBdr>
        <w:top w:val="none" w:sz="0" w:space="0" w:color="auto"/>
        <w:left w:val="none" w:sz="0" w:space="0" w:color="auto"/>
        <w:bottom w:val="none" w:sz="0" w:space="0" w:color="auto"/>
        <w:right w:val="none" w:sz="0" w:space="0" w:color="auto"/>
      </w:divBdr>
    </w:div>
    <w:div w:id="1328365139">
      <w:bodyDiv w:val="1"/>
      <w:marLeft w:val="0"/>
      <w:marRight w:val="0"/>
      <w:marTop w:val="0"/>
      <w:marBottom w:val="0"/>
      <w:divBdr>
        <w:top w:val="none" w:sz="0" w:space="0" w:color="auto"/>
        <w:left w:val="none" w:sz="0" w:space="0" w:color="auto"/>
        <w:bottom w:val="none" w:sz="0" w:space="0" w:color="auto"/>
        <w:right w:val="none" w:sz="0" w:space="0" w:color="auto"/>
      </w:divBdr>
    </w:div>
    <w:div w:id="1337659916">
      <w:bodyDiv w:val="1"/>
      <w:marLeft w:val="0"/>
      <w:marRight w:val="0"/>
      <w:marTop w:val="0"/>
      <w:marBottom w:val="0"/>
      <w:divBdr>
        <w:top w:val="none" w:sz="0" w:space="0" w:color="auto"/>
        <w:left w:val="none" w:sz="0" w:space="0" w:color="auto"/>
        <w:bottom w:val="none" w:sz="0" w:space="0" w:color="auto"/>
        <w:right w:val="none" w:sz="0" w:space="0" w:color="auto"/>
      </w:divBdr>
    </w:div>
    <w:div w:id="1352562789">
      <w:bodyDiv w:val="1"/>
      <w:marLeft w:val="0"/>
      <w:marRight w:val="0"/>
      <w:marTop w:val="0"/>
      <w:marBottom w:val="0"/>
      <w:divBdr>
        <w:top w:val="none" w:sz="0" w:space="0" w:color="auto"/>
        <w:left w:val="none" w:sz="0" w:space="0" w:color="auto"/>
        <w:bottom w:val="none" w:sz="0" w:space="0" w:color="auto"/>
        <w:right w:val="none" w:sz="0" w:space="0" w:color="auto"/>
      </w:divBdr>
    </w:div>
    <w:div w:id="1352879511">
      <w:bodyDiv w:val="1"/>
      <w:marLeft w:val="0"/>
      <w:marRight w:val="0"/>
      <w:marTop w:val="0"/>
      <w:marBottom w:val="0"/>
      <w:divBdr>
        <w:top w:val="none" w:sz="0" w:space="0" w:color="auto"/>
        <w:left w:val="none" w:sz="0" w:space="0" w:color="auto"/>
        <w:bottom w:val="none" w:sz="0" w:space="0" w:color="auto"/>
        <w:right w:val="none" w:sz="0" w:space="0" w:color="auto"/>
      </w:divBdr>
    </w:div>
    <w:div w:id="1363215342">
      <w:bodyDiv w:val="1"/>
      <w:marLeft w:val="0"/>
      <w:marRight w:val="0"/>
      <w:marTop w:val="0"/>
      <w:marBottom w:val="0"/>
      <w:divBdr>
        <w:top w:val="none" w:sz="0" w:space="0" w:color="auto"/>
        <w:left w:val="none" w:sz="0" w:space="0" w:color="auto"/>
        <w:bottom w:val="none" w:sz="0" w:space="0" w:color="auto"/>
        <w:right w:val="none" w:sz="0" w:space="0" w:color="auto"/>
      </w:divBdr>
    </w:div>
    <w:div w:id="1375808149">
      <w:bodyDiv w:val="1"/>
      <w:marLeft w:val="0"/>
      <w:marRight w:val="0"/>
      <w:marTop w:val="0"/>
      <w:marBottom w:val="0"/>
      <w:divBdr>
        <w:top w:val="none" w:sz="0" w:space="0" w:color="auto"/>
        <w:left w:val="none" w:sz="0" w:space="0" w:color="auto"/>
        <w:bottom w:val="none" w:sz="0" w:space="0" w:color="auto"/>
        <w:right w:val="none" w:sz="0" w:space="0" w:color="auto"/>
      </w:divBdr>
    </w:div>
    <w:div w:id="1382678636">
      <w:bodyDiv w:val="1"/>
      <w:marLeft w:val="0"/>
      <w:marRight w:val="0"/>
      <w:marTop w:val="0"/>
      <w:marBottom w:val="0"/>
      <w:divBdr>
        <w:top w:val="none" w:sz="0" w:space="0" w:color="auto"/>
        <w:left w:val="none" w:sz="0" w:space="0" w:color="auto"/>
        <w:bottom w:val="none" w:sz="0" w:space="0" w:color="auto"/>
        <w:right w:val="none" w:sz="0" w:space="0" w:color="auto"/>
      </w:divBdr>
    </w:div>
    <w:div w:id="1384981460">
      <w:bodyDiv w:val="1"/>
      <w:marLeft w:val="0"/>
      <w:marRight w:val="0"/>
      <w:marTop w:val="0"/>
      <w:marBottom w:val="0"/>
      <w:divBdr>
        <w:top w:val="none" w:sz="0" w:space="0" w:color="auto"/>
        <w:left w:val="none" w:sz="0" w:space="0" w:color="auto"/>
        <w:bottom w:val="none" w:sz="0" w:space="0" w:color="auto"/>
        <w:right w:val="none" w:sz="0" w:space="0" w:color="auto"/>
      </w:divBdr>
    </w:div>
    <w:div w:id="1393888805">
      <w:bodyDiv w:val="1"/>
      <w:marLeft w:val="0"/>
      <w:marRight w:val="0"/>
      <w:marTop w:val="0"/>
      <w:marBottom w:val="0"/>
      <w:divBdr>
        <w:top w:val="none" w:sz="0" w:space="0" w:color="auto"/>
        <w:left w:val="none" w:sz="0" w:space="0" w:color="auto"/>
        <w:bottom w:val="none" w:sz="0" w:space="0" w:color="auto"/>
        <w:right w:val="none" w:sz="0" w:space="0" w:color="auto"/>
      </w:divBdr>
    </w:div>
    <w:div w:id="1395547908">
      <w:bodyDiv w:val="1"/>
      <w:marLeft w:val="0"/>
      <w:marRight w:val="0"/>
      <w:marTop w:val="0"/>
      <w:marBottom w:val="0"/>
      <w:divBdr>
        <w:top w:val="none" w:sz="0" w:space="0" w:color="auto"/>
        <w:left w:val="none" w:sz="0" w:space="0" w:color="auto"/>
        <w:bottom w:val="none" w:sz="0" w:space="0" w:color="auto"/>
        <w:right w:val="none" w:sz="0" w:space="0" w:color="auto"/>
      </w:divBdr>
    </w:div>
    <w:div w:id="1425885290">
      <w:bodyDiv w:val="1"/>
      <w:marLeft w:val="0"/>
      <w:marRight w:val="0"/>
      <w:marTop w:val="0"/>
      <w:marBottom w:val="0"/>
      <w:divBdr>
        <w:top w:val="none" w:sz="0" w:space="0" w:color="auto"/>
        <w:left w:val="none" w:sz="0" w:space="0" w:color="auto"/>
        <w:bottom w:val="none" w:sz="0" w:space="0" w:color="auto"/>
        <w:right w:val="none" w:sz="0" w:space="0" w:color="auto"/>
      </w:divBdr>
    </w:div>
    <w:div w:id="1451512754">
      <w:bodyDiv w:val="1"/>
      <w:marLeft w:val="0"/>
      <w:marRight w:val="0"/>
      <w:marTop w:val="0"/>
      <w:marBottom w:val="0"/>
      <w:divBdr>
        <w:top w:val="none" w:sz="0" w:space="0" w:color="auto"/>
        <w:left w:val="none" w:sz="0" w:space="0" w:color="auto"/>
        <w:bottom w:val="none" w:sz="0" w:space="0" w:color="auto"/>
        <w:right w:val="none" w:sz="0" w:space="0" w:color="auto"/>
      </w:divBdr>
    </w:div>
    <w:div w:id="1451977071">
      <w:bodyDiv w:val="1"/>
      <w:marLeft w:val="0"/>
      <w:marRight w:val="0"/>
      <w:marTop w:val="0"/>
      <w:marBottom w:val="0"/>
      <w:divBdr>
        <w:top w:val="none" w:sz="0" w:space="0" w:color="auto"/>
        <w:left w:val="none" w:sz="0" w:space="0" w:color="auto"/>
        <w:bottom w:val="none" w:sz="0" w:space="0" w:color="auto"/>
        <w:right w:val="none" w:sz="0" w:space="0" w:color="auto"/>
      </w:divBdr>
    </w:div>
    <w:div w:id="1460563187">
      <w:bodyDiv w:val="1"/>
      <w:marLeft w:val="0"/>
      <w:marRight w:val="0"/>
      <w:marTop w:val="0"/>
      <w:marBottom w:val="0"/>
      <w:divBdr>
        <w:top w:val="none" w:sz="0" w:space="0" w:color="auto"/>
        <w:left w:val="none" w:sz="0" w:space="0" w:color="auto"/>
        <w:bottom w:val="none" w:sz="0" w:space="0" w:color="auto"/>
        <w:right w:val="none" w:sz="0" w:space="0" w:color="auto"/>
      </w:divBdr>
    </w:div>
    <w:div w:id="1485465123">
      <w:bodyDiv w:val="1"/>
      <w:marLeft w:val="0"/>
      <w:marRight w:val="0"/>
      <w:marTop w:val="0"/>
      <w:marBottom w:val="0"/>
      <w:divBdr>
        <w:top w:val="none" w:sz="0" w:space="0" w:color="auto"/>
        <w:left w:val="none" w:sz="0" w:space="0" w:color="auto"/>
        <w:bottom w:val="none" w:sz="0" w:space="0" w:color="auto"/>
        <w:right w:val="none" w:sz="0" w:space="0" w:color="auto"/>
      </w:divBdr>
      <w:divsChild>
        <w:div w:id="2130926400">
          <w:marLeft w:val="1166"/>
          <w:marRight w:val="0"/>
          <w:marTop w:val="200"/>
          <w:marBottom w:val="0"/>
          <w:divBdr>
            <w:top w:val="none" w:sz="0" w:space="0" w:color="auto"/>
            <w:left w:val="none" w:sz="0" w:space="0" w:color="auto"/>
            <w:bottom w:val="none" w:sz="0" w:space="0" w:color="auto"/>
            <w:right w:val="none" w:sz="0" w:space="0" w:color="auto"/>
          </w:divBdr>
        </w:div>
      </w:divsChild>
    </w:div>
    <w:div w:id="1489205826">
      <w:bodyDiv w:val="1"/>
      <w:marLeft w:val="0"/>
      <w:marRight w:val="0"/>
      <w:marTop w:val="0"/>
      <w:marBottom w:val="0"/>
      <w:divBdr>
        <w:top w:val="none" w:sz="0" w:space="0" w:color="auto"/>
        <w:left w:val="none" w:sz="0" w:space="0" w:color="auto"/>
        <w:bottom w:val="none" w:sz="0" w:space="0" w:color="auto"/>
        <w:right w:val="none" w:sz="0" w:space="0" w:color="auto"/>
      </w:divBdr>
    </w:div>
    <w:div w:id="1508715193">
      <w:bodyDiv w:val="1"/>
      <w:marLeft w:val="0"/>
      <w:marRight w:val="0"/>
      <w:marTop w:val="0"/>
      <w:marBottom w:val="0"/>
      <w:divBdr>
        <w:top w:val="none" w:sz="0" w:space="0" w:color="auto"/>
        <w:left w:val="none" w:sz="0" w:space="0" w:color="auto"/>
        <w:bottom w:val="none" w:sz="0" w:space="0" w:color="auto"/>
        <w:right w:val="none" w:sz="0" w:space="0" w:color="auto"/>
      </w:divBdr>
    </w:div>
    <w:div w:id="1524900175">
      <w:bodyDiv w:val="1"/>
      <w:marLeft w:val="0"/>
      <w:marRight w:val="0"/>
      <w:marTop w:val="0"/>
      <w:marBottom w:val="0"/>
      <w:divBdr>
        <w:top w:val="none" w:sz="0" w:space="0" w:color="auto"/>
        <w:left w:val="none" w:sz="0" w:space="0" w:color="auto"/>
        <w:bottom w:val="none" w:sz="0" w:space="0" w:color="auto"/>
        <w:right w:val="none" w:sz="0" w:space="0" w:color="auto"/>
      </w:divBdr>
    </w:div>
    <w:div w:id="1557231320">
      <w:bodyDiv w:val="1"/>
      <w:marLeft w:val="0"/>
      <w:marRight w:val="0"/>
      <w:marTop w:val="0"/>
      <w:marBottom w:val="0"/>
      <w:divBdr>
        <w:top w:val="none" w:sz="0" w:space="0" w:color="auto"/>
        <w:left w:val="none" w:sz="0" w:space="0" w:color="auto"/>
        <w:bottom w:val="none" w:sz="0" w:space="0" w:color="auto"/>
        <w:right w:val="none" w:sz="0" w:space="0" w:color="auto"/>
      </w:divBdr>
    </w:div>
    <w:div w:id="1578900019">
      <w:bodyDiv w:val="1"/>
      <w:marLeft w:val="0"/>
      <w:marRight w:val="0"/>
      <w:marTop w:val="0"/>
      <w:marBottom w:val="0"/>
      <w:divBdr>
        <w:top w:val="none" w:sz="0" w:space="0" w:color="auto"/>
        <w:left w:val="none" w:sz="0" w:space="0" w:color="auto"/>
        <w:bottom w:val="none" w:sz="0" w:space="0" w:color="auto"/>
        <w:right w:val="none" w:sz="0" w:space="0" w:color="auto"/>
      </w:divBdr>
    </w:div>
    <w:div w:id="1586452237">
      <w:bodyDiv w:val="1"/>
      <w:marLeft w:val="0"/>
      <w:marRight w:val="0"/>
      <w:marTop w:val="0"/>
      <w:marBottom w:val="0"/>
      <w:divBdr>
        <w:top w:val="none" w:sz="0" w:space="0" w:color="auto"/>
        <w:left w:val="none" w:sz="0" w:space="0" w:color="auto"/>
        <w:bottom w:val="none" w:sz="0" w:space="0" w:color="auto"/>
        <w:right w:val="none" w:sz="0" w:space="0" w:color="auto"/>
      </w:divBdr>
    </w:div>
    <w:div w:id="1598907517">
      <w:bodyDiv w:val="1"/>
      <w:marLeft w:val="0"/>
      <w:marRight w:val="0"/>
      <w:marTop w:val="0"/>
      <w:marBottom w:val="0"/>
      <w:divBdr>
        <w:top w:val="none" w:sz="0" w:space="0" w:color="auto"/>
        <w:left w:val="none" w:sz="0" w:space="0" w:color="auto"/>
        <w:bottom w:val="none" w:sz="0" w:space="0" w:color="auto"/>
        <w:right w:val="none" w:sz="0" w:space="0" w:color="auto"/>
      </w:divBdr>
    </w:div>
    <w:div w:id="1616327363">
      <w:bodyDiv w:val="1"/>
      <w:marLeft w:val="0"/>
      <w:marRight w:val="0"/>
      <w:marTop w:val="0"/>
      <w:marBottom w:val="0"/>
      <w:divBdr>
        <w:top w:val="none" w:sz="0" w:space="0" w:color="auto"/>
        <w:left w:val="none" w:sz="0" w:space="0" w:color="auto"/>
        <w:bottom w:val="none" w:sz="0" w:space="0" w:color="auto"/>
        <w:right w:val="none" w:sz="0" w:space="0" w:color="auto"/>
      </w:divBdr>
    </w:div>
    <w:div w:id="1629581356">
      <w:bodyDiv w:val="1"/>
      <w:marLeft w:val="0"/>
      <w:marRight w:val="0"/>
      <w:marTop w:val="0"/>
      <w:marBottom w:val="0"/>
      <w:divBdr>
        <w:top w:val="none" w:sz="0" w:space="0" w:color="auto"/>
        <w:left w:val="none" w:sz="0" w:space="0" w:color="auto"/>
        <w:bottom w:val="none" w:sz="0" w:space="0" w:color="auto"/>
        <w:right w:val="none" w:sz="0" w:space="0" w:color="auto"/>
      </w:divBdr>
    </w:div>
    <w:div w:id="1630547321">
      <w:bodyDiv w:val="1"/>
      <w:marLeft w:val="0"/>
      <w:marRight w:val="0"/>
      <w:marTop w:val="0"/>
      <w:marBottom w:val="0"/>
      <w:divBdr>
        <w:top w:val="none" w:sz="0" w:space="0" w:color="auto"/>
        <w:left w:val="none" w:sz="0" w:space="0" w:color="auto"/>
        <w:bottom w:val="none" w:sz="0" w:space="0" w:color="auto"/>
        <w:right w:val="none" w:sz="0" w:space="0" w:color="auto"/>
      </w:divBdr>
    </w:div>
    <w:div w:id="1637221967">
      <w:bodyDiv w:val="1"/>
      <w:marLeft w:val="0"/>
      <w:marRight w:val="0"/>
      <w:marTop w:val="0"/>
      <w:marBottom w:val="0"/>
      <w:divBdr>
        <w:top w:val="none" w:sz="0" w:space="0" w:color="auto"/>
        <w:left w:val="none" w:sz="0" w:space="0" w:color="auto"/>
        <w:bottom w:val="none" w:sz="0" w:space="0" w:color="auto"/>
        <w:right w:val="none" w:sz="0" w:space="0" w:color="auto"/>
      </w:divBdr>
    </w:div>
    <w:div w:id="1644233297">
      <w:bodyDiv w:val="1"/>
      <w:marLeft w:val="0"/>
      <w:marRight w:val="0"/>
      <w:marTop w:val="0"/>
      <w:marBottom w:val="0"/>
      <w:divBdr>
        <w:top w:val="none" w:sz="0" w:space="0" w:color="auto"/>
        <w:left w:val="none" w:sz="0" w:space="0" w:color="auto"/>
        <w:bottom w:val="none" w:sz="0" w:space="0" w:color="auto"/>
        <w:right w:val="none" w:sz="0" w:space="0" w:color="auto"/>
      </w:divBdr>
    </w:div>
    <w:div w:id="1650934297">
      <w:bodyDiv w:val="1"/>
      <w:marLeft w:val="0"/>
      <w:marRight w:val="0"/>
      <w:marTop w:val="0"/>
      <w:marBottom w:val="0"/>
      <w:divBdr>
        <w:top w:val="none" w:sz="0" w:space="0" w:color="auto"/>
        <w:left w:val="none" w:sz="0" w:space="0" w:color="auto"/>
        <w:bottom w:val="none" w:sz="0" w:space="0" w:color="auto"/>
        <w:right w:val="none" w:sz="0" w:space="0" w:color="auto"/>
      </w:divBdr>
    </w:div>
    <w:div w:id="1659572051">
      <w:bodyDiv w:val="1"/>
      <w:marLeft w:val="0"/>
      <w:marRight w:val="0"/>
      <w:marTop w:val="0"/>
      <w:marBottom w:val="0"/>
      <w:divBdr>
        <w:top w:val="none" w:sz="0" w:space="0" w:color="auto"/>
        <w:left w:val="none" w:sz="0" w:space="0" w:color="auto"/>
        <w:bottom w:val="none" w:sz="0" w:space="0" w:color="auto"/>
        <w:right w:val="none" w:sz="0" w:space="0" w:color="auto"/>
      </w:divBdr>
    </w:div>
    <w:div w:id="1669868522">
      <w:bodyDiv w:val="1"/>
      <w:marLeft w:val="0"/>
      <w:marRight w:val="0"/>
      <w:marTop w:val="0"/>
      <w:marBottom w:val="0"/>
      <w:divBdr>
        <w:top w:val="none" w:sz="0" w:space="0" w:color="auto"/>
        <w:left w:val="none" w:sz="0" w:space="0" w:color="auto"/>
        <w:bottom w:val="none" w:sz="0" w:space="0" w:color="auto"/>
        <w:right w:val="none" w:sz="0" w:space="0" w:color="auto"/>
      </w:divBdr>
    </w:div>
    <w:div w:id="1675843179">
      <w:bodyDiv w:val="1"/>
      <w:marLeft w:val="0"/>
      <w:marRight w:val="0"/>
      <w:marTop w:val="0"/>
      <w:marBottom w:val="0"/>
      <w:divBdr>
        <w:top w:val="none" w:sz="0" w:space="0" w:color="auto"/>
        <w:left w:val="none" w:sz="0" w:space="0" w:color="auto"/>
        <w:bottom w:val="none" w:sz="0" w:space="0" w:color="auto"/>
        <w:right w:val="none" w:sz="0" w:space="0" w:color="auto"/>
      </w:divBdr>
    </w:div>
    <w:div w:id="1706785123">
      <w:bodyDiv w:val="1"/>
      <w:marLeft w:val="0"/>
      <w:marRight w:val="0"/>
      <w:marTop w:val="0"/>
      <w:marBottom w:val="0"/>
      <w:divBdr>
        <w:top w:val="none" w:sz="0" w:space="0" w:color="auto"/>
        <w:left w:val="none" w:sz="0" w:space="0" w:color="auto"/>
        <w:bottom w:val="none" w:sz="0" w:space="0" w:color="auto"/>
        <w:right w:val="none" w:sz="0" w:space="0" w:color="auto"/>
      </w:divBdr>
    </w:div>
    <w:div w:id="1731075018">
      <w:bodyDiv w:val="1"/>
      <w:marLeft w:val="0"/>
      <w:marRight w:val="0"/>
      <w:marTop w:val="0"/>
      <w:marBottom w:val="0"/>
      <w:divBdr>
        <w:top w:val="none" w:sz="0" w:space="0" w:color="auto"/>
        <w:left w:val="none" w:sz="0" w:space="0" w:color="auto"/>
        <w:bottom w:val="none" w:sz="0" w:space="0" w:color="auto"/>
        <w:right w:val="none" w:sz="0" w:space="0" w:color="auto"/>
      </w:divBdr>
    </w:div>
    <w:div w:id="1736859657">
      <w:bodyDiv w:val="1"/>
      <w:marLeft w:val="0"/>
      <w:marRight w:val="0"/>
      <w:marTop w:val="0"/>
      <w:marBottom w:val="0"/>
      <w:divBdr>
        <w:top w:val="none" w:sz="0" w:space="0" w:color="auto"/>
        <w:left w:val="none" w:sz="0" w:space="0" w:color="auto"/>
        <w:bottom w:val="none" w:sz="0" w:space="0" w:color="auto"/>
        <w:right w:val="none" w:sz="0" w:space="0" w:color="auto"/>
      </w:divBdr>
    </w:div>
    <w:div w:id="1737313408">
      <w:bodyDiv w:val="1"/>
      <w:marLeft w:val="0"/>
      <w:marRight w:val="0"/>
      <w:marTop w:val="0"/>
      <w:marBottom w:val="0"/>
      <w:divBdr>
        <w:top w:val="none" w:sz="0" w:space="0" w:color="auto"/>
        <w:left w:val="none" w:sz="0" w:space="0" w:color="auto"/>
        <w:bottom w:val="none" w:sz="0" w:space="0" w:color="auto"/>
        <w:right w:val="none" w:sz="0" w:space="0" w:color="auto"/>
      </w:divBdr>
    </w:div>
    <w:div w:id="1742483419">
      <w:bodyDiv w:val="1"/>
      <w:marLeft w:val="0"/>
      <w:marRight w:val="0"/>
      <w:marTop w:val="0"/>
      <w:marBottom w:val="0"/>
      <w:divBdr>
        <w:top w:val="none" w:sz="0" w:space="0" w:color="auto"/>
        <w:left w:val="none" w:sz="0" w:space="0" w:color="auto"/>
        <w:bottom w:val="none" w:sz="0" w:space="0" w:color="auto"/>
        <w:right w:val="none" w:sz="0" w:space="0" w:color="auto"/>
      </w:divBdr>
    </w:div>
    <w:div w:id="1783063251">
      <w:bodyDiv w:val="1"/>
      <w:marLeft w:val="0"/>
      <w:marRight w:val="0"/>
      <w:marTop w:val="0"/>
      <w:marBottom w:val="0"/>
      <w:divBdr>
        <w:top w:val="none" w:sz="0" w:space="0" w:color="auto"/>
        <w:left w:val="none" w:sz="0" w:space="0" w:color="auto"/>
        <w:bottom w:val="none" w:sz="0" w:space="0" w:color="auto"/>
        <w:right w:val="none" w:sz="0" w:space="0" w:color="auto"/>
      </w:divBdr>
    </w:div>
    <w:div w:id="1799956650">
      <w:bodyDiv w:val="1"/>
      <w:marLeft w:val="0"/>
      <w:marRight w:val="0"/>
      <w:marTop w:val="0"/>
      <w:marBottom w:val="0"/>
      <w:divBdr>
        <w:top w:val="none" w:sz="0" w:space="0" w:color="auto"/>
        <w:left w:val="none" w:sz="0" w:space="0" w:color="auto"/>
        <w:bottom w:val="none" w:sz="0" w:space="0" w:color="auto"/>
        <w:right w:val="none" w:sz="0" w:space="0" w:color="auto"/>
      </w:divBdr>
    </w:div>
    <w:div w:id="1802456471">
      <w:bodyDiv w:val="1"/>
      <w:marLeft w:val="0"/>
      <w:marRight w:val="0"/>
      <w:marTop w:val="0"/>
      <w:marBottom w:val="0"/>
      <w:divBdr>
        <w:top w:val="none" w:sz="0" w:space="0" w:color="auto"/>
        <w:left w:val="none" w:sz="0" w:space="0" w:color="auto"/>
        <w:bottom w:val="none" w:sz="0" w:space="0" w:color="auto"/>
        <w:right w:val="none" w:sz="0" w:space="0" w:color="auto"/>
      </w:divBdr>
    </w:div>
    <w:div w:id="1822385684">
      <w:bodyDiv w:val="1"/>
      <w:marLeft w:val="0"/>
      <w:marRight w:val="0"/>
      <w:marTop w:val="0"/>
      <w:marBottom w:val="0"/>
      <w:divBdr>
        <w:top w:val="none" w:sz="0" w:space="0" w:color="auto"/>
        <w:left w:val="none" w:sz="0" w:space="0" w:color="auto"/>
        <w:bottom w:val="none" w:sz="0" w:space="0" w:color="auto"/>
        <w:right w:val="none" w:sz="0" w:space="0" w:color="auto"/>
      </w:divBdr>
    </w:div>
    <w:div w:id="1838299195">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94653607">
      <w:bodyDiv w:val="1"/>
      <w:marLeft w:val="0"/>
      <w:marRight w:val="0"/>
      <w:marTop w:val="0"/>
      <w:marBottom w:val="0"/>
      <w:divBdr>
        <w:top w:val="none" w:sz="0" w:space="0" w:color="auto"/>
        <w:left w:val="none" w:sz="0" w:space="0" w:color="auto"/>
        <w:bottom w:val="none" w:sz="0" w:space="0" w:color="auto"/>
        <w:right w:val="none" w:sz="0" w:space="0" w:color="auto"/>
      </w:divBdr>
    </w:div>
    <w:div w:id="1895460750">
      <w:bodyDiv w:val="1"/>
      <w:marLeft w:val="0"/>
      <w:marRight w:val="0"/>
      <w:marTop w:val="0"/>
      <w:marBottom w:val="0"/>
      <w:divBdr>
        <w:top w:val="none" w:sz="0" w:space="0" w:color="auto"/>
        <w:left w:val="none" w:sz="0" w:space="0" w:color="auto"/>
        <w:bottom w:val="none" w:sz="0" w:space="0" w:color="auto"/>
        <w:right w:val="none" w:sz="0" w:space="0" w:color="auto"/>
      </w:divBdr>
    </w:div>
    <w:div w:id="1905948046">
      <w:bodyDiv w:val="1"/>
      <w:marLeft w:val="0"/>
      <w:marRight w:val="0"/>
      <w:marTop w:val="0"/>
      <w:marBottom w:val="0"/>
      <w:divBdr>
        <w:top w:val="none" w:sz="0" w:space="0" w:color="auto"/>
        <w:left w:val="none" w:sz="0" w:space="0" w:color="auto"/>
        <w:bottom w:val="none" w:sz="0" w:space="0" w:color="auto"/>
        <w:right w:val="none" w:sz="0" w:space="0" w:color="auto"/>
      </w:divBdr>
    </w:div>
    <w:div w:id="1925336126">
      <w:bodyDiv w:val="1"/>
      <w:marLeft w:val="0"/>
      <w:marRight w:val="0"/>
      <w:marTop w:val="0"/>
      <w:marBottom w:val="0"/>
      <w:divBdr>
        <w:top w:val="none" w:sz="0" w:space="0" w:color="auto"/>
        <w:left w:val="none" w:sz="0" w:space="0" w:color="auto"/>
        <w:bottom w:val="none" w:sz="0" w:space="0" w:color="auto"/>
        <w:right w:val="none" w:sz="0" w:space="0" w:color="auto"/>
      </w:divBdr>
    </w:div>
    <w:div w:id="1932815129">
      <w:bodyDiv w:val="1"/>
      <w:marLeft w:val="0"/>
      <w:marRight w:val="0"/>
      <w:marTop w:val="0"/>
      <w:marBottom w:val="0"/>
      <w:divBdr>
        <w:top w:val="none" w:sz="0" w:space="0" w:color="auto"/>
        <w:left w:val="none" w:sz="0" w:space="0" w:color="auto"/>
        <w:bottom w:val="none" w:sz="0" w:space="0" w:color="auto"/>
        <w:right w:val="none" w:sz="0" w:space="0" w:color="auto"/>
      </w:divBdr>
    </w:div>
    <w:div w:id="1938711818">
      <w:bodyDiv w:val="1"/>
      <w:marLeft w:val="0"/>
      <w:marRight w:val="0"/>
      <w:marTop w:val="0"/>
      <w:marBottom w:val="0"/>
      <w:divBdr>
        <w:top w:val="none" w:sz="0" w:space="0" w:color="auto"/>
        <w:left w:val="none" w:sz="0" w:space="0" w:color="auto"/>
        <w:bottom w:val="none" w:sz="0" w:space="0" w:color="auto"/>
        <w:right w:val="none" w:sz="0" w:space="0" w:color="auto"/>
      </w:divBdr>
    </w:div>
    <w:div w:id="1983927911">
      <w:bodyDiv w:val="1"/>
      <w:marLeft w:val="0"/>
      <w:marRight w:val="0"/>
      <w:marTop w:val="0"/>
      <w:marBottom w:val="0"/>
      <w:divBdr>
        <w:top w:val="none" w:sz="0" w:space="0" w:color="auto"/>
        <w:left w:val="none" w:sz="0" w:space="0" w:color="auto"/>
        <w:bottom w:val="none" w:sz="0" w:space="0" w:color="auto"/>
        <w:right w:val="none" w:sz="0" w:space="0" w:color="auto"/>
      </w:divBdr>
    </w:div>
    <w:div w:id="2041200917">
      <w:bodyDiv w:val="1"/>
      <w:marLeft w:val="0"/>
      <w:marRight w:val="0"/>
      <w:marTop w:val="0"/>
      <w:marBottom w:val="0"/>
      <w:divBdr>
        <w:top w:val="none" w:sz="0" w:space="0" w:color="auto"/>
        <w:left w:val="none" w:sz="0" w:space="0" w:color="auto"/>
        <w:bottom w:val="none" w:sz="0" w:space="0" w:color="auto"/>
        <w:right w:val="none" w:sz="0" w:space="0" w:color="auto"/>
      </w:divBdr>
    </w:div>
    <w:div w:id="2076512093">
      <w:bodyDiv w:val="1"/>
      <w:marLeft w:val="0"/>
      <w:marRight w:val="0"/>
      <w:marTop w:val="0"/>
      <w:marBottom w:val="0"/>
      <w:divBdr>
        <w:top w:val="none" w:sz="0" w:space="0" w:color="auto"/>
        <w:left w:val="none" w:sz="0" w:space="0" w:color="auto"/>
        <w:bottom w:val="none" w:sz="0" w:space="0" w:color="auto"/>
        <w:right w:val="none" w:sz="0" w:space="0" w:color="auto"/>
      </w:divBdr>
    </w:div>
    <w:div w:id="2099058073">
      <w:bodyDiv w:val="1"/>
      <w:marLeft w:val="0"/>
      <w:marRight w:val="0"/>
      <w:marTop w:val="0"/>
      <w:marBottom w:val="0"/>
      <w:divBdr>
        <w:top w:val="none" w:sz="0" w:space="0" w:color="auto"/>
        <w:left w:val="none" w:sz="0" w:space="0" w:color="auto"/>
        <w:bottom w:val="none" w:sz="0" w:space="0" w:color="auto"/>
        <w:right w:val="none" w:sz="0" w:space="0" w:color="auto"/>
      </w:divBdr>
      <w:divsChild>
        <w:div w:id="429470310">
          <w:marLeft w:val="1166"/>
          <w:marRight w:val="0"/>
          <w:marTop w:val="0"/>
          <w:marBottom w:val="160"/>
          <w:divBdr>
            <w:top w:val="none" w:sz="0" w:space="0" w:color="auto"/>
            <w:left w:val="none" w:sz="0" w:space="0" w:color="auto"/>
            <w:bottom w:val="none" w:sz="0" w:space="0" w:color="auto"/>
            <w:right w:val="none" w:sz="0" w:space="0" w:color="auto"/>
          </w:divBdr>
        </w:div>
        <w:div w:id="797992333">
          <w:marLeft w:val="1166"/>
          <w:marRight w:val="0"/>
          <w:marTop w:val="0"/>
          <w:marBottom w:val="120"/>
          <w:divBdr>
            <w:top w:val="none" w:sz="0" w:space="0" w:color="auto"/>
            <w:left w:val="none" w:sz="0" w:space="0" w:color="auto"/>
            <w:bottom w:val="none" w:sz="0" w:space="0" w:color="auto"/>
            <w:right w:val="none" w:sz="0" w:space="0" w:color="auto"/>
          </w:divBdr>
        </w:div>
        <w:div w:id="830484764">
          <w:marLeft w:val="1166"/>
          <w:marRight w:val="0"/>
          <w:marTop w:val="0"/>
          <w:marBottom w:val="120"/>
          <w:divBdr>
            <w:top w:val="none" w:sz="0" w:space="0" w:color="auto"/>
            <w:left w:val="none" w:sz="0" w:space="0" w:color="auto"/>
            <w:bottom w:val="none" w:sz="0" w:space="0" w:color="auto"/>
            <w:right w:val="none" w:sz="0" w:space="0" w:color="auto"/>
          </w:divBdr>
        </w:div>
        <w:div w:id="1208377743">
          <w:marLeft w:val="1166"/>
          <w:marRight w:val="0"/>
          <w:marTop w:val="0"/>
          <w:marBottom w:val="120"/>
          <w:divBdr>
            <w:top w:val="none" w:sz="0" w:space="0" w:color="auto"/>
            <w:left w:val="none" w:sz="0" w:space="0" w:color="auto"/>
            <w:bottom w:val="none" w:sz="0" w:space="0" w:color="auto"/>
            <w:right w:val="none" w:sz="0" w:space="0" w:color="auto"/>
          </w:divBdr>
        </w:div>
        <w:div w:id="1301380265">
          <w:marLeft w:val="1166"/>
          <w:marRight w:val="0"/>
          <w:marTop w:val="0"/>
          <w:marBottom w:val="120"/>
          <w:divBdr>
            <w:top w:val="none" w:sz="0" w:space="0" w:color="auto"/>
            <w:left w:val="none" w:sz="0" w:space="0" w:color="auto"/>
            <w:bottom w:val="none" w:sz="0" w:space="0" w:color="auto"/>
            <w:right w:val="none" w:sz="0" w:space="0" w:color="auto"/>
          </w:divBdr>
        </w:div>
        <w:div w:id="1577858004">
          <w:marLeft w:val="1166"/>
          <w:marRight w:val="0"/>
          <w:marTop w:val="0"/>
          <w:marBottom w:val="120"/>
          <w:divBdr>
            <w:top w:val="none" w:sz="0" w:space="0" w:color="auto"/>
            <w:left w:val="none" w:sz="0" w:space="0" w:color="auto"/>
            <w:bottom w:val="none" w:sz="0" w:space="0" w:color="auto"/>
            <w:right w:val="none" w:sz="0" w:space="0" w:color="auto"/>
          </w:divBdr>
        </w:div>
        <w:div w:id="1927230320">
          <w:marLeft w:val="1166"/>
          <w:marRight w:val="0"/>
          <w:marTop w:val="0"/>
          <w:marBottom w:val="120"/>
          <w:divBdr>
            <w:top w:val="none" w:sz="0" w:space="0" w:color="auto"/>
            <w:left w:val="none" w:sz="0" w:space="0" w:color="auto"/>
            <w:bottom w:val="none" w:sz="0" w:space="0" w:color="auto"/>
            <w:right w:val="none" w:sz="0" w:space="0" w:color="auto"/>
          </w:divBdr>
        </w:div>
      </w:divsChild>
    </w:div>
    <w:div w:id="2102409220">
      <w:bodyDiv w:val="1"/>
      <w:marLeft w:val="0"/>
      <w:marRight w:val="0"/>
      <w:marTop w:val="0"/>
      <w:marBottom w:val="0"/>
      <w:divBdr>
        <w:top w:val="none" w:sz="0" w:space="0" w:color="auto"/>
        <w:left w:val="none" w:sz="0" w:space="0" w:color="auto"/>
        <w:bottom w:val="none" w:sz="0" w:space="0" w:color="auto"/>
        <w:right w:val="none" w:sz="0" w:space="0" w:color="auto"/>
      </w:divBdr>
    </w:div>
    <w:div w:id="2120174945">
      <w:bodyDiv w:val="1"/>
      <w:marLeft w:val="0"/>
      <w:marRight w:val="0"/>
      <w:marTop w:val="0"/>
      <w:marBottom w:val="0"/>
      <w:divBdr>
        <w:top w:val="none" w:sz="0" w:space="0" w:color="auto"/>
        <w:left w:val="none" w:sz="0" w:space="0" w:color="auto"/>
        <w:bottom w:val="none" w:sz="0" w:space="0" w:color="auto"/>
        <w:right w:val="none" w:sz="0" w:space="0" w:color="auto"/>
      </w:divBdr>
    </w:div>
    <w:div w:id="213020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footnotes.xml.rels><?xml version="1.0" encoding="UTF-8" standalone="yes"?>
<Relationships xmlns="http://schemas.openxmlformats.org/package/2006/relationships"><Relationship Id="rId1" Type="http://schemas.openxmlformats.org/officeDocument/2006/relationships/hyperlink" Target="http://eestats.cpuc.ca.gov/Views/Documents.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60A115510D604D946F1A5B60A25960" ma:contentTypeVersion="2" ma:contentTypeDescription="Create a new document." ma:contentTypeScope="" ma:versionID="61d8cbd4c2d3e6adf49d03063525f3fc">
  <xsd:schema xmlns:xsd="http://www.w3.org/2001/XMLSchema" xmlns:xs="http://www.w3.org/2001/XMLSchema" xmlns:p="http://schemas.microsoft.com/office/2006/metadata/properties" targetNamespace="http://schemas.microsoft.com/office/2006/metadata/properties" ma:root="true" ma:fieldsID="945b1eb723395c1f2f5ab635b757cc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362EE-8170-402A-85BF-EE6573AEE70F}">
  <ds:schemaRefs>
    <ds:schemaRef ds:uri="http://purl.org/dc/terms/"/>
    <ds:schemaRef ds:uri="http://schemas.microsoft.com/office/2006/metadata/properties"/>
    <ds:schemaRef ds:uri="http://schemas.microsoft.com/office/infopath/2007/PartnerControls"/>
    <ds:schemaRef ds:uri="http://www.w3.org/XML/1998/namespace"/>
    <ds:schemaRef ds:uri="http://purl.org/dc/dcmitype/"/>
    <ds:schemaRef ds:uri="http://purl.org/dc/elements/1.1/"/>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4EF66DD5-697B-4AD9-8C0F-EBF412283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400B6CC-E82A-4B4A-8049-451FF2DD083F}">
  <ds:schemaRefs>
    <ds:schemaRef ds:uri="http://schemas.microsoft.com/sharepoint/v3/contenttype/forms"/>
  </ds:schemaRefs>
</ds:datastoreItem>
</file>

<file path=customXml/itemProps4.xml><?xml version="1.0" encoding="utf-8"?>
<ds:datastoreItem xmlns:ds="http://schemas.openxmlformats.org/officeDocument/2006/customXml" ds:itemID="{52FD41E7-38A9-484F-A8B6-F6BCF3539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2925</Words>
  <Characters>16677</Characters>
  <Application>Microsoft Office Word</Application>
  <DocSecurity>0</DocSecurity>
  <PresentationFormat>15|.DOCX</PresentationFormat>
  <Lines>138</Lines>
  <Paragraphs>39</Paragraphs>
  <ScaleCrop>false</ScaleCrop>
  <HeadingPairs>
    <vt:vector size="2" baseType="variant">
      <vt:variant>
        <vt:lpstr>Title</vt:lpstr>
      </vt:variant>
      <vt:variant>
        <vt:i4>1</vt:i4>
      </vt:variant>
    </vt:vector>
  </HeadingPairs>
  <TitlesOfParts>
    <vt:vector size="1" baseType="lpstr">
      <vt:lpstr>Date</vt:lpstr>
    </vt:vector>
  </TitlesOfParts>
  <Company>PG&amp;E</Company>
  <LinksUpToDate>false</LinksUpToDate>
  <CharactersWithSpaces>19563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Jason D. Kwan</dc:creator>
  <cp:keywords/>
  <dc:description/>
  <cp:lastModifiedBy>Jenny Roecks</cp:lastModifiedBy>
  <cp:revision>2</cp:revision>
  <cp:lastPrinted>2019-08-02T20:11:00Z</cp:lastPrinted>
  <dcterms:created xsi:type="dcterms:W3CDTF">2019-08-07T22:34:00Z</dcterms:created>
  <dcterms:modified xsi:type="dcterms:W3CDTF">2019-08-07T22:34:00Z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0x010100A060A115510D604D946F1A5B60A25960</vt:lpwstr>
  </property>
</Properties>
</file>