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B080" w14:textId="77777777" w:rsidR="00DD3B2A" w:rsidRPr="00B030D6" w:rsidRDefault="000521FB" w:rsidP="00A53B91">
      <w:pPr>
        <w:spacing w:after="0"/>
        <w:jc w:val="center"/>
        <w:rPr>
          <w:b/>
        </w:rPr>
      </w:pPr>
      <w:bookmarkStart w:id="0" w:name="_GoBack"/>
      <w:bookmarkEnd w:id="0"/>
      <w:r w:rsidRPr="00B030D6">
        <w:rPr>
          <w:b/>
        </w:rPr>
        <w:t xml:space="preserve">GUIDING PRINCIPLES AND OBJECTIVES FOR </w:t>
      </w:r>
      <w:r w:rsidR="00AD494B">
        <w:rPr>
          <w:b/>
        </w:rPr>
        <w:t>A LONG-TERM</w:t>
      </w:r>
      <w:r w:rsidR="00AD494B" w:rsidRPr="00B030D6">
        <w:rPr>
          <w:b/>
        </w:rPr>
        <w:t xml:space="preserve"> </w:t>
      </w:r>
      <w:r w:rsidRPr="00B030D6">
        <w:rPr>
          <w:b/>
        </w:rPr>
        <w:t>ROLLING CYCLE</w:t>
      </w:r>
    </w:p>
    <w:p w14:paraId="52FC0394" w14:textId="77777777" w:rsidR="00A53B91" w:rsidRPr="00814900" w:rsidRDefault="00814900" w:rsidP="00153013">
      <w:pPr>
        <w:spacing w:after="0"/>
        <w:jc w:val="center"/>
        <w:rPr>
          <w:b/>
        </w:rPr>
      </w:pPr>
      <w:r w:rsidRPr="00814900">
        <w:rPr>
          <w:b/>
        </w:rPr>
        <w:t xml:space="preserve">INTERNAL </w:t>
      </w:r>
      <w:r w:rsidR="0076726A" w:rsidRPr="00814900">
        <w:rPr>
          <w:b/>
        </w:rPr>
        <w:t xml:space="preserve">STAKEHOLDER </w:t>
      </w:r>
      <w:r w:rsidR="00153013" w:rsidRPr="00814900">
        <w:rPr>
          <w:b/>
        </w:rPr>
        <w:t>DOCUMENT</w:t>
      </w:r>
    </w:p>
    <w:tbl>
      <w:tblPr>
        <w:tblpPr w:leftFromText="180" w:rightFromText="180" w:vertAnchor="page" w:horzAnchor="margin" w:tblpY="1975"/>
        <w:tblW w:w="10142" w:type="dxa"/>
        <w:tblBorders>
          <w:top w:val="single" w:sz="8" w:space="0" w:color="auto"/>
          <w:left w:val="single" w:sz="8" w:space="0" w:color="auto"/>
          <w:bottom w:val="single" w:sz="8" w:space="0" w:color="auto"/>
          <w:right w:val="single" w:sz="8" w:space="0" w:color="auto"/>
          <w:insideH w:val="single" w:sz="6" w:space="0" w:color="808080"/>
          <w:insideV w:val="single" w:sz="6" w:space="0" w:color="808080"/>
        </w:tblBorders>
        <w:tblLook w:val="04A0" w:firstRow="1" w:lastRow="0" w:firstColumn="1" w:lastColumn="0" w:noHBand="0" w:noVBand="1"/>
      </w:tblPr>
      <w:tblGrid>
        <w:gridCol w:w="3266"/>
        <w:gridCol w:w="6876"/>
      </w:tblGrid>
      <w:tr w:rsidR="00E74C55" w:rsidRPr="00B030D6" w14:paraId="01890BB8" w14:textId="77777777" w:rsidTr="00E74C55">
        <w:trPr>
          <w:trHeight w:val="813"/>
        </w:trPr>
        <w:tc>
          <w:tcPr>
            <w:tcW w:w="3266" w:type="dxa"/>
            <w:shd w:val="clear" w:color="000000" w:fill="C4D79B"/>
            <w:noWrap/>
            <w:vAlign w:val="center"/>
            <w:hideMark/>
          </w:tcPr>
          <w:p w14:paraId="29221FE1" w14:textId="77777777" w:rsidR="00E74C55" w:rsidRPr="00A53B91" w:rsidRDefault="00E74C55" w:rsidP="00E74C55">
            <w:pPr>
              <w:spacing w:after="0" w:line="240" w:lineRule="auto"/>
              <w:jc w:val="center"/>
              <w:rPr>
                <w:rFonts w:ascii="Calibri" w:eastAsia="Times New Roman" w:hAnsi="Calibri" w:cs="Times New Roman"/>
                <w:b/>
                <w:bCs/>
                <w:color w:val="000000"/>
              </w:rPr>
            </w:pPr>
            <w:r w:rsidRPr="00A53B91">
              <w:rPr>
                <w:rFonts w:ascii="Calibri" w:eastAsia="Times New Roman" w:hAnsi="Calibri" w:cs="Times New Roman"/>
                <w:b/>
                <w:bCs/>
                <w:color w:val="000000"/>
              </w:rPr>
              <w:t xml:space="preserve">Guiding </w:t>
            </w:r>
            <w:r w:rsidRPr="00A53B91">
              <w:rPr>
                <w:rFonts w:ascii="Calibri" w:eastAsia="Times New Roman" w:hAnsi="Calibri" w:cs="Times New Roman"/>
                <w:b/>
                <w:bCs/>
              </w:rPr>
              <w:t xml:space="preserve">Principles </w:t>
            </w:r>
            <w:r w:rsidRPr="00A53B91">
              <w:rPr>
                <w:rFonts w:ascii="Calibri" w:hAnsi="Calibri"/>
                <w:b/>
              </w:rPr>
              <w:t>of a Long-Term Rolling Program Cycle Model</w:t>
            </w:r>
          </w:p>
        </w:tc>
        <w:tc>
          <w:tcPr>
            <w:tcW w:w="6876" w:type="dxa"/>
            <w:shd w:val="clear" w:color="000000" w:fill="C4D79B"/>
            <w:noWrap/>
            <w:vAlign w:val="center"/>
            <w:hideMark/>
          </w:tcPr>
          <w:p w14:paraId="1D2DCFC9" w14:textId="77777777" w:rsidR="00E74C55" w:rsidRPr="00A53B91" w:rsidRDefault="00E74C55" w:rsidP="00E74C55">
            <w:pPr>
              <w:spacing w:after="0" w:line="240" w:lineRule="auto"/>
              <w:jc w:val="center"/>
              <w:rPr>
                <w:rFonts w:ascii="Calibri" w:eastAsia="Times New Roman" w:hAnsi="Calibri" w:cs="Times New Roman"/>
                <w:b/>
                <w:bCs/>
                <w:color w:val="000000"/>
              </w:rPr>
            </w:pPr>
            <w:r w:rsidRPr="00A53B91">
              <w:rPr>
                <w:rFonts w:ascii="Calibri" w:eastAsia="Times New Roman" w:hAnsi="Calibri" w:cs="Times New Roman"/>
                <w:b/>
                <w:bCs/>
              </w:rPr>
              <w:t xml:space="preserve">Desired Outcomes </w:t>
            </w:r>
            <w:r w:rsidRPr="00A53B91">
              <w:rPr>
                <w:rFonts w:ascii="Calibri" w:hAnsi="Calibri"/>
                <w:b/>
              </w:rPr>
              <w:t xml:space="preserve">of an Improved Regulatory Process Supported by a Long-Term Rolling </w:t>
            </w:r>
            <w:r>
              <w:rPr>
                <w:rFonts w:ascii="Calibri" w:hAnsi="Calibri"/>
                <w:b/>
              </w:rPr>
              <w:t>Cycle</w:t>
            </w:r>
            <w:r w:rsidRPr="00A53B91">
              <w:rPr>
                <w:rFonts w:ascii="Calibri" w:hAnsi="Calibri"/>
                <w:b/>
              </w:rPr>
              <w:t xml:space="preserve"> Model</w:t>
            </w:r>
          </w:p>
        </w:tc>
      </w:tr>
      <w:tr w:rsidR="00E74C55" w:rsidRPr="00B030D6" w14:paraId="01A6DD2B" w14:textId="77777777" w:rsidTr="00E74C55">
        <w:trPr>
          <w:trHeight w:val="504"/>
        </w:trPr>
        <w:tc>
          <w:tcPr>
            <w:tcW w:w="3266" w:type="dxa"/>
            <w:vMerge w:val="restart"/>
            <w:shd w:val="clear" w:color="auto" w:fill="auto"/>
            <w:noWrap/>
            <w:vAlign w:val="center"/>
            <w:hideMark/>
          </w:tcPr>
          <w:p w14:paraId="01934014" w14:textId="77777777" w:rsidR="00E74C55" w:rsidRPr="00FE2560" w:rsidRDefault="00E74C55" w:rsidP="00E74C55">
            <w:pPr>
              <w:spacing w:after="0" w:line="240" w:lineRule="auto"/>
              <w:jc w:val="center"/>
              <w:rPr>
                <w:rFonts w:ascii="Calibri" w:eastAsia="Times New Roman" w:hAnsi="Calibri" w:cs="Times New Roman"/>
                <w:color w:val="000000"/>
              </w:rPr>
            </w:pPr>
            <w:r w:rsidRPr="00FE2560">
              <w:rPr>
                <w:rFonts w:ascii="Calibri" w:eastAsia="Times New Roman" w:hAnsi="Calibri" w:cs="Times New Roman"/>
                <w:b/>
                <w:bCs/>
                <w:color w:val="000000"/>
              </w:rPr>
              <w:t>Manageability</w:t>
            </w:r>
            <w:r w:rsidRPr="00FE2560">
              <w:rPr>
                <w:rFonts w:ascii="Calibri" w:eastAsia="Times New Roman" w:hAnsi="Calibri" w:cs="Times New Roman"/>
                <w:color w:val="000000"/>
              </w:rPr>
              <w:t xml:space="preserve"> </w:t>
            </w:r>
          </w:p>
          <w:p w14:paraId="090DF585" w14:textId="77777777" w:rsidR="00E74C55" w:rsidRPr="00B030D6" w:rsidRDefault="00E74C55" w:rsidP="00E74C55">
            <w:pPr>
              <w:spacing w:after="0" w:line="240" w:lineRule="auto"/>
              <w:jc w:val="center"/>
              <w:rPr>
                <w:rFonts w:ascii="Calibri" w:eastAsia="Times New Roman" w:hAnsi="Calibri" w:cs="Times New Roman"/>
                <w:color w:val="000000"/>
              </w:rPr>
            </w:pPr>
            <w:r w:rsidRPr="00B030D6">
              <w:rPr>
                <w:rFonts w:ascii="Calibri" w:eastAsia="Times New Roman" w:hAnsi="Calibri" w:cs="Times New Roman"/>
                <w:color w:val="000000"/>
              </w:rPr>
              <w:t>(simple, streamlined, and predictable)</w:t>
            </w:r>
          </w:p>
        </w:tc>
        <w:tc>
          <w:tcPr>
            <w:tcW w:w="6876" w:type="dxa"/>
            <w:shd w:val="clear" w:color="auto" w:fill="auto"/>
            <w:vAlign w:val="center"/>
            <w:hideMark/>
          </w:tcPr>
          <w:p w14:paraId="77909B68" w14:textId="77777777" w:rsidR="00E74C55" w:rsidRPr="00310E87" w:rsidRDefault="00E74C55" w:rsidP="00E74C55">
            <w:pPr>
              <w:pStyle w:val="ListParagraph"/>
              <w:numPr>
                <w:ilvl w:val="0"/>
                <w:numId w:val="1"/>
              </w:numPr>
              <w:spacing w:after="0" w:line="240" w:lineRule="auto"/>
              <w:rPr>
                <w:rFonts w:ascii="Calibri" w:eastAsia="Times New Roman" w:hAnsi="Calibri" w:cs="Times New Roman"/>
                <w:b/>
                <w:bCs/>
              </w:rPr>
            </w:pPr>
            <w:r>
              <w:rPr>
                <w:rFonts w:ascii="Calibri" w:eastAsia="Times New Roman" w:hAnsi="Calibri" w:cs="Times New Roman"/>
                <w:b/>
                <w:bCs/>
              </w:rPr>
              <w:t>Reduced and streamlined</w:t>
            </w:r>
            <w:r w:rsidRPr="00310E87">
              <w:rPr>
                <w:rFonts w:ascii="Calibri" w:eastAsia="Times New Roman" w:hAnsi="Calibri" w:cs="Times New Roman"/>
                <w:b/>
                <w:bCs/>
              </w:rPr>
              <w:t xml:space="preserve"> administrative and regulatory </w:t>
            </w:r>
            <w:r>
              <w:rPr>
                <w:rFonts w:ascii="Calibri" w:eastAsia="Times New Roman" w:hAnsi="Calibri" w:cs="Times New Roman"/>
                <w:b/>
                <w:bCs/>
              </w:rPr>
              <w:t>burden, extended program operating period</w:t>
            </w:r>
            <w:r w:rsidRPr="00310E87">
              <w:rPr>
                <w:rFonts w:ascii="Calibri" w:eastAsia="Times New Roman" w:hAnsi="Calibri" w:cs="Times New Roman"/>
                <w:b/>
                <w:bCs/>
              </w:rPr>
              <w:t xml:space="preserve">. </w:t>
            </w:r>
          </w:p>
        </w:tc>
      </w:tr>
      <w:tr w:rsidR="00E74C55" w:rsidRPr="00B030D6" w14:paraId="538F7371" w14:textId="77777777" w:rsidTr="00E74C55">
        <w:trPr>
          <w:trHeight w:val="882"/>
        </w:trPr>
        <w:tc>
          <w:tcPr>
            <w:tcW w:w="3266" w:type="dxa"/>
            <w:vMerge/>
            <w:vAlign w:val="center"/>
            <w:hideMark/>
          </w:tcPr>
          <w:p w14:paraId="797F62DB" w14:textId="77777777" w:rsidR="00E74C55" w:rsidRPr="00B030D6" w:rsidRDefault="00E74C55" w:rsidP="00E74C55">
            <w:pPr>
              <w:spacing w:after="0" w:line="240" w:lineRule="auto"/>
              <w:rPr>
                <w:rFonts w:ascii="Calibri" w:eastAsia="Times New Roman" w:hAnsi="Calibri" w:cs="Times New Roman"/>
                <w:color w:val="000000"/>
              </w:rPr>
            </w:pPr>
          </w:p>
        </w:tc>
        <w:tc>
          <w:tcPr>
            <w:tcW w:w="6876" w:type="dxa"/>
            <w:shd w:val="clear" w:color="auto" w:fill="auto"/>
            <w:vAlign w:val="center"/>
            <w:hideMark/>
          </w:tcPr>
          <w:p w14:paraId="27005A28" w14:textId="77777777" w:rsidR="00E74C55" w:rsidRPr="005F4BAE" w:rsidRDefault="00E74C55" w:rsidP="00E74C55">
            <w:pPr>
              <w:pStyle w:val="ListParagraph"/>
              <w:numPr>
                <w:ilvl w:val="0"/>
                <w:numId w:val="1"/>
              </w:num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Regulatory p</w:t>
            </w:r>
            <w:r w:rsidRPr="005F4BAE">
              <w:rPr>
                <w:rFonts w:ascii="Calibri" w:eastAsia="Times New Roman" w:hAnsi="Calibri" w:cs="Times New Roman"/>
                <w:b/>
                <w:bCs/>
                <w:color w:val="000000"/>
              </w:rPr>
              <w:t>redictability</w:t>
            </w:r>
            <w:r>
              <w:rPr>
                <w:rFonts w:ascii="Calibri" w:eastAsia="Times New Roman" w:hAnsi="Calibri" w:cs="Times New Roman"/>
                <w:b/>
                <w:bCs/>
                <w:color w:val="000000"/>
              </w:rPr>
              <w:t xml:space="preserve">: </w:t>
            </w:r>
            <w:r w:rsidRPr="00052493">
              <w:rPr>
                <w:rFonts w:ascii="Calibri" w:eastAsia="Times New Roman" w:hAnsi="Calibri" w:cs="Times New Roman"/>
                <w:bCs/>
                <w:color w:val="000000"/>
              </w:rPr>
              <w:t xml:space="preserve">(e.g., </w:t>
            </w:r>
            <w:r w:rsidRPr="00310E87">
              <w:rPr>
                <w:rFonts w:ascii="Calibri" w:eastAsia="Times New Roman" w:hAnsi="Calibri" w:cs="Times New Roman"/>
                <w:bCs/>
              </w:rPr>
              <w:t xml:space="preserve">eliminate start/stop, pre-determined schedule </w:t>
            </w:r>
            <w:r w:rsidRPr="00052493">
              <w:rPr>
                <w:rFonts w:ascii="Calibri" w:eastAsia="Times New Roman" w:hAnsi="Calibri" w:cs="Times New Roman"/>
                <w:bCs/>
                <w:color w:val="000000"/>
              </w:rPr>
              <w:t>to enable stakeholders to organize resources</w:t>
            </w:r>
            <w:r>
              <w:rPr>
                <w:rFonts w:ascii="Calibri" w:eastAsia="Times New Roman" w:hAnsi="Calibri" w:cs="Times New Roman"/>
                <w:bCs/>
                <w:color w:val="000000"/>
              </w:rPr>
              <w:t>, etc.</w:t>
            </w:r>
            <w:r w:rsidRPr="00052493">
              <w:rPr>
                <w:rFonts w:ascii="Calibri" w:eastAsia="Times New Roman" w:hAnsi="Calibri" w:cs="Times New Roman"/>
                <w:bCs/>
                <w:color w:val="000000"/>
              </w:rPr>
              <w:t xml:space="preserve">) </w:t>
            </w:r>
          </w:p>
        </w:tc>
      </w:tr>
      <w:tr w:rsidR="00E74C55" w:rsidRPr="00B030D6" w14:paraId="104F1059" w14:textId="77777777" w:rsidTr="00E74C55">
        <w:trPr>
          <w:trHeight w:val="981"/>
        </w:trPr>
        <w:tc>
          <w:tcPr>
            <w:tcW w:w="3266" w:type="dxa"/>
            <w:vMerge w:val="restart"/>
            <w:shd w:val="clear" w:color="auto" w:fill="auto"/>
            <w:vAlign w:val="center"/>
            <w:hideMark/>
          </w:tcPr>
          <w:p w14:paraId="414C97C2" w14:textId="77777777" w:rsidR="00E74C55" w:rsidRPr="009F048D" w:rsidRDefault="00E74C55" w:rsidP="00E74C55">
            <w:pPr>
              <w:pStyle w:val="ListParagraph"/>
              <w:spacing w:after="0" w:line="240" w:lineRule="auto"/>
              <w:ind w:left="180"/>
              <w:jc w:val="center"/>
              <w:rPr>
                <w:rFonts w:ascii="Calibri" w:eastAsia="Times New Roman" w:hAnsi="Calibri" w:cs="Times New Roman"/>
                <w:color w:val="000000"/>
              </w:rPr>
            </w:pPr>
            <w:r>
              <w:rPr>
                <w:rFonts w:ascii="Calibri" w:eastAsia="Times New Roman" w:hAnsi="Calibri" w:cs="Times New Roman"/>
                <w:b/>
                <w:bCs/>
                <w:color w:val="000000"/>
              </w:rPr>
              <w:t>Eff</w:t>
            </w:r>
            <w:r w:rsidRPr="009F048D">
              <w:rPr>
                <w:rFonts w:ascii="Calibri" w:eastAsia="Times New Roman" w:hAnsi="Calibri" w:cs="Times New Roman"/>
                <w:b/>
                <w:bCs/>
                <w:color w:val="000000"/>
              </w:rPr>
              <w:t>ectiveness</w:t>
            </w:r>
            <w:r>
              <w:rPr>
                <w:rStyle w:val="FootnoteReference"/>
                <w:rFonts w:ascii="Calibri" w:eastAsia="Times New Roman" w:hAnsi="Calibri" w:cs="Times New Roman"/>
                <w:b/>
                <w:bCs/>
                <w:color w:val="000000"/>
              </w:rPr>
              <w:footnoteReference w:id="1"/>
            </w:r>
          </w:p>
          <w:p w14:paraId="3266C1EC" w14:textId="77777777" w:rsidR="00E74C55" w:rsidRPr="00B030D6" w:rsidRDefault="00E74C55" w:rsidP="00E74C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(in program participation, in energy savings and </w:t>
            </w:r>
            <w:r w:rsidRPr="00B030D6">
              <w:rPr>
                <w:rFonts w:ascii="Calibri" w:eastAsia="Times New Roman" w:hAnsi="Calibri" w:cs="Times New Roman"/>
                <w:color w:val="000000"/>
              </w:rPr>
              <w:t>in procurement planning</w:t>
            </w:r>
            <w:r>
              <w:rPr>
                <w:rFonts w:ascii="Calibri" w:eastAsia="Times New Roman" w:hAnsi="Calibri" w:cs="Times New Roman"/>
                <w:color w:val="000000"/>
              </w:rPr>
              <w:t>)</w:t>
            </w:r>
            <w:r w:rsidRPr="00B030D6">
              <w:rPr>
                <w:rFonts w:ascii="Calibri" w:eastAsia="Times New Roman" w:hAnsi="Calibri" w:cs="Times New Roman"/>
                <w:color w:val="000000"/>
              </w:rPr>
              <w:t xml:space="preserve"> </w:t>
            </w:r>
          </w:p>
        </w:tc>
        <w:tc>
          <w:tcPr>
            <w:tcW w:w="6876" w:type="dxa"/>
            <w:shd w:val="clear" w:color="auto" w:fill="auto"/>
            <w:vAlign w:val="center"/>
            <w:hideMark/>
          </w:tcPr>
          <w:p w14:paraId="2B2A4969" w14:textId="77777777" w:rsidR="00E74C55" w:rsidRPr="00E85766" w:rsidRDefault="00E74C55" w:rsidP="00E74C55">
            <w:pPr>
              <w:pStyle w:val="ListParagraph"/>
              <w:numPr>
                <w:ilvl w:val="0"/>
                <w:numId w:val="9"/>
              </w:numPr>
              <w:spacing w:after="0" w:line="240" w:lineRule="auto"/>
              <w:rPr>
                <w:rFonts w:ascii="Calibri" w:eastAsia="Times New Roman" w:hAnsi="Calibri" w:cs="Times New Roman"/>
                <w:b/>
                <w:bCs/>
                <w:color w:val="000000"/>
              </w:rPr>
            </w:pPr>
            <w:r w:rsidRPr="00E85766">
              <w:rPr>
                <w:rFonts w:ascii="Calibri" w:hAnsi="Calibri"/>
                <w:b/>
              </w:rPr>
              <w:t>Robust EE industry</w:t>
            </w:r>
            <w:r>
              <w:rPr>
                <w:rFonts w:ascii="Calibri" w:hAnsi="Calibri"/>
              </w:rPr>
              <w:t xml:space="preserve">: (e.g. </w:t>
            </w:r>
            <w:r>
              <w:t xml:space="preserve"> </w:t>
            </w:r>
            <w:r w:rsidRPr="00C61E61">
              <w:rPr>
                <w:rFonts w:ascii="Calibri" w:hAnsi="Calibri"/>
              </w:rPr>
              <w:t>improv</w:t>
            </w:r>
            <w:r>
              <w:rPr>
                <w:rFonts w:ascii="Calibri" w:hAnsi="Calibri"/>
              </w:rPr>
              <w:t>e</w:t>
            </w:r>
            <w:r w:rsidRPr="00C61E61">
              <w:rPr>
                <w:rFonts w:ascii="Calibri" w:hAnsi="Calibri"/>
              </w:rPr>
              <w:t xml:space="preserve"> the viability for participation </w:t>
            </w:r>
            <w:r w:rsidRPr="00753F34">
              <w:rPr>
                <w:rFonts w:ascii="Calibri" w:hAnsi="Calibri"/>
              </w:rPr>
              <w:t>by stabilizing a</w:t>
            </w:r>
            <w:r>
              <w:rPr>
                <w:rFonts w:ascii="Calibri" w:hAnsi="Calibri"/>
              </w:rPr>
              <w:t xml:space="preserve">nd simplifying program offerings, </w:t>
            </w:r>
            <w:r w:rsidRPr="00E85766">
              <w:rPr>
                <w:rFonts w:ascii="Calibri" w:hAnsi="Calibri"/>
              </w:rPr>
              <w:t xml:space="preserve">build demand </w:t>
            </w:r>
            <w:r>
              <w:rPr>
                <w:rFonts w:ascii="Calibri" w:hAnsi="Calibri"/>
              </w:rPr>
              <w:t>by</w:t>
            </w:r>
            <w:r w:rsidRPr="00E85766">
              <w:rPr>
                <w:rFonts w:ascii="Calibri" w:hAnsi="Calibri"/>
              </w:rPr>
              <w:t xml:space="preserve"> attract</w:t>
            </w:r>
            <w:r>
              <w:rPr>
                <w:rFonts w:ascii="Calibri" w:hAnsi="Calibri"/>
              </w:rPr>
              <w:t>ing</w:t>
            </w:r>
            <w:r w:rsidRPr="00E85766">
              <w:rPr>
                <w:rFonts w:ascii="Calibri" w:hAnsi="Calibri"/>
              </w:rPr>
              <w:t xml:space="preserve"> high performance </w:t>
            </w:r>
            <w:r>
              <w:rPr>
                <w:rFonts w:ascii="Calibri" w:hAnsi="Calibri"/>
              </w:rPr>
              <w:t>implementers</w:t>
            </w:r>
            <w:r w:rsidRPr="00E85766">
              <w:rPr>
                <w:rFonts w:ascii="Calibri" w:hAnsi="Calibri"/>
              </w:rPr>
              <w:t xml:space="preserve">, </w:t>
            </w:r>
            <w:r w:rsidRPr="00310E87">
              <w:rPr>
                <w:rFonts w:ascii="Calibri" w:hAnsi="Calibri"/>
              </w:rPr>
              <w:t>contractors,</w:t>
            </w:r>
            <w:r>
              <w:rPr>
                <w:rFonts w:ascii="Calibri" w:hAnsi="Calibri"/>
              </w:rPr>
              <w:t xml:space="preserve"> installers and other market actors;</w:t>
            </w:r>
            <w:r w:rsidRPr="00E85766">
              <w:rPr>
                <w:rFonts w:ascii="Calibri" w:hAnsi="Calibri"/>
              </w:rPr>
              <w:t xml:space="preserve"> </w:t>
            </w:r>
            <w:r>
              <w:rPr>
                <w:rFonts w:ascii="Calibri" w:hAnsi="Calibri"/>
              </w:rPr>
              <w:t xml:space="preserve"> ensure predictability, continuity, reliability and confidence</w:t>
            </w:r>
            <w:r w:rsidRPr="00310E87">
              <w:rPr>
                <w:rFonts w:ascii="Calibri" w:hAnsi="Calibri"/>
              </w:rPr>
              <w:t xml:space="preserve"> </w:t>
            </w:r>
            <w:r>
              <w:rPr>
                <w:rFonts w:ascii="Calibri" w:hAnsi="Calibri"/>
              </w:rPr>
              <w:t xml:space="preserve">by </w:t>
            </w:r>
            <w:r w:rsidRPr="00310E87">
              <w:rPr>
                <w:rFonts w:ascii="Calibri" w:hAnsi="Calibri"/>
              </w:rPr>
              <w:t xml:space="preserve">enabling flexibility for continuous improvement and delinking contracts from </w:t>
            </w:r>
            <w:r>
              <w:rPr>
                <w:rFonts w:ascii="Calibri" w:hAnsi="Calibri"/>
              </w:rPr>
              <w:t xml:space="preserve">CPUC regulatory processes, </w:t>
            </w:r>
            <w:r w:rsidRPr="00753F34">
              <w:rPr>
                <w:rFonts w:ascii="Calibri" w:hAnsi="Calibri"/>
              </w:rPr>
              <w:t xml:space="preserve"> among other strategies etc</w:t>
            </w:r>
            <w:r w:rsidRPr="00E85766">
              <w:rPr>
                <w:rFonts w:ascii="Calibri" w:hAnsi="Calibri"/>
              </w:rPr>
              <w:t>.)</w:t>
            </w:r>
          </w:p>
        </w:tc>
      </w:tr>
      <w:tr w:rsidR="00E74C55" w:rsidRPr="00B030D6" w14:paraId="2E2D25BB" w14:textId="77777777" w:rsidTr="00E74C55">
        <w:trPr>
          <w:trHeight w:val="693"/>
        </w:trPr>
        <w:tc>
          <w:tcPr>
            <w:tcW w:w="3266" w:type="dxa"/>
            <w:vMerge/>
            <w:shd w:val="clear" w:color="auto" w:fill="auto"/>
            <w:vAlign w:val="center"/>
          </w:tcPr>
          <w:p w14:paraId="4432D995" w14:textId="77777777" w:rsidR="00E74C55" w:rsidRPr="009F048D" w:rsidRDefault="00E74C55" w:rsidP="00E74C55">
            <w:pPr>
              <w:pStyle w:val="ListParagraph"/>
              <w:numPr>
                <w:ilvl w:val="0"/>
                <w:numId w:val="4"/>
              </w:numPr>
              <w:spacing w:after="0" w:line="240" w:lineRule="auto"/>
              <w:ind w:left="360"/>
              <w:jc w:val="center"/>
              <w:rPr>
                <w:rFonts w:ascii="Calibri" w:eastAsia="Times New Roman" w:hAnsi="Calibri" w:cs="Times New Roman"/>
                <w:b/>
                <w:bCs/>
                <w:color w:val="000000"/>
              </w:rPr>
            </w:pPr>
          </w:p>
        </w:tc>
        <w:tc>
          <w:tcPr>
            <w:tcW w:w="6876" w:type="dxa"/>
            <w:shd w:val="clear" w:color="auto" w:fill="auto"/>
            <w:vAlign w:val="center"/>
          </w:tcPr>
          <w:p w14:paraId="6DD20C42" w14:textId="77777777" w:rsidR="00E74C55" w:rsidRPr="00E85766" w:rsidRDefault="00E74C55" w:rsidP="00E74C55">
            <w:pPr>
              <w:pStyle w:val="ListParagraph"/>
              <w:numPr>
                <w:ilvl w:val="0"/>
                <w:numId w:val="9"/>
              </w:numPr>
              <w:spacing w:after="0" w:line="240" w:lineRule="auto"/>
              <w:rPr>
                <w:rFonts w:ascii="Calibri" w:eastAsia="Times New Roman" w:hAnsi="Calibri" w:cs="Times New Roman"/>
                <w:b/>
                <w:bCs/>
                <w:color w:val="000000"/>
              </w:rPr>
            </w:pPr>
            <w:r w:rsidRPr="00E85766">
              <w:rPr>
                <w:rFonts w:ascii="Calibri" w:eastAsia="Times New Roman" w:hAnsi="Calibri" w:cs="Times New Roman"/>
                <w:b/>
                <w:bCs/>
                <w:color w:val="000000"/>
              </w:rPr>
              <w:t xml:space="preserve">Enhanced customer experience: </w:t>
            </w:r>
            <w:r>
              <w:rPr>
                <w:rFonts w:ascii="Calibri" w:eastAsia="Times New Roman" w:hAnsi="Calibri" w:cs="Times New Roman"/>
                <w:bCs/>
                <w:color w:val="000000"/>
              </w:rPr>
              <w:t>(e.g., increase ease of customer participation; design</w:t>
            </w:r>
            <w:r w:rsidRPr="00FE2560">
              <w:rPr>
                <w:rFonts w:ascii="Calibri" w:eastAsia="Times New Roman" w:hAnsi="Calibri" w:cs="Times New Roman"/>
                <w:bCs/>
                <w:color w:val="000000"/>
              </w:rPr>
              <w:t xml:space="preserve"> programs</w:t>
            </w:r>
            <w:r>
              <w:rPr>
                <w:rFonts w:ascii="Calibri" w:eastAsia="Times New Roman" w:hAnsi="Calibri" w:cs="Times New Roman"/>
                <w:bCs/>
                <w:color w:val="000000"/>
              </w:rPr>
              <w:t xml:space="preserve"> </w:t>
            </w:r>
            <w:r w:rsidRPr="00753F34">
              <w:rPr>
                <w:rFonts w:ascii="Calibri" w:eastAsia="Times New Roman" w:hAnsi="Calibri" w:cs="Times New Roman"/>
                <w:bCs/>
                <w:color w:val="000000"/>
              </w:rPr>
              <w:t>and service delivery mechanisms</w:t>
            </w:r>
            <w:r w:rsidRPr="00FE2560">
              <w:rPr>
                <w:rFonts w:ascii="Calibri" w:eastAsia="Times New Roman" w:hAnsi="Calibri" w:cs="Times New Roman"/>
                <w:bCs/>
                <w:color w:val="000000"/>
              </w:rPr>
              <w:t xml:space="preserve"> to better engage customers; address needs and align with customer decision-making processes; etc.)</w:t>
            </w:r>
          </w:p>
        </w:tc>
      </w:tr>
      <w:tr w:rsidR="00E74C55" w:rsidRPr="00B030D6" w14:paraId="756FA8B3" w14:textId="77777777" w:rsidTr="00E74C55">
        <w:trPr>
          <w:trHeight w:val="792"/>
        </w:trPr>
        <w:tc>
          <w:tcPr>
            <w:tcW w:w="3266" w:type="dxa"/>
            <w:vMerge/>
            <w:shd w:val="clear" w:color="auto" w:fill="auto"/>
            <w:vAlign w:val="center"/>
          </w:tcPr>
          <w:p w14:paraId="150D4430" w14:textId="77777777" w:rsidR="00E74C55" w:rsidRPr="009F048D" w:rsidRDefault="00E74C55" w:rsidP="00E74C55">
            <w:pPr>
              <w:pStyle w:val="ListParagraph"/>
              <w:numPr>
                <w:ilvl w:val="0"/>
                <w:numId w:val="4"/>
              </w:numPr>
              <w:spacing w:after="0" w:line="240" w:lineRule="auto"/>
              <w:ind w:left="360"/>
              <w:jc w:val="center"/>
              <w:rPr>
                <w:rFonts w:ascii="Calibri" w:eastAsia="Times New Roman" w:hAnsi="Calibri" w:cs="Times New Roman"/>
                <w:b/>
                <w:bCs/>
                <w:color w:val="000000"/>
              </w:rPr>
            </w:pPr>
          </w:p>
        </w:tc>
        <w:tc>
          <w:tcPr>
            <w:tcW w:w="6876" w:type="dxa"/>
            <w:shd w:val="clear" w:color="auto" w:fill="auto"/>
            <w:vAlign w:val="center"/>
          </w:tcPr>
          <w:p w14:paraId="38FDA354" w14:textId="77777777" w:rsidR="00E74C55" w:rsidRPr="00153013" w:rsidRDefault="00E74C55" w:rsidP="00E74C55">
            <w:pPr>
              <w:pStyle w:val="ListParagraph"/>
              <w:numPr>
                <w:ilvl w:val="0"/>
                <w:numId w:val="9"/>
              </w:num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Maximized energy savings/energy demand reductions.</w:t>
            </w:r>
          </w:p>
        </w:tc>
      </w:tr>
      <w:tr w:rsidR="00E74C55" w:rsidRPr="00B030D6" w14:paraId="4B793C07" w14:textId="77777777" w:rsidTr="00E74C55">
        <w:trPr>
          <w:trHeight w:val="792"/>
        </w:trPr>
        <w:tc>
          <w:tcPr>
            <w:tcW w:w="3266" w:type="dxa"/>
            <w:vMerge/>
            <w:shd w:val="clear" w:color="auto" w:fill="auto"/>
            <w:vAlign w:val="center"/>
          </w:tcPr>
          <w:p w14:paraId="57A7DD67" w14:textId="77777777" w:rsidR="00E74C55" w:rsidRPr="009F048D" w:rsidRDefault="00E74C55" w:rsidP="00E74C55">
            <w:pPr>
              <w:pStyle w:val="ListParagraph"/>
              <w:numPr>
                <w:ilvl w:val="0"/>
                <w:numId w:val="4"/>
              </w:numPr>
              <w:spacing w:after="0" w:line="240" w:lineRule="auto"/>
              <w:ind w:left="360"/>
              <w:jc w:val="center"/>
              <w:rPr>
                <w:rFonts w:ascii="Calibri" w:eastAsia="Times New Roman" w:hAnsi="Calibri" w:cs="Times New Roman"/>
                <w:b/>
                <w:bCs/>
                <w:color w:val="000000"/>
              </w:rPr>
            </w:pPr>
          </w:p>
        </w:tc>
        <w:tc>
          <w:tcPr>
            <w:tcW w:w="6876" w:type="dxa"/>
            <w:shd w:val="clear" w:color="auto" w:fill="auto"/>
            <w:vAlign w:val="center"/>
          </w:tcPr>
          <w:p w14:paraId="5DE5945A" w14:textId="77777777" w:rsidR="00E74C55" w:rsidRDefault="00E74C55" w:rsidP="00E74C55">
            <w:pPr>
              <w:pStyle w:val="ListParagraph"/>
              <w:numPr>
                <w:ilvl w:val="0"/>
                <w:numId w:val="9"/>
              </w:numPr>
              <w:spacing w:after="0" w:line="240" w:lineRule="auto"/>
              <w:rPr>
                <w:rFonts w:ascii="Calibri" w:eastAsia="Times New Roman" w:hAnsi="Calibri" w:cs="Times New Roman"/>
                <w:b/>
                <w:bCs/>
                <w:color w:val="000000"/>
              </w:rPr>
            </w:pPr>
            <w:r w:rsidRPr="00FE2560">
              <w:rPr>
                <w:rFonts w:ascii="Calibri" w:eastAsia="Times New Roman" w:hAnsi="Calibri" w:cs="Times New Roman"/>
                <w:b/>
                <w:bCs/>
              </w:rPr>
              <w:t>Improved confidence in EE savings and maximized EE savings potential in resource planning to ensure the most cost-effective investment decisions.</w:t>
            </w:r>
          </w:p>
        </w:tc>
      </w:tr>
      <w:tr w:rsidR="00E74C55" w:rsidRPr="00B030D6" w14:paraId="7970D2E9" w14:textId="77777777" w:rsidTr="00E74C55">
        <w:trPr>
          <w:trHeight w:val="792"/>
        </w:trPr>
        <w:tc>
          <w:tcPr>
            <w:tcW w:w="3266" w:type="dxa"/>
            <w:vMerge/>
            <w:shd w:val="clear" w:color="auto" w:fill="auto"/>
            <w:vAlign w:val="center"/>
          </w:tcPr>
          <w:p w14:paraId="0500B1A3" w14:textId="77777777" w:rsidR="00E74C55" w:rsidRPr="009F048D" w:rsidRDefault="00E74C55" w:rsidP="00E74C55">
            <w:pPr>
              <w:pStyle w:val="ListParagraph"/>
              <w:numPr>
                <w:ilvl w:val="0"/>
                <w:numId w:val="9"/>
              </w:numPr>
              <w:spacing w:after="0" w:line="240" w:lineRule="auto"/>
              <w:jc w:val="center"/>
              <w:rPr>
                <w:rFonts w:ascii="Calibri" w:eastAsia="Times New Roman" w:hAnsi="Calibri" w:cs="Times New Roman"/>
                <w:b/>
                <w:bCs/>
                <w:color w:val="000000"/>
              </w:rPr>
            </w:pPr>
          </w:p>
        </w:tc>
        <w:tc>
          <w:tcPr>
            <w:tcW w:w="6876" w:type="dxa"/>
            <w:shd w:val="clear" w:color="auto" w:fill="auto"/>
            <w:vAlign w:val="center"/>
          </w:tcPr>
          <w:p w14:paraId="06AB6C92" w14:textId="77777777" w:rsidR="00E74C55" w:rsidRPr="00A57FE2" w:rsidRDefault="00E74C55" w:rsidP="00E74C55">
            <w:pPr>
              <w:pStyle w:val="ListParagraph"/>
              <w:numPr>
                <w:ilvl w:val="0"/>
                <w:numId w:val="9"/>
              </w:numPr>
              <w:spacing w:after="0" w:line="240" w:lineRule="auto"/>
              <w:ind w:left="334" w:hanging="334"/>
              <w:rPr>
                <w:rFonts w:ascii="Calibri" w:eastAsia="Times New Roman" w:hAnsi="Calibri" w:cs="Times New Roman"/>
                <w:b/>
                <w:bCs/>
                <w:color w:val="FF0000"/>
              </w:rPr>
            </w:pPr>
            <w:r w:rsidRPr="00963353">
              <w:rPr>
                <w:rFonts w:ascii="Calibri" w:eastAsia="Times New Roman" w:hAnsi="Calibri" w:cs="Times New Roman"/>
                <w:b/>
                <w:bCs/>
                <w:color w:val="000000" w:themeColor="text1"/>
              </w:rPr>
              <w:t>Alignment between Strategic Plan and other CPUC and state long-term energy efficiency regulatory goals, policies and procedures.</w:t>
            </w:r>
          </w:p>
        </w:tc>
      </w:tr>
      <w:tr w:rsidR="00E74C55" w:rsidRPr="00B030D6" w14:paraId="0C7E45ED" w14:textId="77777777" w:rsidTr="00E74C55">
        <w:trPr>
          <w:trHeight w:val="702"/>
        </w:trPr>
        <w:tc>
          <w:tcPr>
            <w:tcW w:w="3266" w:type="dxa"/>
            <w:vMerge w:val="restart"/>
            <w:shd w:val="clear" w:color="auto" w:fill="auto"/>
            <w:noWrap/>
            <w:vAlign w:val="center"/>
            <w:hideMark/>
          </w:tcPr>
          <w:p w14:paraId="7858257C" w14:textId="77777777" w:rsidR="00E74C55" w:rsidRPr="009F048D" w:rsidRDefault="00E74C55" w:rsidP="00E74C55">
            <w:pPr>
              <w:pStyle w:val="ListParagraph"/>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9F048D">
              <w:rPr>
                <w:rFonts w:ascii="Calibri" w:eastAsia="Times New Roman" w:hAnsi="Calibri" w:cs="Times New Roman"/>
                <w:b/>
                <w:bCs/>
                <w:color w:val="000000"/>
              </w:rPr>
              <w:t>Accountability</w:t>
            </w:r>
          </w:p>
          <w:p w14:paraId="68A2F52A" w14:textId="77777777" w:rsidR="00E74C55" w:rsidRPr="00B030D6" w:rsidRDefault="00E74C55" w:rsidP="00E74C55">
            <w:pPr>
              <w:spacing w:after="0" w:line="240" w:lineRule="auto"/>
              <w:jc w:val="center"/>
              <w:rPr>
                <w:rFonts w:ascii="Calibri" w:eastAsia="Times New Roman" w:hAnsi="Calibri" w:cs="Times New Roman"/>
                <w:color w:val="000000"/>
              </w:rPr>
            </w:pPr>
            <w:r w:rsidRPr="00B030D6">
              <w:rPr>
                <w:rFonts w:ascii="Calibri" w:eastAsia="Times New Roman" w:hAnsi="Calibri" w:cs="Times New Roman"/>
                <w:color w:val="000000"/>
              </w:rPr>
              <w:t xml:space="preserve"> </w:t>
            </w:r>
            <w:r>
              <w:rPr>
                <w:rFonts w:ascii="Calibri" w:eastAsia="Times New Roman" w:hAnsi="Calibri" w:cs="Times New Roman"/>
                <w:color w:val="000000"/>
              </w:rPr>
              <w:t xml:space="preserve">(of ratepayer dollars spent and effective implementation) </w:t>
            </w:r>
          </w:p>
        </w:tc>
        <w:tc>
          <w:tcPr>
            <w:tcW w:w="6876" w:type="dxa"/>
            <w:shd w:val="clear" w:color="auto" w:fill="auto"/>
            <w:vAlign w:val="center"/>
            <w:hideMark/>
          </w:tcPr>
          <w:p w14:paraId="4EA4347C" w14:textId="77777777" w:rsidR="00E74C55" w:rsidRPr="00B5336A" w:rsidRDefault="00E74C55" w:rsidP="00E74C55">
            <w:pPr>
              <w:pStyle w:val="ListParagraph"/>
              <w:numPr>
                <w:ilvl w:val="0"/>
                <w:numId w:val="3"/>
              </w:numPr>
              <w:spacing w:after="0" w:line="240" w:lineRule="auto"/>
              <w:rPr>
                <w:rFonts w:ascii="Calibri" w:eastAsia="Times New Roman" w:hAnsi="Calibri" w:cs="Times New Roman"/>
                <w:color w:val="000000"/>
              </w:rPr>
            </w:pPr>
            <w:r>
              <w:rPr>
                <w:rFonts w:ascii="Calibri" w:eastAsia="Times New Roman" w:hAnsi="Calibri" w:cs="Times New Roman"/>
                <w:b/>
                <w:bCs/>
                <w:color w:val="000000"/>
              </w:rPr>
              <w:t>Cost-e</w:t>
            </w:r>
            <w:r w:rsidRPr="005F4BAE">
              <w:rPr>
                <w:rFonts w:ascii="Calibri" w:eastAsia="Times New Roman" w:hAnsi="Calibri" w:cs="Times New Roman"/>
                <w:b/>
                <w:bCs/>
                <w:color w:val="000000"/>
              </w:rPr>
              <w:t xml:space="preserve">ffective use of </w:t>
            </w:r>
            <w:r>
              <w:rPr>
                <w:rFonts w:ascii="Calibri" w:eastAsia="Times New Roman" w:hAnsi="Calibri" w:cs="Times New Roman"/>
                <w:b/>
                <w:bCs/>
                <w:color w:val="000000"/>
              </w:rPr>
              <w:t>ratepayer funds</w:t>
            </w:r>
          </w:p>
        </w:tc>
      </w:tr>
      <w:tr w:rsidR="00E74C55" w:rsidRPr="00B030D6" w14:paraId="7FECFEF4" w14:textId="77777777" w:rsidTr="00E74C55">
        <w:trPr>
          <w:trHeight w:val="612"/>
        </w:trPr>
        <w:tc>
          <w:tcPr>
            <w:tcW w:w="3266" w:type="dxa"/>
            <w:vMerge/>
            <w:shd w:val="clear" w:color="auto" w:fill="auto"/>
            <w:noWrap/>
            <w:vAlign w:val="center"/>
          </w:tcPr>
          <w:p w14:paraId="634D5682" w14:textId="77777777" w:rsidR="00E74C55" w:rsidRPr="009F048D" w:rsidRDefault="00E74C55" w:rsidP="00E74C55">
            <w:pPr>
              <w:pStyle w:val="ListParagraph"/>
              <w:numPr>
                <w:ilvl w:val="0"/>
                <w:numId w:val="9"/>
              </w:numPr>
              <w:spacing w:after="0" w:line="240" w:lineRule="auto"/>
              <w:jc w:val="center"/>
              <w:rPr>
                <w:rFonts w:ascii="Calibri" w:eastAsia="Times New Roman" w:hAnsi="Calibri" w:cs="Times New Roman"/>
                <w:b/>
                <w:bCs/>
                <w:color w:val="000000"/>
              </w:rPr>
            </w:pPr>
          </w:p>
        </w:tc>
        <w:tc>
          <w:tcPr>
            <w:tcW w:w="6876" w:type="dxa"/>
            <w:shd w:val="clear" w:color="auto" w:fill="auto"/>
            <w:vAlign w:val="center"/>
          </w:tcPr>
          <w:p w14:paraId="28FCA905" w14:textId="77777777" w:rsidR="00E74C55" w:rsidRPr="005F4BAE" w:rsidRDefault="00E74C55" w:rsidP="00E74C55">
            <w:pPr>
              <w:pStyle w:val="ListParagraph"/>
              <w:numPr>
                <w:ilvl w:val="0"/>
                <w:numId w:val="3"/>
              </w:num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Transparency: </w:t>
            </w:r>
            <w:r w:rsidRPr="00052493">
              <w:rPr>
                <w:rFonts w:ascii="Calibri" w:eastAsia="Times New Roman" w:hAnsi="Calibri" w:cs="Times New Roman"/>
                <w:bCs/>
                <w:color w:val="000000"/>
              </w:rPr>
              <w:t>(e.g., in planning, accounting, and reporting)</w:t>
            </w:r>
          </w:p>
        </w:tc>
      </w:tr>
      <w:tr w:rsidR="00E74C55" w:rsidRPr="00B030D6" w14:paraId="4E70756F" w14:textId="77777777" w:rsidTr="00E74C55">
        <w:trPr>
          <w:trHeight w:val="612"/>
        </w:trPr>
        <w:tc>
          <w:tcPr>
            <w:tcW w:w="3266" w:type="dxa"/>
            <w:vMerge/>
            <w:shd w:val="clear" w:color="auto" w:fill="auto"/>
            <w:noWrap/>
            <w:vAlign w:val="center"/>
          </w:tcPr>
          <w:p w14:paraId="41FDC430" w14:textId="77777777" w:rsidR="00E74C55" w:rsidRPr="009F048D" w:rsidRDefault="00E74C55" w:rsidP="00E74C55">
            <w:pPr>
              <w:pStyle w:val="ListParagraph"/>
              <w:numPr>
                <w:ilvl w:val="0"/>
                <w:numId w:val="9"/>
              </w:numPr>
              <w:spacing w:after="0" w:line="240" w:lineRule="auto"/>
              <w:jc w:val="center"/>
              <w:rPr>
                <w:rFonts w:ascii="Calibri" w:eastAsia="Times New Roman" w:hAnsi="Calibri" w:cs="Times New Roman"/>
                <w:b/>
                <w:bCs/>
                <w:color w:val="000000"/>
              </w:rPr>
            </w:pPr>
          </w:p>
        </w:tc>
        <w:tc>
          <w:tcPr>
            <w:tcW w:w="6876" w:type="dxa"/>
            <w:shd w:val="clear" w:color="auto" w:fill="auto"/>
            <w:vAlign w:val="center"/>
          </w:tcPr>
          <w:p w14:paraId="3F5C2E7E" w14:textId="77777777" w:rsidR="00E74C55" w:rsidRPr="00A57FE2" w:rsidRDefault="00E74C55" w:rsidP="00E74C55">
            <w:pPr>
              <w:pStyle w:val="ListParagraph"/>
              <w:numPr>
                <w:ilvl w:val="0"/>
                <w:numId w:val="3"/>
              </w:numPr>
              <w:spacing w:after="0" w:line="240" w:lineRule="auto"/>
              <w:rPr>
                <w:rFonts w:ascii="Calibri" w:eastAsia="Times New Roman" w:hAnsi="Calibri" w:cs="Times New Roman"/>
                <w:b/>
                <w:bCs/>
                <w:color w:val="FF0000"/>
              </w:rPr>
            </w:pPr>
            <w:r>
              <w:rPr>
                <w:rFonts w:ascii="Calibri" w:eastAsia="Times New Roman" w:hAnsi="Calibri" w:cs="Times New Roman"/>
                <w:b/>
                <w:bCs/>
                <w:color w:val="000000" w:themeColor="text1"/>
              </w:rPr>
              <w:t>Legitimize EE as a resource</w:t>
            </w:r>
          </w:p>
        </w:tc>
      </w:tr>
      <w:tr w:rsidR="00E74C55" w:rsidRPr="00B030D6" w14:paraId="5FBD1602" w14:textId="77777777" w:rsidTr="00E74C55">
        <w:trPr>
          <w:trHeight w:val="612"/>
        </w:trPr>
        <w:tc>
          <w:tcPr>
            <w:tcW w:w="3266" w:type="dxa"/>
            <w:vMerge/>
            <w:shd w:val="clear" w:color="auto" w:fill="auto"/>
            <w:noWrap/>
            <w:vAlign w:val="center"/>
          </w:tcPr>
          <w:p w14:paraId="4B55FF1C" w14:textId="77777777" w:rsidR="00E74C55" w:rsidRPr="009F048D" w:rsidRDefault="00E74C55" w:rsidP="00E74C55">
            <w:pPr>
              <w:pStyle w:val="ListParagraph"/>
              <w:numPr>
                <w:ilvl w:val="0"/>
                <w:numId w:val="9"/>
              </w:numPr>
              <w:spacing w:after="0" w:line="240" w:lineRule="auto"/>
              <w:jc w:val="center"/>
              <w:rPr>
                <w:rFonts w:ascii="Calibri" w:eastAsia="Times New Roman" w:hAnsi="Calibri" w:cs="Times New Roman"/>
                <w:b/>
                <w:bCs/>
                <w:color w:val="000000"/>
              </w:rPr>
            </w:pPr>
          </w:p>
        </w:tc>
        <w:tc>
          <w:tcPr>
            <w:tcW w:w="6876" w:type="dxa"/>
            <w:shd w:val="clear" w:color="auto" w:fill="auto"/>
            <w:vAlign w:val="center"/>
          </w:tcPr>
          <w:p w14:paraId="3D28C291" w14:textId="77777777" w:rsidR="00E74C55" w:rsidRPr="00FE2560" w:rsidRDefault="00E74C55" w:rsidP="00E74C55">
            <w:pPr>
              <w:pStyle w:val="ListParagraph"/>
              <w:numPr>
                <w:ilvl w:val="0"/>
                <w:numId w:val="3"/>
              </w:numPr>
              <w:spacing w:after="0" w:line="240" w:lineRule="auto"/>
              <w:rPr>
                <w:rFonts w:ascii="Calibri" w:eastAsia="Times New Roman" w:hAnsi="Calibri" w:cs="Times New Roman"/>
                <w:b/>
                <w:bCs/>
              </w:rPr>
            </w:pPr>
            <w:r w:rsidRPr="00FE2560">
              <w:rPr>
                <w:rFonts w:ascii="Calibri" w:eastAsia="Times New Roman" w:hAnsi="Calibri" w:cs="Times New Roman"/>
                <w:b/>
                <w:bCs/>
              </w:rPr>
              <w:t>Improved program feedback mechanisms and EM&amp;V through adaptive management strategies</w:t>
            </w:r>
          </w:p>
        </w:tc>
      </w:tr>
    </w:tbl>
    <w:p w14:paraId="740222B1" w14:textId="77777777" w:rsidR="00A53B91" w:rsidRPr="00B030D6" w:rsidRDefault="00E74C55" w:rsidP="00A53B91">
      <w:pPr>
        <w:spacing w:after="0"/>
        <w:rPr>
          <w:b/>
        </w:rPr>
      </w:pPr>
      <w:r>
        <w:rPr>
          <w:b/>
        </w:rPr>
        <w:softHyphen/>
      </w:r>
      <w:r>
        <w:rPr>
          <w:b/>
        </w:rPr>
        <w:softHyphen/>
      </w:r>
      <w:r>
        <w:rPr>
          <w:b/>
        </w:rPr>
        <w:softHyphen/>
      </w:r>
      <w:r>
        <w:rPr>
          <w:b/>
        </w:rPr>
        <w:softHyphen/>
      </w:r>
    </w:p>
    <w:sectPr w:rsidR="00A53B91" w:rsidRPr="00B030D6" w:rsidSect="00E74C55">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0410" w14:textId="77777777" w:rsidR="00D00E9B" w:rsidRDefault="00D00E9B" w:rsidP="00444012">
      <w:pPr>
        <w:spacing w:after="0" w:line="240" w:lineRule="auto"/>
      </w:pPr>
      <w:r>
        <w:separator/>
      </w:r>
    </w:p>
  </w:endnote>
  <w:endnote w:type="continuationSeparator" w:id="0">
    <w:p w14:paraId="52A51FA7" w14:textId="77777777" w:rsidR="00D00E9B" w:rsidRDefault="00D00E9B" w:rsidP="0044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BEE8" w14:textId="77777777" w:rsidR="00D00E9B" w:rsidRDefault="00D00E9B" w:rsidP="00444012">
      <w:pPr>
        <w:spacing w:after="0" w:line="240" w:lineRule="auto"/>
      </w:pPr>
      <w:r>
        <w:separator/>
      </w:r>
    </w:p>
  </w:footnote>
  <w:footnote w:type="continuationSeparator" w:id="0">
    <w:p w14:paraId="637C9E6E" w14:textId="77777777" w:rsidR="00D00E9B" w:rsidRDefault="00D00E9B" w:rsidP="00444012">
      <w:pPr>
        <w:spacing w:after="0" w:line="240" w:lineRule="auto"/>
      </w:pPr>
      <w:r>
        <w:continuationSeparator/>
      </w:r>
    </w:p>
  </w:footnote>
  <w:footnote w:id="1">
    <w:p w14:paraId="39535ED5" w14:textId="77777777" w:rsidR="00E74C55" w:rsidRPr="00E74C55" w:rsidRDefault="00E74C55" w:rsidP="00E74C55">
      <w:pPr>
        <w:rPr>
          <w:sz w:val="16"/>
          <w:szCs w:val="16"/>
        </w:rPr>
      </w:pPr>
      <w:r w:rsidRPr="00E74C55">
        <w:rPr>
          <w:rStyle w:val="FootnoteReference"/>
          <w:sz w:val="16"/>
          <w:szCs w:val="16"/>
        </w:rPr>
        <w:footnoteRef/>
      </w:r>
      <w:r w:rsidRPr="00E74C55">
        <w:rPr>
          <w:sz w:val="16"/>
          <w:szCs w:val="16"/>
        </w:rPr>
        <w:t xml:space="preserve"> At least one entity required the following addition to “Desired Outcomes” listed under the “Effectiveness” principle to fully support </w:t>
      </w:r>
      <w:r>
        <w:rPr>
          <w:sz w:val="16"/>
          <w:szCs w:val="16"/>
        </w:rPr>
        <w:t>this document</w:t>
      </w:r>
      <w:r w:rsidRPr="00E74C55">
        <w:rPr>
          <w:sz w:val="16"/>
          <w:szCs w:val="16"/>
        </w:rPr>
        <w:t>: “</w:t>
      </w:r>
      <w:r w:rsidRPr="00E74C55">
        <w:rPr>
          <w:b/>
          <w:sz w:val="16"/>
          <w:szCs w:val="16"/>
        </w:rPr>
        <w:t>Improved Implementer and Portfolio Performance:</w:t>
      </w:r>
      <w:r w:rsidRPr="00E74C55">
        <w:rPr>
          <w:sz w:val="16"/>
          <w:szCs w:val="16"/>
        </w:rPr>
        <w:t xml:space="preserve">  Reduce or eliminate avoidable interruptions and postponements in program implementation.  The continuity of a rolling portfolio model will improve implementer and portfolio performance, thereby allowing greater focus on customers.” As this feedback came in after the discussion period for this document, this supplementary concept is noted here.</w:t>
      </w:r>
    </w:p>
    <w:p w14:paraId="4E69DD21" w14:textId="77777777" w:rsidR="00E74C55" w:rsidRDefault="00E74C55" w:rsidP="00E74C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350197"/>
      <w:docPartObj>
        <w:docPartGallery w:val="Watermarks"/>
        <w:docPartUnique/>
      </w:docPartObj>
    </w:sdtPr>
    <w:sdtEndPr/>
    <w:sdtContent>
      <w:p w14:paraId="205306F6" w14:textId="77777777" w:rsidR="00444012" w:rsidRDefault="00D00E9B">
        <w:pPr>
          <w:pStyle w:val="Header"/>
        </w:pPr>
        <w:r>
          <w:rPr>
            <w:noProof/>
            <w:lang w:eastAsia="zh-TW"/>
          </w:rPr>
          <w:pict w14:anchorId="3578D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B72"/>
    <w:multiLevelType w:val="hybridMultilevel"/>
    <w:tmpl w:val="6630C928"/>
    <w:lvl w:ilvl="0" w:tplc="7DF212D4">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0ACE"/>
    <w:multiLevelType w:val="hybridMultilevel"/>
    <w:tmpl w:val="797E7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9B61F1"/>
    <w:multiLevelType w:val="hybridMultilevel"/>
    <w:tmpl w:val="4454B092"/>
    <w:lvl w:ilvl="0" w:tplc="D6E4A5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30695"/>
    <w:multiLevelType w:val="hybridMultilevel"/>
    <w:tmpl w:val="78FC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56F21"/>
    <w:multiLevelType w:val="hybridMultilevel"/>
    <w:tmpl w:val="B802B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4F388D"/>
    <w:multiLevelType w:val="hybridMultilevel"/>
    <w:tmpl w:val="A27ABB40"/>
    <w:lvl w:ilvl="0" w:tplc="5EA200D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973BD"/>
    <w:multiLevelType w:val="hybridMultilevel"/>
    <w:tmpl w:val="193C5B16"/>
    <w:lvl w:ilvl="0" w:tplc="D6E4A5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17D4"/>
    <w:multiLevelType w:val="hybridMultilevel"/>
    <w:tmpl w:val="2EC82E98"/>
    <w:lvl w:ilvl="0" w:tplc="0409000F">
      <w:start w:val="1"/>
      <w:numFmt w:val="decimal"/>
      <w:lvlText w:val="%1."/>
      <w:lvlJc w:val="left"/>
      <w:pPr>
        <w:ind w:left="1170" w:hanging="360"/>
      </w:pPr>
      <w:rPr>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7F80E54"/>
    <w:multiLevelType w:val="hybridMultilevel"/>
    <w:tmpl w:val="B6AA3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3D1ECB"/>
    <w:multiLevelType w:val="hybridMultilevel"/>
    <w:tmpl w:val="419C8B00"/>
    <w:lvl w:ilvl="0" w:tplc="E3C8368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E90A4A"/>
    <w:multiLevelType w:val="hybridMultilevel"/>
    <w:tmpl w:val="1246534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EF"/>
    <w:rsid w:val="00036191"/>
    <w:rsid w:val="000521FB"/>
    <w:rsid w:val="00052493"/>
    <w:rsid w:val="0006717C"/>
    <w:rsid w:val="000873D2"/>
    <w:rsid w:val="000A36F9"/>
    <w:rsid w:val="000A4177"/>
    <w:rsid w:val="000C08A9"/>
    <w:rsid w:val="000E03E1"/>
    <w:rsid w:val="000F229D"/>
    <w:rsid w:val="001315B5"/>
    <w:rsid w:val="00150268"/>
    <w:rsid w:val="00153013"/>
    <w:rsid w:val="00162717"/>
    <w:rsid w:val="001668EE"/>
    <w:rsid w:val="00230953"/>
    <w:rsid w:val="00234D49"/>
    <w:rsid w:val="00280B9D"/>
    <w:rsid w:val="002A7966"/>
    <w:rsid w:val="002B3B05"/>
    <w:rsid w:val="002C726B"/>
    <w:rsid w:val="002D3221"/>
    <w:rsid w:val="00300A6A"/>
    <w:rsid w:val="003079F1"/>
    <w:rsid w:val="00310E87"/>
    <w:rsid w:val="00317A6C"/>
    <w:rsid w:val="003224FC"/>
    <w:rsid w:val="003240CE"/>
    <w:rsid w:val="00337A47"/>
    <w:rsid w:val="00351435"/>
    <w:rsid w:val="00357CC6"/>
    <w:rsid w:val="00363343"/>
    <w:rsid w:val="004108E0"/>
    <w:rsid w:val="00432333"/>
    <w:rsid w:val="00444012"/>
    <w:rsid w:val="00492492"/>
    <w:rsid w:val="00497E79"/>
    <w:rsid w:val="004A56A1"/>
    <w:rsid w:val="005429CD"/>
    <w:rsid w:val="005572BE"/>
    <w:rsid w:val="005663A9"/>
    <w:rsid w:val="00570E06"/>
    <w:rsid w:val="00574C12"/>
    <w:rsid w:val="00585EA9"/>
    <w:rsid w:val="005A4802"/>
    <w:rsid w:val="005C2F5B"/>
    <w:rsid w:val="005D08D7"/>
    <w:rsid w:val="005D5926"/>
    <w:rsid w:val="005E3E67"/>
    <w:rsid w:val="005F4BAE"/>
    <w:rsid w:val="00613355"/>
    <w:rsid w:val="006338D4"/>
    <w:rsid w:val="006609C3"/>
    <w:rsid w:val="00672CF1"/>
    <w:rsid w:val="00682E2B"/>
    <w:rsid w:val="00696289"/>
    <w:rsid w:val="006A2941"/>
    <w:rsid w:val="006B0C1C"/>
    <w:rsid w:val="006B22F6"/>
    <w:rsid w:val="006B3278"/>
    <w:rsid w:val="006D19CD"/>
    <w:rsid w:val="006F2F29"/>
    <w:rsid w:val="00703D2E"/>
    <w:rsid w:val="00704C3C"/>
    <w:rsid w:val="00746E3D"/>
    <w:rsid w:val="00753F34"/>
    <w:rsid w:val="0076726A"/>
    <w:rsid w:val="0077323F"/>
    <w:rsid w:val="00791719"/>
    <w:rsid w:val="007D7674"/>
    <w:rsid w:val="007E5B0D"/>
    <w:rsid w:val="007F164D"/>
    <w:rsid w:val="007F392E"/>
    <w:rsid w:val="007F6729"/>
    <w:rsid w:val="007F6830"/>
    <w:rsid w:val="00802BE5"/>
    <w:rsid w:val="00812CBE"/>
    <w:rsid w:val="00814900"/>
    <w:rsid w:val="00856CF7"/>
    <w:rsid w:val="00860EDA"/>
    <w:rsid w:val="00891DC8"/>
    <w:rsid w:val="008A473C"/>
    <w:rsid w:val="008B7087"/>
    <w:rsid w:val="008F26FE"/>
    <w:rsid w:val="0092449A"/>
    <w:rsid w:val="009318EF"/>
    <w:rsid w:val="009354B8"/>
    <w:rsid w:val="009438F9"/>
    <w:rsid w:val="00952245"/>
    <w:rsid w:val="00963353"/>
    <w:rsid w:val="00966069"/>
    <w:rsid w:val="00970787"/>
    <w:rsid w:val="00974B3B"/>
    <w:rsid w:val="00987DE1"/>
    <w:rsid w:val="009F048D"/>
    <w:rsid w:val="009F04A8"/>
    <w:rsid w:val="00A11C62"/>
    <w:rsid w:val="00A34DD7"/>
    <w:rsid w:val="00A53B91"/>
    <w:rsid w:val="00A57FE2"/>
    <w:rsid w:val="00AD494B"/>
    <w:rsid w:val="00B0259E"/>
    <w:rsid w:val="00B030D6"/>
    <w:rsid w:val="00B104FE"/>
    <w:rsid w:val="00B13B82"/>
    <w:rsid w:val="00B210D6"/>
    <w:rsid w:val="00B461D5"/>
    <w:rsid w:val="00B46EE3"/>
    <w:rsid w:val="00B50721"/>
    <w:rsid w:val="00B51A5B"/>
    <w:rsid w:val="00B5336A"/>
    <w:rsid w:val="00B54032"/>
    <w:rsid w:val="00B76A4D"/>
    <w:rsid w:val="00B97D9A"/>
    <w:rsid w:val="00BA22F5"/>
    <w:rsid w:val="00BA596E"/>
    <w:rsid w:val="00BE02B3"/>
    <w:rsid w:val="00BE2F88"/>
    <w:rsid w:val="00C14D5D"/>
    <w:rsid w:val="00C162FB"/>
    <w:rsid w:val="00C351E8"/>
    <w:rsid w:val="00C61E61"/>
    <w:rsid w:val="00C95EC1"/>
    <w:rsid w:val="00CB02BA"/>
    <w:rsid w:val="00CC46E0"/>
    <w:rsid w:val="00CC6E71"/>
    <w:rsid w:val="00D00E9B"/>
    <w:rsid w:val="00D051A8"/>
    <w:rsid w:val="00D078B9"/>
    <w:rsid w:val="00D34F41"/>
    <w:rsid w:val="00D358EE"/>
    <w:rsid w:val="00D36F92"/>
    <w:rsid w:val="00D62191"/>
    <w:rsid w:val="00D71EC3"/>
    <w:rsid w:val="00DB04F7"/>
    <w:rsid w:val="00DB20FE"/>
    <w:rsid w:val="00DD3B2A"/>
    <w:rsid w:val="00E11A8E"/>
    <w:rsid w:val="00E20EFB"/>
    <w:rsid w:val="00E217E0"/>
    <w:rsid w:val="00E30FFB"/>
    <w:rsid w:val="00E74C55"/>
    <w:rsid w:val="00E85766"/>
    <w:rsid w:val="00EA06D2"/>
    <w:rsid w:val="00EA1BDE"/>
    <w:rsid w:val="00EA6407"/>
    <w:rsid w:val="00EA7E71"/>
    <w:rsid w:val="00ED0AB6"/>
    <w:rsid w:val="00ED1775"/>
    <w:rsid w:val="00EF7E46"/>
    <w:rsid w:val="00F05BF4"/>
    <w:rsid w:val="00F1599B"/>
    <w:rsid w:val="00F3689B"/>
    <w:rsid w:val="00F5097C"/>
    <w:rsid w:val="00FB1A14"/>
    <w:rsid w:val="00FB3DBC"/>
    <w:rsid w:val="00FD0D6D"/>
    <w:rsid w:val="00FE2560"/>
    <w:rsid w:val="00FE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363AD"/>
  <w15:docId w15:val="{E028FAF5-D743-8144-A17D-52E56EFF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B0D"/>
    <w:rPr>
      <w:rFonts w:ascii="Tahoma" w:hAnsi="Tahoma" w:cs="Tahoma"/>
      <w:sz w:val="16"/>
      <w:szCs w:val="16"/>
    </w:rPr>
  </w:style>
  <w:style w:type="paragraph" w:styleId="ListParagraph">
    <w:name w:val="List Paragraph"/>
    <w:basedOn w:val="Normal"/>
    <w:uiPriority w:val="34"/>
    <w:qFormat/>
    <w:rsid w:val="00952245"/>
    <w:pPr>
      <w:ind w:left="720"/>
      <w:contextualSpacing/>
    </w:pPr>
  </w:style>
  <w:style w:type="character" w:styleId="CommentReference">
    <w:name w:val="annotation reference"/>
    <w:basedOn w:val="DefaultParagraphFont"/>
    <w:uiPriority w:val="99"/>
    <w:semiHidden/>
    <w:unhideWhenUsed/>
    <w:rsid w:val="00351435"/>
    <w:rPr>
      <w:sz w:val="16"/>
      <w:szCs w:val="16"/>
    </w:rPr>
  </w:style>
  <w:style w:type="paragraph" w:styleId="CommentText">
    <w:name w:val="annotation text"/>
    <w:basedOn w:val="Normal"/>
    <w:link w:val="CommentTextChar"/>
    <w:uiPriority w:val="99"/>
    <w:semiHidden/>
    <w:unhideWhenUsed/>
    <w:rsid w:val="00351435"/>
    <w:pPr>
      <w:spacing w:line="240" w:lineRule="auto"/>
    </w:pPr>
    <w:rPr>
      <w:sz w:val="20"/>
      <w:szCs w:val="20"/>
    </w:rPr>
  </w:style>
  <w:style w:type="character" w:customStyle="1" w:styleId="CommentTextChar">
    <w:name w:val="Comment Text Char"/>
    <w:basedOn w:val="DefaultParagraphFont"/>
    <w:link w:val="CommentText"/>
    <w:uiPriority w:val="99"/>
    <w:semiHidden/>
    <w:rsid w:val="00351435"/>
    <w:rPr>
      <w:sz w:val="20"/>
      <w:szCs w:val="20"/>
    </w:rPr>
  </w:style>
  <w:style w:type="paragraph" w:styleId="Header">
    <w:name w:val="header"/>
    <w:basedOn w:val="Normal"/>
    <w:link w:val="HeaderChar"/>
    <w:uiPriority w:val="99"/>
    <w:unhideWhenUsed/>
    <w:rsid w:val="0044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12"/>
  </w:style>
  <w:style w:type="paragraph" w:styleId="Footer">
    <w:name w:val="footer"/>
    <w:basedOn w:val="Normal"/>
    <w:link w:val="FooterChar"/>
    <w:uiPriority w:val="99"/>
    <w:unhideWhenUsed/>
    <w:rsid w:val="0044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12"/>
  </w:style>
  <w:style w:type="paragraph" w:styleId="FootnoteText">
    <w:name w:val="footnote text"/>
    <w:basedOn w:val="Normal"/>
    <w:link w:val="FootnoteTextChar"/>
    <w:uiPriority w:val="99"/>
    <w:semiHidden/>
    <w:unhideWhenUsed/>
    <w:rsid w:val="00C61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E61"/>
    <w:rPr>
      <w:sz w:val="20"/>
      <w:szCs w:val="20"/>
    </w:rPr>
  </w:style>
  <w:style w:type="character" w:styleId="FootnoteReference">
    <w:name w:val="footnote reference"/>
    <w:basedOn w:val="DefaultParagraphFont"/>
    <w:uiPriority w:val="99"/>
    <w:semiHidden/>
    <w:unhideWhenUsed/>
    <w:rsid w:val="00C61E61"/>
    <w:rPr>
      <w:vertAlign w:val="superscript"/>
    </w:rPr>
  </w:style>
  <w:style w:type="paragraph" w:styleId="CommentSubject">
    <w:name w:val="annotation subject"/>
    <w:basedOn w:val="CommentText"/>
    <w:next w:val="CommentText"/>
    <w:link w:val="CommentSubjectChar"/>
    <w:uiPriority w:val="99"/>
    <w:semiHidden/>
    <w:unhideWhenUsed/>
    <w:rsid w:val="00C61E61"/>
    <w:rPr>
      <w:b/>
      <w:bCs/>
    </w:rPr>
  </w:style>
  <w:style w:type="character" w:customStyle="1" w:styleId="CommentSubjectChar">
    <w:name w:val="Comment Subject Char"/>
    <w:basedOn w:val="CommentTextChar"/>
    <w:link w:val="CommentSubject"/>
    <w:uiPriority w:val="99"/>
    <w:semiHidden/>
    <w:rsid w:val="00C61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2564">
      <w:bodyDiv w:val="1"/>
      <w:marLeft w:val="0"/>
      <w:marRight w:val="0"/>
      <w:marTop w:val="0"/>
      <w:marBottom w:val="0"/>
      <w:divBdr>
        <w:top w:val="none" w:sz="0" w:space="0" w:color="auto"/>
        <w:left w:val="none" w:sz="0" w:space="0" w:color="auto"/>
        <w:bottom w:val="none" w:sz="0" w:space="0" w:color="auto"/>
        <w:right w:val="none" w:sz="0" w:space="0" w:color="auto"/>
      </w:divBdr>
    </w:div>
    <w:div w:id="722869997">
      <w:bodyDiv w:val="1"/>
      <w:marLeft w:val="0"/>
      <w:marRight w:val="0"/>
      <w:marTop w:val="0"/>
      <w:marBottom w:val="0"/>
      <w:divBdr>
        <w:top w:val="none" w:sz="0" w:space="0" w:color="auto"/>
        <w:left w:val="none" w:sz="0" w:space="0" w:color="auto"/>
        <w:bottom w:val="none" w:sz="0" w:space="0" w:color="auto"/>
        <w:right w:val="none" w:sz="0" w:space="0" w:color="auto"/>
      </w:divBdr>
    </w:div>
    <w:div w:id="1025329545">
      <w:bodyDiv w:val="1"/>
      <w:marLeft w:val="0"/>
      <w:marRight w:val="0"/>
      <w:marTop w:val="0"/>
      <w:marBottom w:val="0"/>
      <w:divBdr>
        <w:top w:val="none" w:sz="0" w:space="0" w:color="auto"/>
        <w:left w:val="none" w:sz="0" w:space="0" w:color="auto"/>
        <w:bottom w:val="none" w:sz="0" w:space="0" w:color="auto"/>
        <w:right w:val="none" w:sz="0" w:space="0" w:color="auto"/>
      </w:divBdr>
    </w:div>
    <w:div w:id="1510827500">
      <w:bodyDiv w:val="1"/>
      <w:marLeft w:val="0"/>
      <w:marRight w:val="0"/>
      <w:marTop w:val="0"/>
      <w:marBottom w:val="0"/>
      <w:divBdr>
        <w:top w:val="none" w:sz="0" w:space="0" w:color="auto"/>
        <w:left w:val="none" w:sz="0" w:space="0" w:color="auto"/>
        <w:bottom w:val="none" w:sz="0" w:space="0" w:color="auto"/>
        <w:right w:val="none" w:sz="0" w:space="0" w:color="auto"/>
      </w:divBdr>
    </w:div>
    <w:div w:id="20165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93F9-F3B9-394C-8F1E-405B586A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Gangopadhyay, Monisha</dc:creator>
  <cp:lastModifiedBy>Jonathan Raab</cp:lastModifiedBy>
  <cp:revision>2</cp:revision>
  <cp:lastPrinted>2013-09-23T18:49:00Z</cp:lastPrinted>
  <dcterms:created xsi:type="dcterms:W3CDTF">2019-09-12T18:12:00Z</dcterms:created>
  <dcterms:modified xsi:type="dcterms:W3CDTF">2019-09-12T18:12:00Z</dcterms:modified>
</cp:coreProperties>
</file>