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4EE1F" w14:textId="77777777" w:rsidR="0019178F" w:rsidRPr="00690158" w:rsidRDefault="00690158" w:rsidP="00690158">
      <w:pPr>
        <w:jc w:val="center"/>
        <w:rPr>
          <w:rFonts w:ascii="Times New Roman" w:hAnsi="Times New Roman" w:cs="Times New Roman"/>
          <w:b/>
          <w:szCs w:val="24"/>
          <w:u w:val="single"/>
        </w:rPr>
      </w:pPr>
      <w:r w:rsidRPr="00690158">
        <w:rPr>
          <w:rFonts w:ascii="Times New Roman" w:hAnsi="Times New Roman" w:cs="Times New Roman"/>
          <w:b/>
          <w:szCs w:val="24"/>
          <w:u w:val="single"/>
        </w:rPr>
        <w:t>Coalition for Energy Efficiency Proposal re Diverse and Disadvantaged Worker Access Terms for Third-Party Energy Efficiency Contracts</w:t>
      </w:r>
      <w:bookmarkStart w:id="0" w:name="_GoBack"/>
      <w:bookmarkEnd w:id="0"/>
    </w:p>
    <w:p w14:paraId="38A003B6" w14:textId="77777777" w:rsidR="00690158" w:rsidRPr="00690158" w:rsidRDefault="00690158">
      <w:pPr>
        <w:rPr>
          <w:rFonts w:ascii="Times New Roman" w:hAnsi="Times New Roman" w:cs="Times New Roman"/>
          <w:szCs w:val="24"/>
        </w:rPr>
      </w:pPr>
    </w:p>
    <w:p w14:paraId="6DBB3F0C" w14:textId="77777777" w:rsidR="00690158" w:rsidRPr="00690158" w:rsidRDefault="00690158" w:rsidP="00690158">
      <w:pPr>
        <w:tabs>
          <w:tab w:val="left" w:pos="1080"/>
        </w:tabs>
        <w:rPr>
          <w:rFonts w:ascii="Times New Roman" w:hAnsi="Times New Roman" w:cs="Times New Roman"/>
          <w:szCs w:val="24"/>
        </w:rPr>
      </w:pPr>
    </w:p>
    <w:p w14:paraId="436E98B5" w14:textId="77777777" w:rsidR="00690158" w:rsidRPr="00690158" w:rsidRDefault="00690158" w:rsidP="00690158">
      <w:pPr>
        <w:tabs>
          <w:tab w:val="left" w:pos="1080"/>
        </w:tabs>
        <w:rPr>
          <w:rFonts w:ascii="Times New Roman" w:hAnsi="Times New Roman" w:cs="Times New Roman"/>
          <w:szCs w:val="24"/>
        </w:rPr>
      </w:pPr>
      <w:r w:rsidRPr="00690158">
        <w:rPr>
          <w:rFonts w:ascii="Times New Roman" w:hAnsi="Times New Roman" w:cs="Times New Roman"/>
          <w:szCs w:val="24"/>
        </w:rPr>
        <w:t>In Decision 18-01-004, the California Public Utilities Commission (“CPUC”) ordered the investor owned utilities (“IOUs”) to propose a set of contract terms and conditions that will apply to all third party contracts entered as part of their energy efficiency portfolios. Among the categories of terms that the Commission has required the IOUs to cover are terms addressing participation by diverse and disadvantaged businesses and employees.</w:t>
      </w:r>
      <w:r w:rsidRPr="00690158">
        <w:rPr>
          <w:rStyle w:val="FootnoteReference"/>
          <w:rFonts w:ascii="Times New Roman" w:hAnsi="Times New Roman" w:cs="Times New Roman"/>
          <w:szCs w:val="24"/>
        </w:rPr>
        <w:footnoteReference w:id="1"/>
      </w:r>
      <w:r w:rsidRPr="00690158">
        <w:rPr>
          <w:rFonts w:ascii="Times New Roman" w:hAnsi="Times New Roman" w:cs="Times New Roman"/>
          <w:szCs w:val="24"/>
        </w:rPr>
        <w:t xml:space="preserve"> Specifically, with respect to the diverse and disadvantaged businesses issue, the Commission directed the utilities to:</w:t>
      </w:r>
    </w:p>
    <w:p w14:paraId="04E54095" w14:textId="77777777" w:rsidR="00690158" w:rsidRPr="00690158" w:rsidRDefault="00690158" w:rsidP="00690158">
      <w:pPr>
        <w:tabs>
          <w:tab w:val="left" w:pos="1080"/>
        </w:tabs>
        <w:rPr>
          <w:rFonts w:ascii="Times New Roman" w:hAnsi="Times New Roman" w:cs="Times New Roman"/>
          <w:szCs w:val="24"/>
        </w:rPr>
      </w:pPr>
    </w:p>
    <w:p w14:paraId="69EB4C06" w14:textId="77777777" w:rsidR="00690158" w:rsidRPr="00690158" w:rsidRDefault="00690158" w:rsidP="00690158">
      <w:pPr>
        <w:pStyle w:val="ListParagraph"/>
        <w:numPr>
          <w:ilvl w:val="0"/>
          <w:numId w:val="1"/>
        </w:numPr>
        <w:tabs>
          <w:tab w:val="left" w:pos="1080"/>
        </w:tabs>
        <w:rPr>
          <w:rFonts w:ascii="Times New Roman" w:hAnsi="Times New Roman"/>
          <w:szCs w:val="24"/>
        </w:rPr>
      </w:pPr>
      <w:r w:rsidRPr="00690158">
        <w:rPr>
          <w:rFonts w:ascii="Times New Roman" w:hAnsi="Times New Roman"/>
          <w:szCs w:val="24"/>
        </w:rPr>
        <w:t>Propose a definition of diverse and disadvantage communities.</w:t>
      </w:r>
      <w:r w:rsidRPr="00690158">
        <w:rPr>
          <w:rStyle w:val="FootnoteReference"/>
          <w:rFonts w:ascii="Times New Roman" w:hAnsi="Times New Roman"/>
          <w:szCs w:val="24"/>
        </w:rPr>
        <w:footnoteReference w:id="2"/>
      </w:r>
      <w:r w:rsidRPr="00690158">
        <w:rPr>
          <w:rFonts w:ascii="Times New Roman" w:hAnsi="Times New Roman"/>
          <w:szCs w:val="24"/>
        </w:rPr>
        <w:t xml:space="preserve"> </w:t>
      </w:r>
    </w:p>
    <w:p w14:paraId="02D06F5B" w14:textId="77777777" w:rsidR="00690158" w:rsidRPr="00690158" w:rsidRDefault="00690158" w:rsidP="00690158">
      <w:pPr>
        <w:pStyle w:val="ListParagraph"/>
        <w:numPr>
          <w:ilvl w:val="0"/>
          <w:numId w:val="1"/>
        </w:numPr>
        <w:tabs>
          <w:tab w:val="left" w:pos="1080"/>
        </w:tabs>
        <w:rPr>
          <w:rFonts w:ascii="Times New Roman" w:hAnsi="Times New Roman"/>
          <w:szCs w:val="24"/>
        </w:rPr>
      </w:pPr>
      <w:r w:rsidRPr="00690158">
        <w:rPr>
          <w:rFonts w:ascii="Times New Roman" w:hAnsi="Times New Roman"/>
          <w:szCs w:val="24"/>
        </w:rPr>
        <w:t>Propose a goal to “include in the metrics for tracking the business plan results generally, specifically for third party contractors.”</w:t>
      </w:r>
      <w:r w:rsidRPr="00690158">
        <w:rPr>
          <w:rStyle w:val="FootnoteReference"/>
          <w:rFonts w:ascii="Times New Roman" w:hAnsi="Times New Roman"/>
          <w:szCs w:val="24"/>
        </w:rPr>
        <w:footnoteReference w:id="3"/>
      </w:r>
    </w:p>
    <w:p w14:paraId="114C9C20" w14:textId="77777777" w:rsidR="00690158" w:rsidRPr="00690158" w:rsidRDefault="00690158" w:rsidP="00690158">
      <w:pPr>
        <w:pStyle w:val="ListParagraph"/>
        <w:numPr>
          <w:ilvl w:val="0"/>
          <w:numId w:val="1"/>
        </w:numPr>
        <w:tabs>
          <w:tab w:val="left" w:pos="1080"/>
        </w:tabs>
        <w:rPr>
          <w:rFonts w:ascii="Times New Roman" w:hAnsi="Times New Roman"/>
          <w:szCs w:val="24"/>
        </w:rPr>
      </w:pPr>
      <w:r w:rsidRPr="00690158">
        <w:rPr>
          <w:rFonts w:ascii="Times New Roman" w:hAnsi="Times New Roman"/>
          <w:szCs w:val="24"/>
        </w:rPr>
        <w:t>Propose standard contract terms and conditions addressing diverse and disadvantaged businesses and employees, including small businesses, if applicable.</w:t>
      </w:r>
      <w:r w:rsidRPr="00690158">
        <w:rPr>
          <w:rStyle w:val="FootnoteReference"/>
          <w:rFonts w:ascii="Times New Roman" w:hAnsi="Times New Roman"/>
          <w:szCs w:val="24"/>
        </w:rPr>
        <w:footnoteReference w:id="4"/>
      </w:r>
    </w:p>
    <w:p w14:paraId="430E3598" w14:textId="77777777" w:rsidR="00690158" w:rsidRPr="00690158" w:rsidRDefault="00690158" w:rsidP="00690158">
      <w:pPr>
        <w:tabs>
          <w:tab w:val="left" w:pos="1080"/>
        </w:tabs>
        <w:rPr>
          <w:rFonts w:ascii="Times New Roman" w:hAnsi="Times New Roman" w:cs="Times New Roman"/>
          <w:szCs w:val="24"/>
        </w:rPr>
      </w:pPr>
    </w:p>
    <w:p w14:paraId="132ADB04" w14:textId="77777777" w:rsidR="00690158" w:rsidRPr="00690158" w:rsidRDefault="00690158" w:rsidP="00690158">
      <w:pPr>
        <w:tabs>
          <w:tab w:val="left" w:pos="1080"/>
        </w:tabs>
        <w:rPr>
          <w:rFonts w:ascii="Times New Roman" w:hAnsi="Times New Roman" w:cs="Times New Roman"/>
          <w:szCs w:val="24"/>
        </w:rPr>
      </w:pPr>
      <w:r w:rsidRPr="00690158">
        <w:rPr>
          <w:rFonts w:ascii="Times New Roman" w:hAnsi="Times New Roman" w:cs="Times New Roman"/>
          <w:szCs w:val="24"/>
        </w:rPr>
        <w:t>This memorandum provides the Coalition for Energy Efficiency’s (“CEE”) proposed language to address each of these three topics.  This proposal represents the consensus position of CEE’s member organizations.  CEE’s members include: (1) BlueGreen Alliance; (2) Sierra Club California; (3) California Community Colleges Chancellor’s Office; (4) the Coalition for Clean Air; (5) Joint Committee on Energy and Environmental Policy; (6) Coalition of California Utility Employees; (7) IBEW-NECA California State Labor Management Cooperation Committee; (8) the California Labor Federation; (9) Western States Council of Sheet Metal, Air, Rail and Transportation Workers; (10) California State Pipe Trades Council; (11) Operating and Stationary Engineers, locals 39 and 501; (12) Avery Energy Enterprise; and (13) Cal SMACNA (California Association of Sheet Metal and Air Conditioning Contractors, National Association).</w:t>
      </w:r>
    </w:p>
    <w:p w14:paraId="6E20F746" w14:textId="77777777" w:rsidR="00690158" w:rsidRPr="00690158" w:rsidRDefault="00690158" w:rsidP="00690158">
      <w:pPr>
        <w:tabs>
          <w:tab w:val="left" w:pos="1080"/>
        </w:tabs>
        <w:rPr>
          <w:rFonts w:ascii="Times New Roman" w:hAnsi="Times New Roman" w:cs="Times New Roman"/>
          <w:szCs w:val="24"/>
        </w:rPr>
      </w:pPr>
    </w:p>
    <w:p w14:paraId="01BB3BEF" w14:textId="77777777" w:rsidR="00690158" w:rsidRPr="00091D0D" w:rsidRDefault="00690158" w:rsidP="00690158">
      <w:pPr>
        <w:pStyle w:val="ListParagraph"/>
        <w:numPr>
          <w:ilvl w:val="0"/>
          <w:numId w:val="2"/>
        </w:numPr>
        <w:tabs>
          <w:tab w:val="left" w:pos="1080"/>
        </w:tabs>
        <w:rPr>
          <w:rFonts w:ascii="Times New Roman" w:hAnsi="Times New Roman"/>
          <w:b/>
          <w:caps/>
          <w:szCs w:val="24"/>
        </w:rPr>
      </w:pPr>
      <w:r w:rsidRPr="00091D0D">
        <w:rPr>
          <w:rFonts w:ascii="Times New Roman" w:hAnsi="Times New Roman"/>
          <w:caps/>
          <w:szCs w:val="24"/>
        </w:rPr>
        <w:t xml:space="preserve"> </w:t>
      </w:r>
      <w:r w:rsidRPr="00091D0D">
        <w:rPr>
          <w:rFonts w:ascii="Times New Roman" w:hAnsi="Times New Roman"/>
          <w:b/>
          <w:caps/>
          <w:szCs w:val="24"/>
        </w:rPr>
        <w:t>Defining “Diverse and Disadvantaged Business”</w:t>
      </w:r>
    </w:p>
    <w:p w14:paraId="06F6EAE9" w14:textId="77777777" w:rsidR="00690158" w:rsidRPr="00690158" w:rsidRDefault="00690158" w:rsidP="00690158">
      <w:pPr>
        <w:tabs>
          <w:tab w:val="left" w:pos="1080"/>
        </w:tabs>
        <w:rPr>
          <w:rFonts w:ascii="Times New Roman" w:hAnsi="Times New Roman" w:cs="Times New Roman"/>
          <w:szCs w:val="24"/>
        </w:rPr>
      </w:pPr>
    </w:p>
    <w:p w14:paraId="499EB122" w14:textId="77777777" w:rsidR="00690158" w:rsidRPr="00690158" w:rsidRDefault="00690158" w:rsidP="00690158">
      <w:pPr>
        <w:pStyle w:val="ListParagraph"/>
        <w:numPr>
          <w:ilvl w:val="0"/>
          <w:numId w:val="3"/>
        </w:numPr>
        <w:tabs>
          <w:tab w:val="left" w:pos="1080"/>
        </w:tabs>
        <w:rPr>
          <w:rFonts w:ascii="Times New Roman" w:hAnsi="Times New Roman"/>
          <w:b/>
          <w:szCs w:val="24"/>
        </w:rPr>
      </w:pPr>
      <w:r w:rsidRPr="00690158">
        <w:rPr>
          <w:rFonts w:ascii="Times New Roman" w:hAnsi="Times New Roman"/>
          <w:b/>
          <w:szCs w:val="24"/>
        </w:rPr>
        <w:t>Prior CEE Proposal</w:t>
      </w:r>
    </w:p>
    <w:p w14:paraId="67FE3091" w14:textId="77777777" w:rsidR="00690158" w:rsidRPr="00690158" w:rsidRDefault="00690158" w:rsidP="00690158">
      <w:pPr>
        <w:tabs>
          <w:tab w:val="left" w:pos="1080"/>
        </w:tabs>
        <w:rPr>
          <w:rFonts w:ascii="Times New Roman" w:hAnsi="Times New Roman" w:cs="Times New Roman"/>
          <w:b/>
          <w:szCs w:val="24"/>
        </w:rPr>
      </w:pPr>
    </w:p>
    <w:p w14:paraId="1D9A29AF" w14:textId="77777777" w:rsidR="00690158" w:rsidRPr="00690158" w:rsidRDefault="00690158" w:rsidP="00690158">
      <w:pPr>
        <w:tabs>
          <w:tab w:val="left" w:pos="1080"/>
        </w:tabs>
        <w:rPr>
          <w:rFonts w:ascii="Times New Roman" w:hAnsi="Times New Roman" w:cs="Times New Roman"/>
          <w:szCs w:val="24"/>
        </w:rPr>
      </w:pPr>
      <w:r w:rsidRPr="00690158">
        <w:rPr>
          <w:rFonts w:ascii="Times New Roman" w:hAnsi="Times New Roman" w:cs="Times New Roman"/>
          <w:szCs w:val="24"/>
        </w:rPr>
        <w:t>In CEE’s opening comments on the proposed decision, CEE proposed the following definition of disadvantaged workers:</w:t>
      </w:r>
    </w:p>
    <w:p w14:paraId="3E3DCD7B" w14:textId="77777777" w:rsidR="00690158" w:rsidRPr="00690158" w:rsidRDefault="00690158" w:rsidP="00690158">
      <w:pPr>
        <w:tabs>
          <w:tab w:val="left" w:pos="1080"/>
        </w:tabs>
        <w:rPr>
          <w:rFonts w:ascii="Times New Roman" w:hAnsi="Times New Roman" w:cs="Times New Roman"/>
          <w:szCs w:val="24"/>
        </w:rPr>
      </w:pPr>
    </w:p>
    <w:p w14:paraId="6400B648" w14:textId="77777777" w:rsidR="00690158" w:rsidRPr="00690158" w:rsidRDefault="00690158" w:rsidP="00690158">
      <w:pPr>
        <w:tabs>
          <w:tab w:val="left" w:pos="1080"/>
        </w:tabs>
        <w:ind w:left="720"/>
        <w:rPr>
          <w:rFonts w:ascii="Times New Roman" w:hAnsi="Times New Roman" w:cs="Times New Roman"/>
          <w:szCs w:val="24"/>
        </w:rPr>
      </w:pPr>
      <w:r w:rsidRPr="00690158">
        <w:rPr>
          <w:rFonts w:ascii="Times New Roman" w:hAnsi="Times New Roman" w:cs="Times New Roman"/>
          <w:szCs w:val="24"/>
        </w:rPr>
        <w:lastRenderedPageBreak/>
        <w:t>“[W]orkers from minority and low-income communities and those with barriers to employment (e.g., formerly incarcerated, homeless, veterans, and those with disabilities).”</w:t>
      </w:r>
      <w:r w:rsidRPr="00690158">
        <w:rPr>
          <w:rStyle w:val="FootnoteReference"/>
          <w:rFonts w:ascii="Times New Roman" w:hAnsi="Times New Roman" w:cs="Times New Roman"/>
          <w:szCs w:val="24"/>
        </w:rPr>
        <w:footnoteReference w:id="5"/>
      </w:r>
    </w:p>
    <w:p w14:paraId="0A5DD6C1" w14:textId="77777777" w:rsidR="00690158" w:rsidRPr="00690158" w:rsidRDefault="00690158" w:rsidP="00690158">
      <w:pPr>
        <w:tabs>
          <w:tab w:val="left" w:pos="1080"/>
        </w:tabs>
        <w:rPr>
          <w:rFonts w:ascii="Times New Roman" w:hAnsi="Times New Roman" w:cs="Times New Roman"/>
          <w:szCs w:val="24"/>
        </w:rPr>
      </w:pPr>
    </w:p>
    <w:p w14:paraId="4D04617C" w14:textId="77777777" w:rsidR="00690158" w:rsidRPr="00690158" w:rsidRDefault="00690158" w:rsidP="00690158">
      <w:pPr>
        <w:tabs>
          <w:tab w:val="left" w:pos="1080"/>
        </w:tabs>
        <w:rPr>
          <w:rFonts w:ascii="Times New Roman" w:hAnsi="Times New Roman" w:cs="Times New Roman"/>
          <w:szCs w:val="24"/>
        </w:rPr>
      </w:pPr>
      <w:r w:rsidRPr="00690158">
        <w:rPr>
          <w:rFonts w:ascii="Times New Roman" w:hAnsi="Times New Roman" w:cs="Times New Roman"/>
          <w:szCs w:val="24"/>
        </w:rPr>
        <w:t xml:space="preserve">This definition was developed by CEE members and was favored for its inclusion of both the more common definitions of disadvantaged workers (minority and low-income community members) as well as other groups that frequently face barriers to employment (formerly incarcerated, homeless, veterans). </w:t>
      </w:r>
    </w:p>
    <w:p w14:paraId="3C1CB4CE" w14:textId="77777777" w:rsidR="00690158" w:rsidRPr="00690158" w:rsidRDefault="00690158" w:rsidP="00690158">
      <w:pPr>
        <w:tabs>
          <w:tab w:val="left" w:pos="1080"/>
        </w:tabs>
        <w:rPr>
          <w:rFonts w:ascii="Times New Roman" w:hAnsi="Times New Roman" w:cs="Times New Roman"/>
          <w:szCs w:val="24"/>
        </w:rPr>
      </w:pPr>
    </w:p>
    <w:p w14:paraId="345105BF" w14:textId="77777777" w:rsidR="00690158" w:rsidRPr="00690158" w:rsidRDefault="00690158" w:rsidP="00690158">
      <w:pPr>
        <w:pStyle w:val="ListParagraph"/>
        <w:numPr>
          <w:ilvl w:val="0"/>
          <w:numId w:val="3"/>
        </w:numPr>
        <w:tabs>
          <w:tab w:val="left" w:pos="1080"/>
        </w:tabs>
        <w:rPr>
          <w:rFonts w:ascii="Times New Roman" w:hAnsi="Times New Roman"/>
          <w:b/>
          <w:szCs w:val="24"/>
        </w:rPr>
      </w:pPr>
      <w:r w:rsidRPr="00690158">
        <w:rPr>
          <w:rFonts w:ascii="Times New Roman" w:hAnsi="Times New Roman"/>
          <w:b/>
          <w:szCs w:val="24"/>
        </w:rPr>
        <w:t xml:space="preserve">CalEPA definition of “disadvantaged communities” </w:t>
      </w:r>
    </w:p>
    <w:p w14:paraId="23565218" w14:textId="77777777" w:rsidR="00690158" w:rsidRPr="00690158" w:rsidRDefault="00690158" w:rsidP="00690158">
      <w:pPr>
        <w:tabs>
          <w:tab w:val="left" w:pos="1080"/>
        </w:tabs>
        <w:rPr>
          <w:rFonts w:ascii="Times New Roman" w:hAnsi="Times New Roman" w:cs="Times New Roman"/>
          <w:szCs w:val="24"/>
        </w:rPr>
      </w:pPr>
    </w:p>
    <w:p w14:paraId="4198372A" w14:textId="77777777" w:rsidR="00690158" w:rsidRPr="00690158" w:rsidRDefault="00690158" w:rsidP="00690158">
      <w:pPr>
        <w:tabs>
          <w:tab w:val="left" w:pos="1080"/>
        </w:tabs>
        <w:rPr>
          <w:rFonts w:ascii="Times New Roman" w:hAnsi="Times New Roman" w:cs="Times New Roman"/>
          <w:szCs w:val="24"/>
        </w:rPr>
      </w:pPr>
      <w:r w:rsidRPr="00690158">
        <w:rPr>
          <w:rFonts w:ascii="Times New Roman" w:hAnsi="Times New Roman" w:cs="Times New Roman"/>
          <w:szCs w:val="24"/>
        </w:rPr>
        <w:t>At the CPUC meeting approving the third party bid solicitation decision, Commissioner Rechtschaffen recommended that the IOUs consider the definition of disadvantaged communities used by CalEPA for distributing proceeds from the State’s Cap-and-Trade Program. For purposes of the Cap-and-Trade Program, CalEPA designates specific communities as “disadvantaged communities” using the California Communities Environmental Health Screen Tool (CalEnvirosScreen). Specifically, CalEPA designates the “highest scoring 25% of census tracts from CalEnviroScreen 3.0 as disadvantaged communities. Additionally, 22 census tracts that score in the highest 5% of CalEnviroScreen’s Pollution Burden, but do not have an overall CalEnviroScreen score because of unreliable socioeconomic or health data, are also designated as disadvantaged communities.”</w:t>
      </w:r>
      <w:r w:rsidRPr="00690158">
        <w:rPr>
          <w:rStyle w:val="FootnoteReference"/>
          <w:rFonts w:ascii="Times New Roman" w:hAnsi="Times New Roman" w:cs="Times New Roman"/>
          <w:szCs w:val="24"/>
        </w:rPr>
        <w:footnoteReference w:id="6"/>
      </w:r>
      <w:r w:rsidRPr="00690158">
        <w:rPr>
          <w:rFonts w:ascii="Times New Roman" w:hAnsi="Times New Roman" w:cs="Times New Roman"/>
          <w:szCs w:val="24"/>
        </w:rPr>
        <w:t xml:space="preserve"> </w:t>
      </w:r>
    </w:p>
    <w:p w14:paraId="078914F0" w14:textId="77777777" w:rsidR="00690158" w:rsidRPr="00690158" w:rsidRDefault="00690158" w:rsidP="00690158">
      <w:pPr>
        <w:tabs>
          <w:tab w:val="left" w:pos="1080"/>
        </w:tabs>
        <w:rPr>
          <w:rFonts w:ascii="Times New Roman" w:hAnsi="Times New Roman" w:cs="Times New Roman"/>
          <w:szCs w:val="24"/>
        </w:rPr>
      </w:pPr>
    </w:p>
    <w:p w14:paraId="30F4E406" w14:textId="77777777" w:rsidR="00690158" w:rsidRPr="00690158" w:rsidRDefault="00690158" w:rsidP="00690158">
      <w:pPr>
        <w:tabs>
          <w:tab w:val="left" w:pos="1080"/>
        </w:tabs>
        <w:rPr>
          <w:rFonts w:ascii="Times New Roman" w:hAnsi="Times New Roman" w:cs="Times New Roman"/>
          <w:szCs w:val="24"/>
        </w:rPr>
      </w:pPr>
      <w:r w:rsidRPr="00690158">
        <w:rPr>
          <w:rFonts w:ascii="Times New Roman" w:hAnsi="Times New Roman" w:cs="Times New Roman"/>
          <w:szCs w:val="24"/>
        </w:rPr>
        <w:t xml:space="preserve">More information regarding the specific methodology used to determine CalEnviroScreen scores is available on the OEHHA website at </w:t>
      </w:r>
      <w:hyperlink r:id="rId7" w:history="1">
        <w:r w:rsidRPr="00690158">
          <w:rPr>
            <w:rStyle w:val="Hyperlink"/>
            <w:rFonts w:ascii="Times New Roman" w:hAnsi="Times New Roman" w:cs="Times New Roman"/>
            <w:szCs w:val="24"/>
          </w:rPr>
          <w:t>https://oehha.ca.gov/calenviroscreen/sb535</w:t>
        </w:r>
      </w:hyperlink>
      <w:r w:rsidRPr="00690158">
        <w:rPr>
          <w:rFonts w:ascii="Times New Roman" w:hAnsi="Times New Roman" w:cs="Times New Roman"/>
          <w:szCs w:val="24"/>
        </w:rPr>
        <w:t>.</w:t>
      </w:r>
      <w:r w:rsidRPr="00690158">
        <w:rPr>
          <w:rStyle w:val="FootnoteReference"/>
          <w:rFonts w:ascii="Times New Roman" w:hAnsi="Times New Roman" w:cs="Times New Roman"/>
          <w:szCs w:val="24"/>
        </w:rPr>
        <w:footnoteReference w:id="7"/>
      </w:r>
      <w:r w:rsidRPr="00690158">
        <w:rPr>
          <w:rFonts w:ascii="Times New Roman" w:hAnsi="Times New Roman" w:cs="Times New Roman"/>
          <w:szCs w:val="24"/>
        </w:rPr>
        <w:t xml:space="preserve"> </w:t>
      </w:r>
    </w:p>
    <w:p w14:paraId="3DDC93CB" w14:textId="77777777" w:rsidR="00690158" w:rsidRPr="00690158" w:rsidRDefault="00690158" w:rsidP="00690158">
      <w:pPr>
        <w:tabs>
          <w:tab w:val="left" w:pos="1080"/>
        </w:tabs>
        <w:rPr>
          <w:rFonts w:ascii="Times New Roman" w:hAnsi="Times New Roman" w:cs="Times New Roman"/>
          <w:szCs w:val="24"/>
        </w:rPr>
      </w:pPr>
    </w:p>
    <w:p w14:paraId="521EB5E0" w14:textId="77777777" w:rsidR="00690158" w:rsidRPr="00690158" w:rsidRDefault="00690158" w:rsidP="00690158">
      <w:pPr>
        <w:tabs>
          <w:tab w:val="left" w:pos="1080"/>
        </w:tabs>
        <w:rPr>
          <w:rFonts w:ascii="Times New Roman" w:hAnsi="Times New Roman" w:cs="Times New Roman"/>
          <w:szCs w:val="24"/>
        </w:rPr>
      </w:pPr>
      <w:r w:rsidRPr="00690158">
        <w:rPr>
          <w:rFonts w:ascii="Times New Roman" w:hAnsi="Times New Roman" w:cs="Times New Roman"/>
          <w:szCs w:val="24"/>
        </w:rPr>
        <w:t>Potential benefits of using the CalEPA definition of “disadvantaged communities” include:</w:t>
      </w:r>
    </w:p>
    <w:p w14:paraId="7F343820" w14:textId="77777777" w:rsidR="00690158" w:rsidRPr="00690158" w:rsidRDefault="00690158" w:rsidP="00690158">
      <w:pPr>
        <w:tabs>
          <w:tab w:val="left" w:pos="1080"/>
        </w:tabs>
        <w:rPr>
          <w:rFonts w:ascii="Times New Roman" w:hAnsi="Times New Roman" w:cs="Times New Roman"/>
          <w:szCs w:val="24"/>
        </w:rPr>
      </w:pPr>
    </w:p>
    <w:p w14:paraId="115A1718" w14:textId="77777777" w:rsidR="00690158" w:rsidRPr="00690158" w:rsidRDefault="00690158" w:rsidP="00690158">
      <w:pPr>
        <w:pStyle w:val="ListParagraph"/>
        <w:numPr>
          <w:ilvl w:val="0"/>
          <w:numId w:val="4"/>
        </w:numPr>
        <w:tabs>
          <w:tab w:val="left" w:pos="1080"/>
        </w:tabs>
        <w:rPr>
          <w:rFonts w:ascii="Times New Roman" w:hAnsi="Times New Roman"/>
          <w:szCs w:val="24"/>
        </w:rPr>
      </w:pPr>
      <w:r w:rsidRPr="00690158">
        <w:rPr>
          <w:rFonts w:ascii="Times New Roman" w:hAnsi="Times New Roman"/>
          <w:szCs w:val="24"/>
        </w:rPr>
        <w:t>The definition covers workers from areas facing heavy pollution burdens, sensitive populations, and socioeconomic challenges.</w:t>
      </w:r>
    </w:p>
    <w:p w14:paraId="4834A3BF" w14:textId="77777777" w:rsidR="00690158" w:rsidRPr="00690158" w:rsidRDefault="00690158" w:rsidP="00690158">
      <w:pPr>
        <w:pStyle w:val="ListParagraph"/>
        <w:numPr>
          <w:ilvl w:val="0"/>
          <w:numId w:val="4"/>
        </w:numPr>
        <w:tabs>
          <w:tab w:val="left" w:pos="1080"/>
        </w:tabs>
        <w:rPr>
          <w:rFonts w:ascii="Times New Roman" w:hAnsi="Times New Roman"/>
          <w:szCs w:val="24"/>
        </w:rPr>
      </w:pPr>
      <w:r w:rsidRPr="00690158">
        <w:rPr>
          <w:rFonts w:ascii="Times New Roman" w:hAnsi="Times New Roman"/>
          <w:szCs w:val="24"/>
        </w:rPr>
        <w:t>The definition is based on CalEnviroScreen data, thus the pool of eligible communities and workers will update to reflect to changes in environmental conditions and population characteristics.</w:t>
      </w:r>
    </w:p>
    <w:p w14:paraId="267AC0C9" w14:textId="77777777" w:rsidR="00690158" w:rsidRPr="00690158" w:rsidRDefault="00690158" w:rsidP="00690158">
      <w:pPr>
        <w:pStyle w:val="ListParagraph"/>
        <w:numPr>
          <w:ilvl w:val="0"/>
          <w:numId w:val="4"/>
        </w:numPr>
        <w:tabs>
          <w:tab w:val="left" w:pos="1080"/>
        </w:tabs>
        <w:rPr>
          <w:rFonts w:ascii="Times New Roman" w:hAnsi="Times New Roman"/>
          <w:szCs w:val="24"/>
        </w:rPr>
      </w:pPr>
      <w:r w:rsidRPr="00690158">
        <w:rPr>
          <w:rFonts w:ascii="Times New Roman" w:hAnsi="Times New Roman"/>
          <w:szCs w:val="24"/>
        </w:rPr>
        <w:t xml:space="preserve">It is consistent with the definition employed by State government agencies (and was recommended by CPUC Commissioner Rechtschaffen). </w:t>
      </w:r>
    </w:p>
    <w:p w14:paraId="4E42B629" w14:textId="77777777" w:rsidR="00690158" w:rsidRPr="00690158" w:rsidRDefault="00690158" w:rsidP="00690158">
      <w:pPr>
        <w:tabs>
          <w:tab w:val="left" w:pos="1080"/>
        </w:tabs>
        <w:rPr>
          <w:rFonts w:ascii="Times New Roman" w:hAnsi="Times New Roman" w:cs="Times New Roman"/>
          <w:szCs w:val="24"/>
        </w:rPr>
      </w:pPr>
    </w:p>
    <w:p w14:paraId="7053263F" w14:textId="77777777" w:rsidR="00690158" w:rsidRPr="00690158" w:rsidRDefault="00690158" w:rsidP="00690158">
      <w:pPr>
        <w:tabs>
          <w:tab w:val="left" w:pos="1080"/>
        </w:tabs>
        <w:rPr>
          <w:rFonts w:ascii="Times New Roman" w:hAnsi="Times New Roman" w:cs="Times New Roman"/>
          <w:szCs w:val="24"/>
        </w:rPr>
      </w:pPr>
      <w:r w:rsidRPr="00690158">
        <w:rPr>
          <w:rFonts w:ascii="Times New Roman" w:hAnsi="Times New Roman" w:cs="Times New Roman"/>
          <w:szCs w:val="24"/>
        </w:rPr>
        <w:t>On the other hand, potential shortcomings of the CalEPA definition include:</w:t>
      </w:r>
    </w:p>
    <w:p w14:paraId="40EF398B" w14:textId="77777777" w:rsidR="00690158" w:rsidRPr="00690158" w:rsidRDefault="00690158" w:rsidP="00690158">
      <w:pPr>
        <w:tabs>
          <w:tab w:val="left" w:pos="1080"/>
        </w:tabs>
        <w:rPr>
          <w:rFonts w:ascii="Times New Roman" w:hAnsi="Times New Roman" w:cs="Times New Roman"/>
          <w:szCs w:val="24"/>
        </w:rPr>
      </w:pPr>
    </w:p>
    <w:p w14:paraId="347F70AC" w14:textId="77777777" w:rsidR="00690158" w:rsidRPr="00690158" w:rsidRDefault="00690158" w:rsidP="00690158">
      <w:pPr>
        <w:pStyle w:val="ListParagraph"/>
        <w:numPr>
          <w:ilvl w:val="0"/>
          <w:numId w:val="5"/>
        </w:numPr>
        <w:tabs>
          <w:tab w:val="left" w:pos="1080"/>
        </w:tabs>
        <w:rPr>
          <w:rFonts w:ascii="Times New Roman" w:hAnsi="Times New Roman"/>
          <w:szCs w:val="24"/>
        </w:rPr>
      </w:pPr>
      <w:r w:rsidRPr="00690158">
        <w:rPr>
          <w:rFonts w:ascii="Times New Roman" w:hAnsi="Times New Roman"/>
          <w:szCs w:val="24"/>
        </w:rPr>
        <w:t xml:space="preserve">The definition speaks to disadvantaged </w:t>
      </w:r>
      <w:r w:rsidRPr="00690158">
        <w:rPr>
          <w:rFonts w:ascii="Times New Roman" w:hAnsi="Times New Roman"/>
          <w:i/>
          <w:szCs w:val="24"/>
        </w:rPr>
        <w:t>communities</w:t>
      </w:r>
      <w:r w:rsidRPr="00690158">
        <w:rPr>
          <w:rFonts w:ascii="Times New Roman" w:hAnsi="Times New Roman"/>
          <w:szCs w:val="24"/>
        </w:rPr>
        <w:t>, rather than the workers themselves.</w:t>
      </w:r>
    </w:p>
    <w:p w14:paraId="181254E6" w14:textId="77777777" w:rsidR="00690158" w:rsidRPr="00690158" w:rsidRDefault="00690158" w:rsidP="00690158">
      <w:pPr>
        <w:pStyle w:val="ListParagraph"/>
        <w:numPr>
          <w:ilvl w:val="0"/>
          <w:numId w:val="5"/>
        </w:numPr>
        <w:tabs>
          <w:tab w:val="left" w:pos="1080"/>
        </w:tabs>
        <w:rPr>
          <w:rFonts w:ascii="Times New Roman" w:hAnsi="Times New Roman"/>
          <w:szCs w:val="24"/>
        </w:rPr>
      </w:pPr>
      <w:r w:rsidRPr="00690158">
        <w:rPr>
          <w:rFonts w:ascii="Times New Roman" w:hAnsi="Times New Roman"/>
          <w:szCs w:val="24"/>
        </w:rPr>
        <w:t>The definition excludes diverse or disadvantage workers living in areas outside the highest scoring 25% of census tracts.</w:t>
      </w:r>
    </w:p>
    <w:p w14:paraId="124FA9F0" w14:textId="77777777" w:rsidR="00690158" w:rsidRPr="00690158" w:rsidRDefault="00690158" w:rsidP="00690158">
      <w:pPr>
        <w:pStyle w:val="ListParagraph"/>
        <w:numPr>
          <w:ilvl w:val="0"/>
          <w:numId w:val="5"/>
        </w:numPr>
        <w:tabs>
          <w:tab w:val="left" w:pos="1080"/>
        </w:tabs>
        <w:rPr>
          <w:rFonts w:ascii="Times New Roman" w:hAnsi="Times New Roman"/>
          <w:szCs w:val="24"/>
        </w:rPr>
      </w:pPr>
      <w:r w:rsidRPr="00690158">
        <w:rPr>
          <w:rFonts w:ascii="Times New Roman" w:hAnsi="Times New Roman"/>
          <w:szCs w:val="24"/>
        </w:rPr>
        <w:lastRenderedPageBreak/>
        <w:t>The definition may be geographically restrictive. For example, what happens for programs and projects occurring far away from a designated community?</w:t>
      </w:r>
    </w:p>
    <w:p w14:paraId="15372060" w14:textId="77777777" w:rsidR="00690158" w:rsidRPr="00690158" w:rsidRDefault="00690158" w:rsidP="00690158">
      <w:pPr>
        <w:pStyle w:val="ListParagraph"/>
        <w:numPr>
          <w:ilvl w:val="0"/>
          <w:numId w:val="5"/>
        </w:numPr>
        <w:tabs>
          <w:tab w:val="left" w:pos="1080"/>
        </w:tabs>
        <w:rPr>
          <w:rFonts w:ascii="Times New Roman" w:hAnsi="Times New Roman"/>
          <w:szCs w:val="24"/>
        </w:rPr>
      </w:pPr>
      <w:r w:rsidRPr="00690158">
        <w:rPr>
          <w:rFonts w:ascii="Times New Roman" w:hAnsi="Times New Roman"/>
          <w:szCs w:val="24"/>
        </w:rPr>
        <w:t xml:space="preserve">The definition may fail to benefit certain categories of workers that face barriers to employment (e.g., formerly incarcerated, veterans, and those with disabilities). </w:t>
      </w:r>
    </w:p>
    <w:p w14:paraId="7EE1C196" w14:textId="77777777" w:rsidR="00690158" w:rsidRPr="00690158" w:rsidRDefault="00690158" w:rsidP="00690158">
      <w:pPr>
        <w:tabs>
          <w:tab w:val="left" w:pos="1080"/>
        </w:tabs>
        <w:rPr>
          <w:rFonts w:ascii="Times New Roman" w:hAnsi="Times New Roman" w:cs="Times New Roman"/>
          <w:szCs w:val="24"/>
        </w:rPr>
      </w:pPr>
    </w:p>
    <w:p w14:paraId="35CC98F8" w14:textId="77777777" w:rsidR="00690158" w:rsidRPr="00690158" w:rsidRDefault="00690158" w:rsidP="00690158">
      <w:pPr>
        <w:tabs>
          <w:tab w:val="left" w:pos="1080"/>
        </w:tabs>
        <w:rPr>
          <w:rFonts w:ascii="Times New Roman" w:hAnsi="Times New Roman" w:cs="Times New Roman"/>
          <w:szCs w:val="24"/>
        </w:rPr>
      </w:pPr>
      <w:r w:rsidRPr="00690158">
        <w:rPr>
          <w:rFonts w:ascii="Times New Roman" w:hAnsi="Times New Roman" w:cs="Times New Roman"/>
          <w:szCs w:val="24"/>
        </w:rPr>
        <w:t>In sum, use of the CalEPA definition of “disadvantage communities” does not, by itself, encompass the universe of disadvantaged workers intended to be covered under Decision 18-01-004.</w:t>
      </w:r>
    </w:p>
    <w:p w14:paraId="05153724" w14:textId="77777777" w:rsidR="00690158" w:rsidRPr="00690158" w:rsidRDefault="00690158" w:rsidP="00690158">
      <w:pPr>
        <w:tabs>
          <w:tab w:val="left" w:pos="1080"/>
        </w:tabs>
        <w:rPr>
          <w:rFonts w:ascii="Times New Roman" w:hAnsi="Times New Roman" w:cs="Times New Roman"/>
          <w:szCs w:val="24"/>
        </w:rPr>
      </w:pPr>
    </w:p>
    <w:p w14:paraId="19F119C7" w14:textId="77777777" w:rsidR="00690158" w:rsidRPr="00690158" w:rsidRDefault="00690158" w:rsidP="00690158">
      <w:pPr>
        <w:pStyle w:val="ListParagraph"/>
        <w:numPr>
          <w:ilvl w:val="0"/>
          <w:numId w:val="3"/>
        </w:numPr>
        <w:tabs>
          <w:tab w:val="left" w:pos="1080"/>
        </w:tabs>
        <w:rPr>
          <w:rFonts w:ascii="Times New Roman" w:hAnsi="Times New Roman"/>
          <w:szCs w:val="24"/>
        </w:rPr>
      </w:pPr>
      <w:r w:rsidRPr="00690158">
        <w:rPr>
          <w:rFonts w:ascii="Times New Roman" w:hAnsi="Times New Roman"/>
          <w:b/>
          <w:szCs w:val="24"/>
        </w:rPr>
        <w:t>CEE Revised Proposal for Definition of Diverse and Disadvantaged Communities</w:t>
      </w:r>
    </w:p>
    <w:p w14:paraId="51769586" w14:textId="77777777" w:rsidR="00690158" w:rsidRPr="00690158" w:rsidRDefault="00690158" w:rsidP="00690158">
      <w:pPr>
        <w:tabs>
          <w:tab w:val="left" w:pos="1080"/>
        </w:tabs>
        <w:rPr>
          <w:rFonts w:ascii="Times New Roman" w:hAnsi="Times New Roman" w:cs="Times New Roman"/>
          <w:szCs w:val="24"/>
        </w:rPr>
      </w:pPr>
    </w:p>
    <w:p w14:paraId="4D53124A" w14:textId="77777777" w:rsidR="00690158" w:rsidRPr="00690158" w:rsidRDefault="00690158" w:rsidP="00690158">
      <w:pPr>
        <w:tabs>
          <w:tab w:val="left" w:pos="1080"/>
        </w:tabs>
        <w:rPr>
          <w:rFonts w:ascii="Times New Roman" w:hAnsi="Times New Roman" w:cs="Times New Roman"/>
          <w:szCs w:val="24"/>
        </w:rPr>
      </w:pPr>
      <w:r w:rsidRPr="00690158">
        <w:rPr>
          <w:rFonts w:ascii="Times New Roman" w:hAnsi="Times New Roman" w:cs="Times New Roman"/>
          <w:szCs w:val="24"/>
        </w:rPr>
        <w:t>CEE recommends combining the CalEPA definition of “disadvantaged communities” with the CEE’s prior proposed definition of disadvantaged workers.  CEE’s proposes the following definition of Diverse and Disadvantaged Communities:</w:t>
      </w:r>
    </w:p>
    <w:p w14:paraId="06F18E35" w14:textId="77777777" w:rsidR="00690158" w:rsidRPr="00690158" w:rsidRDefault="00690158" w:rsidP="00690158">
      <w:pPr>
        <w:tabs>
          <w:tab w:val="left" w:pos="1080"/>
        </w:tabs>
        <w:rPr>
          <w:rFonts w:ascii="Times New Roman" w:hAnsi="Times New Roman" w:cs="Times New Roman"/>
          <w:szCs w:val="24"/>
        </w:rPr>
      </w:pPr>
    </w:p>
    <w:p w14:paraId="7BE93B40" w14:textId="77777777" w:rsidR="00690158" w:rsidRPr="00690158" w:rsidRDefault="00690158" w:rsidP="00690158">
      <w:pPr>
        <w:tabs>
          <w:tab w:val="left" w:pos="1080"/>
        </w:tabs>
        <w:ind w:left="360"/>
        <w:rPr>
          <w:rFonts w:ascii="Times New Roman" w:hAnsi="Times New Roman" w:cs="Times New Roman"/>
          <w:szCs w:val="24"/>
        </w:rPr>
      </w:pPr>
      <w:r w:rsidRPr="00690158">
        <w:rPr>
          <w:rFonts w:ascii="Times New Roman" w:hAnsi="Times New Roman" w:cs="Times New Roman"/>
          <w:szCs w:val="24"/>
        </w:rPr>
        <w:t>Diverse and disadvantaged communities shall include: (a) workers from minority and low-income households; (b) workers with barriers to employment (e.g., formerly incarcertated, homeless, veterans, and those with disabilities); and (c) workers from disadvantaged communities as designated by the CalEPA CalEnviroScreen.</w:t>
      </w:r>
    </w:p>
    <w:p w14:paraId="3D9308B3" w14:textId="77777777" w:rsidR="00690158" w:rsidRPr="00690158" w:rsidRDefault="00690158" w:rsidP="00690158">
      <w:pPr>
        <w:tabs>
          <w:tab w:val="left" w:pos="1080"/>
        </w:tabs>
        <w:rPr>
          <w:rFonts w:ascii="Times New Roman" w:hAnsi="Times New Roman" w:cs="Times New Roman"/>
          <w:szCs w:val="24"/>
        </w:rPr>
      </w:pPr>
    </w:p>
    <w:p w14:paraId="4CC19E02" w14:textId="77777777" w:rsidR="00690158" w:rsidRPr="00690158" w:rsidRDefault="00690158" w:rsidP="00690158">
      <w:pPr>
        <w:tabs>
          <w:tab w:val="left" w:pos="1080"/>
        </w:tabs>
        <w:rPr>
          <w:rFonts w:ascii="Times New Roman" w:hAnsi="Times New Roman" w:cs="Times New Roman"/>
          <w:szCs w:val="24"/>
        </w:rPr>
      </w:pPr>
    </w:p>
    <w:p w14:paraId="3AD78A8B" w14:textId="77777777" w:rsidR="00690158" w:rsidRPr="00091D0D" w:rsidRDefault="00690158" w:rsidP="00690158">
      <w:pPr>
        <w:pStyle w:val="ListParagraph"/>
        <w:numPr>
          <w:ilvl w:val="0"/>
          <w:numId w:val="2"/>
        </w:numPr>
        <w:tabs>
          <w:tab w:val="left" w:pos="1080"/>
        </w:tabs>
        <w:rPr>
          <w:rFonts w:ascii="Times New Roman" w:hAnsi="Times New Roman"/>
          <w:b/>
          <w:caps/>
          <w:szCs w:val="24"/>
        </w:rPr>
      </w:pPr>
      <w:r w:rsidRPr="00091D0D">
        <w:rPr>
          <w:rFonts w:ascii="Times New Roman" w:hAnsi="Times New Roman"/>
          <w:b/>
          <w:caps/>
          <w:szCs w:val="24"/>
        </w:rPr>
        <w:t>Goal for Tracking Diversity and Inclusion</w:t>
      </w:r>
    </w:p>
    <w:p w14:paraId="79EACBD6" w14:textId="77777777" w:rsidR="00690158" w:rsidRPr="00690158" w:rsidRDefault="00690158" w:rsidP="00690158">
      <w:pPr>
        <w:tabs>
          <w:tab w:val="left" w:pos="1080"/>
        </w:tabs>
        <w:rPr>
          <w:rFonts w:ascii="Times New Roman" w:hAnsi="Times New Roman" w:cs="Times New Roman"/>
          <w:szCs w:val="24"/>
        </w:rPr>
      </w:pPr>
    </w:p>
    <w:p w14:paraId="3F9ACCAD" w14:textId="77777777" w:rsidR="00690158" w:rsidRPr="00690158" w:rsidRDefault="00690158" w:rsidP="00690158">
      <w:pPr>
        <w:rPr>
          <w:rFonts w:ascii="Times New Roman" w:hAnsi="Times New Roman" w:cs="Times New Roman"/>
          <w:szCs w:val="24"/>
        </w:rPr>
      </w:pPr>
      <w:r w:rsidRPr="00690158">
        <w:rPr>
          <w:rFonts w:ascii="Times New Roman" w:hAnsi="Times New Roman" w:cs="Times New Roman"/>
          <w:szCs w:val="24"/>
        </w:rPr>
        <w:t xml:space="preserve">On page 41, the Decision says, “For diverse and disadvantaged businesses and employees, [the CPUC] will require the utilities to propose a definition, as well as a goal, that we may include in the metrics for tracking of the business plan results generally, specifically for third party contractors.”  </w:t>
      </w:r>
    </w:p>
    <w:p w14:paraId="30AACD1C" w14:textId="77777777" w:rsidR="00690158" w:rsidRPr="00690158" w:rsidRDefault="00690158" w:rsidP="00690158">
      <w:pPr>
        <w:rPr>
          <w:rFonts w:ascii="Times New Roman" w:hAnsi="Times New Roman" w:cs="Times New Roman"/>
          <w:szCs w:val="24"/>
        </w:rPr>
      </w:pPr>
    </w:p>
    <w:p w14:paraId="238B70DB" w14:textId="77777777" w:rsidR="00690158" w:rsidRPr="00690158" w:rsidRDefault="00690158" w:rsidP="00690158">
      <w:pPr>
        <w:rPr>
          <w:rFonts w:ascii="Times New Roman" w:hAnsi="Times New Roman" w:cs="Times New Roman"/>
          <w:szCs w:val="24"/>
        </w:rPr>
      </w:pPr>
      <w:r w:rsidRPr="00690158">
        <w:rPr>
          <w:rFonts w:ascii="Times New Roman" w:hAnsi="Times New Roman" w:cs="Times New Roman"/>
          <w:szCs w:val="24"/>
        </w:rPr>
        <w:t>CEE proposes the following metrics and goals in order to track the overall progress of the IOU energy efficiency programs in providing job access to disadvantaged workers and disadvantaged communities:</w:t>
      </w:r>
    </w:p>
    <w:p w14:paraId="3775588D" w14:textId="77777777" w:rsidR="00690158" w:rsidRPr="00690158" w:rsidRDefault="00690158" w:rsidP="00690158">
      <w:pPr>
        <w:rPr>
          <w:rFonts w:ascii="Times New Roman" w:hAnsi="Times New Roman" w:cs="Times New Roman"/>
          <w:szCs w:val="24"/>
        </w:rPr>
      </w:pPr>
    </w:p>
    <w:p w14:paraId="2BD2EEA4" w14:textId="77777777" w:rsidR="00690158" w:rsidRPr="00690158" w:rsidRDefault="00690158" w:rsidP="00690158">
      <w:pPr>
        <w:ind w:left="720"/>
        <w:rPr>
          <w:rFonts w:ascii="Times New Roman" w:hAnsi="Times New Roman" w:cs="Times New Roman"/>
          <w:szCs w:val="24"/>
        </w:rPr>
      </w:pPr>
      <w:r w:rsidRPr="00690158">
        <w:rPr>
          <w:rFonts w:ascii="Times New Roman" w:hAnsi="Times New Roman" w:cs="Times New Roman"/>
          <w:b/>
          <w:szCs w:val="24"/>
        </w:rPr>
        <w:t>Metric</w:t>
      </w:r>
      <w:r w:rsidRPr="00690158">
        <w:rPr>
          <w:rFonts w:ascii="Times New Roman" w:hAnsi="Times New Roman" w:cs="Times New Roman"/>
          <w:szCs w:val="24"/>
        </w:rPr>
        <w:t>:  The percentage of energy efficiency program funding that goes to energy efficiency measures installed by contractors that have demonstrated a commitment to provide career pathways to disadvantaged workers.</w:t>
      </w:r>
    </w:p>
    <w:p w14:paraId="5619E61D" w14:textId="77777777" w:rsidR="00690158" w:rsidRPr="00690158" w:rsidRDefault="00690158" w:rsidP="00690158">
      <w:pPr>
        <w:tabs>
          <w:tab w:val="left" w:pos="720"/>
        </w:tabs>
        <w:ind w:left="720"/>
        <w:rPr>
          <w:rFonts w:ascii="Times New Roman" w:hAnsi="Times New Roman" w:cs="Times New Roman"/>
          <w:szCs w:val="24"/>
          <w:u w:val="single"/>
        </w:rPr>
      </w:pPr>
    </w:p>
    <w:p w14:paraId="3A9DCCE3" w14:textId="77777777" w:rsidR="00690158" w:rsidRPr="00690158" w:rsidRDefault="00690158" w:rsidP="00690158">
      <w:pPr>
        <w:ind w:left="720"/>
        <w:rPr>
          <w:rFonts w:ascii="Times New Roman" w:hAnsi="Times New Roman" w:cs="Times New Roman"/>
          <w:szCs w:val="24"/>
        </w:rPr>
      </w:pPr>
      <w:r w:rsidRPr="00690158">
        <w:rPr>
          <w:rFonts w:ascii="Times New Roman" w:hAnsi="Times New Roman" w:cs="Times New Roman"/>
          <w:b/>
          <w:szCs w:val="24"/>
        </w:rPr>
        <w:t>Goal</w:t>
      </w:r>
      <w:r w:rsidRPr="00690158">
        <w:rPr>
          <w:rFonts w:ascii="Times New Roman" w:hAnsi="Times New Roman" w:cs="Times New Roman"/>
          <w:szCs w:val="24"/>
        </w:rPr>
        <w:t>:  By 2021, 25 percent</w:t>
      </w:r>
      <w:r w:rsidRPr="00690158">
        <w:rPr>
          <w:rStyle w:val="FootnoteReference"/>
          <w:rFonts w:ascii="Times New Roman" w:hAnsi="Times New Roman" w:cs="Times New Roman"/>
          <w:szCs w:val="24"/>
        </w:rPr>
        <w:footnoteReference w:id="8"/>
      </w:r>
      <w:r w:rsidRPr="00690158">
        <w:rPr>
          <w:rFonts w:ascii="Times New Roman" w:hAnsi="Times New Roman" w:cs="Times New Roman"/>
          <w:szCs w:val="24"/>
        </w:rPr>
        <w:t xml:space="preserve"> of all energy efficiency program funding goes to energy efficiency measures installed by contractors that have demonstrated a commitment to provide career pathways to disadvantaged workers.</w:t>
      </w:r>
    </w:p>
    <w:p w14:paraId="52C9FEF3" w14:textId="77777777" w:rsidR="00690158" w:rsidRDefault="00690158" w:rsidP="00690158">
      <w:pPr>
        <w:tabs>
          <w:tab w:val="left" w:pos="720"/>
        </w:tabs>
        <w:rPr>
          <w:rFonts w:ascii="Times New Roman" w:hAnsi="Times New Roman" w:cs="Times New Roman"/>
          <w:szCs w:val="24"/>
        </w:rPr>
      </w:pPr>
    </w:p>
    <w:p w14:paraId="2A468BFE" w14:textId="77777777" w:rsidR="00690158" w:rsidRDefault="00690158" w:rsidP="00690158">
      <w:pPr>
        <w:tabs>
          <w:tab w:val="left" w:pos="720"/>
        </w:tabs>
        <w:rPr>
          <w:rFonts w:ascii="Times New Roman" w:hAnsi="Times New Roman" w:cs="Times New Roman"/>
          <w:szCs w:val="24"/>
        </w:rPr>
      </w:pPr>
    </w:p>
    <w:p w14:paraId="6F754F56" w14:textId="77777777" w:rsidR="00690158" w:rsidRDefault="00690158" w:rsidP="00690158">
      <w:pPr>
        <w:tabs>
          <w:tab w:val="left" w:pos="720"/>
        </w:tabs>
        <w:rPr>
          <w:rFonts w:ascii="Times New Roman" w:hAnsi="Times New Roman" w:cs="Times New Roman"/>
          <w:szCs w:val="24"/>
        </w:rPr>
      </w:pPr>
    </w:p>
    <w:p w14:paraId="02717BB3" w14:textId="77777777" w:rsidR="00690158" w:rsidRPr="00690158" w:rsidRDefault="00690158" w:rsidP="00690158">
      <w:pPr>
        <w:tabs>
          <w:tab w:val="left" w:pos="720"/>
        </w:tabs>
        <w:rPr>
          <w:rFonts w:ascii="Times New Roman" w:hAnsi="Times New Roman" w:cs="Times New Roman"/>
          <w:szCs w:val="24"/>
        </w:rPr>
      </w:pPr>
    </w:p>
    <w:p w14:paraId="56A33367" w14:textId="77777777" w:rsidR="00690158" w:rsidRPr="00690158" w:rsidRDefault="00690158" w:rsidP="00690158">
      <w:pPr>
        <w:tabs>
          <w:tab w:val="left" w:pos="720"/>
        </w:tabs>
        <w:rPr>
          <w:rFonts w:ascii="Times New Roman" w:hAnsi="Times New Roman" w:cs="Times New Roman"/>
          <w:szCs w:val="24"/>
        </w:rPr>
      </w:pPr>
    </w:p>
    <w:p w14:paraId="4DF7EB28" w14:textId="77777777" w:rsidR="00690158" w:rsidRPr="00091D0D" w:rsidRDefault="00690158" w:rsidP="00690158">
      <w:pPr>
        <w:pStyle w:val="ListParagraph"/>
        <w:numPr>
          <w:ilvl w:val="0"/>
          <w:numId w:val="2"/>
        </w:numPr>
        <w:tabs>
          <w:tab w:val="left" w:pos="720"/>
        </w:tabs>
        <w:rPr>
          <w:rFonts w:ascii="Times New Roman" w:hAnsi="Times New Roman"/>
          <w:b/>
          <w:caps/>
          <w:szCs w:val="24"/>
        </w:rPr>
      </w:pPr>
      <w:r w:rsidRPr="00091D0D">
        <w:rPr>
          <w:rFonts w:ascii="Times New Roman" w:hAnsi="Times New Roman"/>
          <w:b/>
          <w:caps/>
          <w:szCs w:val="24"/>
        </w:rPr>
        <w:lastRenderedPageBreak/>
        <w:t xml:space="preserve"> Contract Terms for Diverse and Disadvantaged Workers</w:t>
      </w:r>
    </w:p>
    <w:p w14:paraId="3B054E39" w14:textId="77777777" w:rsidR="00690158" w:rsidRPr="00690158" w:rsidRDefault="00690158" w:rsidP="00690158">
      <w:pPr>
        <w:tabs>
          <w:tab w:val="left" w:pos="720"/>
        </w:tabs>
        <w:rPr>
          <w:rFonts w:ascii="Times New Roman" w:hAnsi="Times New Roman" w:cs="Times New Roman"/>
          <w:szCs w:val="24"/>
        </w:rPr>
      </w:pPr>
    </w:p>
    <w:p w14:paraId="5596C1BD" w14:textId="77777777" w:rsidR="00690158" w:rsidRPr="00690158" w:rsidRDefault="00690158" w:rsidP="00690158">
      <w:pPr>
        <w:tabs>
          <w:tab w:val="left" w:pos="720"/>
        </w:tabs>
        <w:rPr>
          <w:rFonts w:ascii="Times New Roman" w:hAnsi="Times New Roman" w:cs="Times New Roman"/>
          <w:szCs w:val="24"/>
        </w:rPr>
      </w:pPr>
      <w:r w:rsidRPr="00690158">
        <w:rPr>
          <w:rFonts w:ascii="Times New Roman" w:hAnsi="Times New Roman" w:cs="Times New Roman"/>
          <w:szCs w:val="24"/>
        </w:rPr>
        <w:t>In D.18-01-004, the Commission directed the IOUs to propose contract terms and conditions that address “diverse and disadvantaged businesses and employee terms, including small business, if applicable.”  CEE proposes the following contract terms to ensure that third party energy efficiency programs support providing disadvantaged workers access to the jobs created by these programs:</w:t>
      </w:r>
    </w:p>
    <w:p w14:paraId="1393521E" w14:textId="77777777" w:rsidR="00690158" w:rsidRPr="00690158" w:rsidRDefault="00690158" w:rsidP="00690158">
      <w:pPr>
        <w:tabs>
          <w:tab w:val="left" w:pos="720"/>
        </w:tabs>
        <w:rPr>
          <w:rFonts w:ascii="Times New Roman" w:hAnsi="Times New Roman" w:cs="Times New Roman"/>
          <w:szCs w:val="24"/>
        </w:rPr>
      </w:pPr>
    </w:p>
    <w:p w14:paraId="15C2164D" w14:textId="77777777" w:rsidR="00690158" w:rsidRPr="00690158" w:rsidRDefault="00690158" w:rsidP="00690158">
      <w:pPr>
        <w:tabs>
          <w:tab w:val="left" w:pos="720"/>
        </w:tabs>
        <w:ind w:left="720"/>
        <w:rPr>
          <w:rFonts w:ascii="Times New Roman" w:hAnsi="Times New Roman" w:cs="Times New Roman"/>
          <w:szCs w:val="24"/>
        </w:rPr>
      </w:pPr>
      <w:r w:rsidRPr="00690158">
        <w:rPr>
          <w:rFonts w:ascii="Times New Roman" w:hAnsi="Times New Roman" w:cs="Times New Roman"/>
          <w:szCs w:val="24"/>
        </w:rPr>
        <w:t xml:space="preserve">In the Implementation Plan, [third party] shall include a section describing the manner by which [third party] will support providing disadvantaged workers’ access to the jobs created by the program, such as through the adoption of workforce diversity and inclusion goals or entering into employment partnerships with state-certified apprenticeship programs, community colleges, or other organizations that have a proven track record of training and providing career opportunities to disadvantaged workers. </w:t>
      </w:r>
    </w:p>
    <w:p w14:paraId="51DE53CD" w14:textId="77777777" w:rsidR="00690158" w:rsidRPr="00690158" w:rsidRDefault="00690158" w:rsidP="00690158">
      <w:pPr>
        <w:tabs>
          <w:tab w:val="left" w:pos="720"/>
        </w:tabs>
        <w:ind w:left="720"/>
        <w:rPr>
          <w:rFonts w:ascii="Times New Roman" w:hAnsi="Times New Roman" w:cs="Times New Roman"/>
          <w:szCs w:val="24"/>
        </w:rPr>
      </w:pPr>
    </w:p>
    <w:p w14:paraId="5941B26B" w14:textId="77777777" w:rsidR="00690158" w:rsidRPr="00690158" w:rsidRDefault="00690158" w:rsidP="00690158">
      <w:pPr>
        <w:tabs>
          <w:tab w:val="left" w:pos="720"/>
        </w:tabs>
        <w:ind w:left="720"/>
        <w:rPr>
          <w:rFonts w:ascii="Times New Roman" w:hAnsi="Times New Roman" w:cs="Times New Roman"/>
          <w:szCs w:val="24"/>
        </w:rPr>
      </w:pPr>
      <w:r w:rsidRPr="00690158">
        <w:rPr>
          <w:rFonts w:ascii="Times New Roman" w:hAnsi="Times New Roman" w:cs="Times New Roman"/>
          <w:szCs w:val="24"/>
        </w:rPr>
        <w:t>Where the program provides incentives, rebates, subsidies or other assistance directly to contractors or employers of contractors, or engages, pre-qualifies or recommends specific contractors for the installation of a program-supported energy efficiency measure, [third party] shall reserve at least 50% of the funding for this assistance to energy efficiency projects installed by contractors that demonstrate a commitment to provide career pathways to disadvantaged workers by:</w:t>
      </w:r>
    </w:p>
    <w:p w14:paraId="48668FA2" w14:textId="77777777" w:rsidR="00690158" w:rsidRPr="00690158" w:rsidRDefault="00690158" w:rsidP="00690158">
      <w:pPr>
        <w:tabs>
          <w:tab w:val="left" w:pos="720"/>
        </w:tabs>
        <w:ind w:left="720"/>
        <w:rPr>
          <w:rFonts w:ascii="Times New Roman" w:hAnsi="Times New Roman" w:cs="Times New Roman"/>
          <w:szCs w:val="24"/>
        </w:rPr>
      </w:pPr>
    </w:p>
    <w:p w14:paraId="21A10EBF" w14:textId="77777777" w:rsidR="00690158" w:rsidRPr="00690158" w:rsidRDefault="00690158" w:rsidP="00690158">
      <w:pPr>
        <w:pStyle w:val="ListParagraph"/>
        <w:numPr>
          <w:ilvl w:val="0"/>
          <w:numId w:val="6"/>
        </w:numPr>
        <w:tabs>
          <w:tab w:val="left" w:pos="720"/>
        </w:tabs>
        <w:rPr>
          <w:rFonts w:ascii="Times New Roman" w:hAnsi="Times New Roman"/>
          <w:szCs w:val="24"/>
        </w:rPr>
      </w:pPr>
      <w:r w:rsidRPr="00690158">
        <w:rPr>
          <w:rFonts w:ascii="Times New Roman" w:hAnsi="Times New Roman"/>
          <w:szCs w:val="24"/>
        </w:rPr>
        <w:t xml:space="preserve">Entering into a hiring agreement, such as a community workforce agreement, community benefits agreement, labor agreement, or similar mechanism with an organization that has a proven track record of training and providing career opportunities to disadvantaged workers, including, but not limited to, community colleges, multi-craft core curriculum pre-apprentice programs, or apprenticeship programs that are approved by the California Division of Apprenticeship Standards and required to comply with the State of California Plan for Equal Opportunity in Apprenticeship; and </w:t>
      </w:r>
    </w:p>
    <w:p w14:paraId="3ABF8782" w14:textId="77777777" w:rsidR="00690158" w:rsidRPr="00690158" w:rsidRDefault="00690158" w:rsidP="00690158">
      <w:pPr>
        <w:pStyle w:val="ListParagraph"/>
        <w:tabs>
          <w:tab w:val="left" w:pos="720"/>
        </w:tabs>
        <w:ind w:left="1440"/>
        <w:rPr>
          <w:rFonts w:ascii="Times New Roman" w:hAnsi="Times New Roman"/>
          <w:szCs w:val="24"/>
        </w:rPr>
      </w:pPr>
    </w:p>
    <w:p w14:paraId="60BE6310" w14:textId="77777777" w:rsidR="00690158" w:rsidRPr="00690158" w:rsidRDefault="00690158" w:rsidP="00690158">
      <w:pPr>
        <w:pStyle w:val="ListParagraph"/>
        <w:numPr>
          <w:ilvl w:val="0"/>
          <w:numId w:val="6"/>
        </w:numPr>
        <w:tabs>
          <w:tab w:val="left" w:pos="720"/>
        </w:tabs>
        <w:rPr>
          <w:rFonts w:ascii="Times New Roman" w:hAnsi="Times New Roman"/>
          <w:szCs w:val="24"/>
        </w:rPr>
      </w:pPr>
      <w:r w:rsidRPr="00690158">
        <w:rPr>
          <w:rFonts w:ascii="Times New Roman" w:hAnsi="Times New Roman"/>
          <w:szCs w:val="24"/>
        </w:rPr>
        <w:t>Adopting an inclusion goal</w:t>
      </w:r>
      <w:r w:rsidRPr="00690158" w:rsidDel="0000146D">
        <w:rPr>
          <w:rFonts w:ascii="Times New Roman" w:hAnsi="Times New Roman"/>
          <w:szCs w:val="24"/>
        </w:rPr>
        <w:t xml:space="preserve"> </w:t>
      </w:r>
      <w:r w:rsidRPr="00690158">
        <w:rPr>
          <w:rFonts w:ascii="Times New Roman" w:hAnsi="Times New Roman"/>
          <w:szCs w:val="24"/>
        </w:rPr>
        <w:t xml:space="preserve">to make a good faith effort that at least 20 percent of all new hires shall be composed of disadvantaged workers. </w:t>
      </w:r>
      <w:r w:rsidRPr="00690158">
        <w:rPr>
          <w:rFonts w:ascii="Times New Roman" w:hAnsi="Times New Roman"/>
          <w:color w:val="000000"/>
          <w:szCs w:val="24"/>
        </w:rPr>
        <w:t>A good faith effort to meet inclusion goals shall not require a contractor to take any action that would violate a collective bargaining agreement.</w:t>
      </w:r>
    </w:p>
    <w:p w14:paraId="02EB38AE" w14:textId="77777777" w:rsidR="00690158" w:rsidRPr="00690158" w:rsidRDefault="00690158" w:rsidP="00690158">
      <w:pPr>
        <w:tabs>
          <w:tab w:val="left" w:pos="720"/>
        </w:tabs>
        <w:ind w:left="720"/>
        <w:rPr>
          <w:rFonts w:ascii="Times New Roman" w:hAnsi="Times New Roman" w:cs="Times New Roman"/>
          <w:szCs w:val="24"/>
        </w:rPr>
      </w:pPr>
    </w:p>
    <w:p w14:paraId="14EA12DA" w14:textId="77777777" w:rsidR="00690158" w:rsidRPr="00690158" w:rsidRDefault="00690158" w:rsidP="00690158">
      <w:pPr>
        <w:tabs>
          <w:tab w:val="left" w:pos="720"/>
        </w:tabs>
        <w:ind w:left="720"/>
        <w:rPr>
          <w:rFonts w:ascii="Times New Roman" w:hAnsi="Times New Roman" w:cs="Times New Roman"/>
          <w:szCs w:val="24"/>
        </w:rPr>
      </w:pPr>
      <w:r w:rsidRPr="00690158">
        <w:rPr>
          <w:rFonts w:ascii="Times New Roman" w:hAnsi="Times New Roman" w:cs="Times New Roman"/>
          <w:szCs w:val="24"/>
        </w:rPr>
        <w:t xml:space="preserve">During the duration of the contract, [third party] shall track which </w:t>
      </w:r>
      <w:r w:rsidRPr="00690158">
        <w:rPr>
          <w:rFonts w:ascii="Times New Roman" w:hAnsi="Times New Roman" w:cs="Times New Roman"/>
          <w:color w:val="000000"/>
          <w:szCs w:val="24"/>
        </w:rPr>
        <w:t xml:space="preserve">contractors have demonstrated a commitment to provide career pathway opportunities to disadvantaged workers and shall provide an annual </w:t>
      </w:r>
      <w:r w:rsidRPr="00690158">
        <w:rPr>
          <w:rFonts w:ascii="Times New Roman" w:hAnsi="Times New Roman" w:cs="Times New Roman"/>
          <w:szCs w:val="24"/>
        </w:rPr>
        <w:t>report to [IOU] describing its compliance with [section above] and the progress the program has made to support participation by disadvantaged workers.</w:t>
      </w:r>
    </w:p>
    <w:p w14:paraId="72E1EC0B" w14:textId="77777777" w:rsidR="00690158" w:rsidRPr="00690158" w:rsidRDefault="00690158" w:rsidP="00690158">
      <w:pPr>
        <w:tabs>
          <w:tab w:val="left" w:pos="720"/>
        </w:tabs>
        <w:rPr>
          <w:rFonts w:ascii="Times New Roman" w:hAnsi="Times New Roman" w:cs="Times New Roman"/>
          <w:szCs w:val="24"/>
        </w:rPr>
      </w:pPr>
    </w:p>
    <w:p w14:paraId="60295157" w14:textId="77777777" w:rsidR="00690158" w:rsidRPr="00690158" w:rsidRDefault="00690158">
      <w:pPr>
        <w:rPr>
          <w:rFonts w:ascii="Times New Roman" w:hAnsi="Times New Roman" w:cs="Times New Roman"/>
          <w:szCs w:val="24"/>
        </w:rPr>
      </w:pPr>
    </w:p>
    <w:sectPr w:rsidR="00690158" w:rsidRPr="00690158" w:rsidSect="001917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6CB07" w14:textId="77777777" w:rsidR="00984860" w:rsidRDefault="00984860" w:rsidP="00690158">
      <w:r>
        <w:separator/>
      </w:r>
    </w:p>
  </w:endnote>
  <w:endnote w:type="continuationSeparator" w:id="0">
    <w:p w14:paraId="6B2BB170" w14:textId="77777777" w:rsidR="00984860" w:rsidRDefault="00984860" w:rsidP="0069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206386"/>
      <w:docPartObj>
        <w:docPartGallery w:val="Page Numbers (Bottom of Page)"/>
        <w:docPartUnique/>
      </w:docPartObj>
    </w:sdtPr>
    <w:sdtEndPr/>
    <w:sdtContent>
      <w:p w14:paraId="1A9DA436" w14:textId="77777777" w:rsidR="00690158" w:rsidRDefault="00984860">
        <w:pPr>
          <w:pStyle w:val="Footer"/>
          <w:jc w:val="center"/>
        </w:pPr>
        <w:r>
          <w:fldChar w:fldCharType="begin"/>
        </w:r>
        <w:r>
          <w:instrText xml:space="preserve"> PAGE   \* MERGEFORMAT </w:instrText>
        </w:r>
        <w:r>
          <w:fldChar w:fldCharType="separate"/>
        </w:r>
        <w:r w:rsidR="00600CF3">
          <w:rPr>
            <w:noProof/>
          </w:rPr>
          <w:t>1</w:t>
        </w:r>
        <w:r>
          <w:rPr>
            <w:noProof/>
          </w:rPr>
          <w:fldChar w:fldCharType="end"/>
        </w:r>
      </w:p>
    </w:sdtContent>
  </w:sdt>
  <w:p w14:paraId="2CB15953" w14:textId="77777777" w:rsidR="00690158" w:rsidRDefault="006901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1E250" w14:textId="77777777" w:rsidR="00984860" w:rsidRDefault="00984860" w:rsidP="00690158">
      <w:r>
        <w:separator/>
      </w:r>
    </w:p>
  </w:footnote>
  <w:footnote w:type="continuationSeparator" w:id="0">
    <w:p w14:paraId="71C5DDC7" w14:textId="77777777" w:rsidR="00984860" w:rsidRDefault="00984860" w:rsidP="00690158">
      <w:r>
        <w:continuationSeparator/>
      </w:r>
    </w:p>
  </w:footnote>
  <w:footnote w:id="1">
    <w:p w14:paraId="4AC2B775" w14:textId="77777777" w:rsidR="00690158" w:rsidRPr="00690158" w:rsidRDefault="00690158" w:rsidP="00690158">
      <w:pPr>
        <w:pStyle w:val="FootnoteText"/>
        <w:rPr>
          <w:rFonts w:ascii="Times New Roman" w:hAnsi="Times New Roman"/>
        </w:rPr>
      </w:pPr>
      <w:r w:rsidRPr="00690158">
        <w:rPr>
          <w:rStyle w:val="FootnoteReference"/>
          <w:rFonts w:ascii="Times New Roman" w:hAnsi="Times New Roman"/>
        </w:rPr>
        <w:footnoteRef/>
      </w:r>
      <w:r w:rsidRPr="00690158">
        <w:rPr>
          <w:rFonts w:ascii="Times New Roman" w:hAnsi="Times New Roman"/>
        </w:rPr>
        <w:t xml:space="preserve"> D.18-01-004, pp. 39-42. </w:t>
      </w:r>
    </w:p>
  </w:footnote>
  <w:footnote w:id="2">
    <w:p w14:paraId="2B04D1E1" w14:textId="77777777" w:rsidR="00690158" w:rsidRPr="00690158" w:rsidRDefault="00690158" w:rsidP="00690158">
      <w:pPr>
        <w:pStyle w:val="FootnoteText"/>
        <w:rPr>
          <w:rFonts w:ascii="Times New Roman" w:hAnsi="Times New Roman"/>
        </w:rPr>
      </w:pPr>
      <w:r w:rsidRPr="00690158">
        <w:rPr>
          <w:rStyle w:val="FootnoteReference"/>
          <w:rFonts w:ascii="Times New Roman" w:hAnsi="Times New Roman"/>
        </w:rPr>
        <w:footnoteRef/>
      </w:r>
      <w:r w:rsidRPr="00690158">
        <w:rPr>
          <w:rFonts w:ascii="Times New Roman" w:hAnsi="Times New Roman"/>
        </w:rPr>
        <w:t xml:space="preserve"> Id. at 41, 63.</w:t>
      </w:r>
    </w:p>
  </w:footnote>
  <w:footnote w:id="3">
    <w:p w14:paraId="72F47E6D" w14:textId="77777777" w:rsidR="00690158" w:rsidRPr="00690158" w:rsidRDefault="00690158" w:rsidP="00690158">
      <w:pPr>
        <w:pStyle w:val="FootnoteText"/>
        <w:rPr>
          <w:rFonts w:ascii="Times New Roman" w:hAnsi="Times New Roman"/>
        </w:rPr>
      </w:pPr>
      <w:r w:rsidRPr="00690158">
        <w:rPr>
          <w:rStyle w:val="FootnoteReference"/>
          <w:rFonts w:ascii="Times New Roman" w:hAnsi="Times New Roman"/>
        </w:rPr>
        <w:footnoteRef/>
      </w:r>
      <w:r w:rsidRPr="00690158">
        <w:rPr>
          <w:rFonts w:ascii="Times New Roman" w:hAnsi="Times New Roman"/>
        </w:rPr>
        <w:t xml:space="preserve"> The Commission’s specific direction as to the requirement to propose metrics and goals for diverse and disadvantaged workers is somewhat unclear. In the order, the IOUs are directed to include the motion “</w:t>
      </w:r>
      <w:r w:rsidRPr="00690158">
        <w:rPr>
          <w:rFonts w:ascii="Times New Roman" w:hAnsi="Times New Roman"/>
          <w:i/>
        </w:rPr>
        <w:t>a metric</w:t>
      </w:r>
      <w:r w:rsidRPr="00690158">
        <w:rPr>
          <w:rFonts w:ascii="Times New Roman" w:hAnsi="Times New Roman"/>
        </w:rPr>
        <w:t xml:space="preserve"> for tracking progress toward a goal.” Id. at p. 63 (italics added). However, in the discussion, the Commission directed the utilities “to propose a definition, </w:t>
      </w:r>
      <w:r w:rsidRPr="00690158">
        <w:rPr>
          <w:rFonts w:ascii="Times New Roman" w:hAnsi="Times New Roman"/>
          <w:i/>
        </w:rPr>
        <w:t>as well as</w:t>
      </w:r>
      <w:r w:rsidRPr="00690158">
        <w:rPr>
          <w:rFonts w:ascii="Times New Roman" w:hAnsi="Times New Roman"/>
        </w:rPr>
        <w:t xml:space="preserve"> </w:t>
      </w:r>
      <w:r w:rsidRPr="00690158">
        <w:rPr>
          <w:rFonts w:ascii="Times New Roman" w:hAnsi="Times New Roman"/>
          <w:i/>
        </w:rPr>
        <w:t>a goal</w:t>
      </w:r>
      <w:r w:rsidRPr="00690158">
        <w:rPr>
          <w:rFonts w:ascii="Times New Roman" w:hAnsi="Times New Roman"/>
        </w:rPr>
        <w:t xml:space="preserve">, that we may include in the metrics for tracking of the business plan results generally, specifically for third party contractors.” Id. at p. 41 (italics added). </w:t>
      </w:r>
    </w:p>
  </w:footnote>
  <w:footnote w:id="4">
    <w:p w14:paraId="28A305B3" w14:textId="77777777" w:rsidR="00690158" w:rsidRPr="00690158" w:rsidRDefault="00690158" w:rsidP="00690158">
      <w:pPr>
        <w:pStyle w:val="FootnoteText"/>
        <w:rPr>
          <w:rFonts w:ascii="Times New Roman" w:hAnsi="Times New Roman"/>
        </w:rPr>
      </w:pPr>
      <w:r w:rsidRPr="00690158">
        <w:rPr>
          <w:rStyle w:val="FootnoteReference"/>
          <w:rFonts w:ascii="Times New Roman" w:hAnsi="Times New Roman"/>
        </w:rPr>
        <w:footnoteRef/>
      </w:r>
      <w:r w:rsidRPr="00690158">
        <w:rPr>
          <w:rFonts w:ascii="Times New Roman" w:hAnsi="Times New Roman"/>
        </w:rPr>
        <w:t xml:space="preserve"> Id. In the Decision, the IOUs were specifically ordered to select one company from among them to file a motion for approval of a standard contract and to include standard terms and conditions that address (1) eligibility requirements, (2) safety requirements, (3) the dispute resolution process, and (4) the termination process. With regard to all other terms, including diverse and disadvantaged business and employee terms, the IOUs were ordered to include “placeholder terms.” Id. at p. 63. </w:t>
      </w:r>
    </w:p>
  </w:footnote>
  <w:footnote w:id="5">
    <w:p w14:paraId="111E5F4C" w14:textId="77777777" w:rsidR="00690158" w:rsidRPr="00690158" w:rsidRDefault="00690158" w:rsidP="00690158">
      <w:pPr>
        <w:pStyle w:val="FootnoteText"/>
        <w:rPr>
          <w:rFonts w:ascii="Times New Roman" w:hAnsi="Times New Roman"/>
        </w:rPr>
      </w:pPr>
      <w:r w:rsidRPr="00690158">
        <w:rPr>
          <w:rStyle w:val="FootnoteReference"/>
          <w:rFonts w:ascii="Times New Roman" w:hAnsi="Times New Roman"/>
        </w:rPr>
        <w:footnoteRef/>
      </w:r>
      <w:r w:rsidRPr="00690158">
        <w:rPr>
          <w:rFonts w:ascii="Times New Roman" w:hAnsi="Times New Roman"/>
        </w:rPr>
        <w:t xml:space="preserve"> Opening Comments of Coalition for Energy Efficiency on Proposed Decision on Third Party Bid Solicitation Process for Energy Efficiency Programs, p. 5 fn. 4 (Dec. 4, 2017). </w:t>
      </w:r>
    </w:p>
  </w:footnote>
  <w:footnote w:id="6">
    <w:p w14:paraId="553AB416" w14:textId="77777777" w:rsidR="00690158" w:rsidRPr="00690158" w:rsidRDefault="00690158" w:rsidP="00690158">
      <w:pPr>
        <w:pStyle w:val="FootnoteText"/>
        <w:rPr>
          <w:rFonts w:ascii="Times New Roman" w:hAnsi="Times New Roman"/>
        </w:rPr>
      </w:pPr>
      <w:r w:rsidRPr="00690158">
        <w:rPr>
          <w:rStyle w:val="FootnoteReference"/>
          <w:rFonts w:ascii="Times New Roman" w:hAnsi="Times New Roman"/>
        </w:rPr>
        <w:footnoteRef/>
      </w:r>
      <w:r w:rsidRPr="00690158">
        <w:rPr>
          <w:rFonts w:ascii="Times New Roman" w:hAnsi="Times New Roman"/>
        </w:rPr>
        <w:t xml:space="preserve"> Designation of Disadvantaged Communities Pursuant to Senate Bill 535 (De Leon) (Apr. 2017), </w:t>
      </w:r>
      <w:r w:rsidRPr="00690158">
        <w:rPr>
          <w:rFonts w:ascii="Times New Roman" w:hAnsi="Times New Roman"/>
          <w:i/>
        </w:rPr>
        <w:t>available at</w:t>
      </w:r>
      <w:r w:rsidRPr="00690158">
        <w:rPr>
          <w:rFonts w:ascii="Times New Roman" w:hAnsi="Times New Roman"/>
        </w:rPr>
        <w:t xml:space="preserve"> </w:t>
      </w:r>
      <w:hyperlink r:id="rId1" w:history="1">
        <w:r w:rsidRPr="00690158">
          <w:rPr>
            <w:rStyle w:val="Hyperlink"/>
            <w:rFonts w:ascii="Times New Roman" w:hAnsi="Times New Roman"/>
          </w:rPr>
          <w:t>https://calepa.ca.gov/wp-content/uploads/sites/62/2017/04/SB-535-Designation-Final.pdf</w:t>
        </w:r>
      </w:hyperlink>
      <w:r w:rsidRPr="00690158">
        <w:rPr>
          <w:rFonts w:ascii="Times New Roman" w:hAnsi="Times New Roman"/>
        </w:rPr>
        <w:t xml:space="preserve">. </w:t>
      </w:r>
    </w:p>
  </w:footnote>
  <w:footnote w:id="7">
    <w:p w14:paraId="481B82CA" w14:textId="77777777" w:rsidR="00690158" w:rsidRPr="00690158" w:rsidRDefault="00690158" w:rsidP="00690158">
      <w:pPr>
        <w:pStyle w:val="FootnoteText"/>
        <w:rPr>
          <w:rFonts w:ascii="Times New Roman" w:hAnsi="Times New Roman"/>
        </w:rPr>
      </w:pPr>
      <w:r w:rsidRPr="00690158">
        <w:rPr>
          <w:rStyle w:val="FootnoteReference"/>
          <w:rFonts w:ascii="Times New Roman" w:hAnsi="Times New Roman"/>
        </w:rPr>
        <w:footnoteRef/>
      </w:r>
      <w:r w:rsidRPr="00690158">
        <w:rPr>
          <w:rFonts w:ascii="Times New Roman" w:hAnsi="Times New Roman"/>
        </w:rPr>
        <w:t xml:space="preserve"> See also id. </w:t>
      </w:r>
    </w:p>
  </w:footnote>
  <w:footnote w:id="8">
    <w:p w14:paraId="62754E35" w14:textId="77777777" w:rsidR="00690158" w:rsidRPr="00690158" w:rsidRDefault="00690158" w:rsidP="00690158">
      <w:pPr>
        <w:pStyle w:val="FootnoteText"/>
        <w:rPr>
          <w:rFonts w:ascii="Times New Roman" w:hAnsi="Times New Roman"/>
        </w:rPr>
      </w:pPr>
      <w:r w:rsidRPr="00690158">
        <w:rPr>
          <w:rStyle w:val="FootnoteReference"/>
          <w:rFonts w:ascii="Times New Roman" w:hAnsi="Times New Roman"/>
        </w:rPr>
        <w:footnoteRef/>
      </w:r>
      <w:r w:rsidRPr="00690158">
        <w:rPr>
          <w:rFonts w:ascii="Times New Roman" w:hAnsi="Times New Roman"/>
        </w:rPr>
        <w:t xml:space="preserve"> This goal reflects that a substantial portion of energy efficiency program funding may go to programs that are not amenable to tracking who ultimately installs the energy efficiency measures.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17A63"/>
    <w:multiLevelType w:val="hybridMultilevel"/>
    <w:tmpl w:val="E010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C4246"/>
    <w:multiLevelType w:val="hybridMultilevel"/>
    <w:tmpl w:val="662ACFD6"/>
    <w:lvl w:ilvl="0" w:tplc="8A3A4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F23E4"/>
    <w:multiLevelType w:val="hybridMultilevel"/>
    <w:tmpl w:val="698ED340"/>
    <w:lvl w:ilvl="0" w:tplc="9FFC38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93561C"/>
    <w:multiLevelType w:val="hybridMultilevel"/>
    <w:tmpl w:val="A5D42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02A6A"/>
    <w:multiLevelType w:val="hybridMultilevel"/>
    <w:tmpl w:val="C6785D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19C39B4"/>
    <w:multiLevelType w:val="hybridMultilevel"/>
    <w:tmpl w:val="D062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0158"/>
    <w:rsid w:val="00057920"/>
    <w:rsid w:val="00091D0D"/>
    <w:rsid w:val="00150BC2"/>
    <w:rsid w:val="0019178F"/>
    <w:rsid w:val="005D42E4"/>
    <w:rsid w:val="00600CF3"/>
    <w:rsid w:val="00690158"/>
    <w:rsid w:val="007B436F"/>
    <w:rsid w:val="00842FCC"/>
    <w:rsid w:val="00860EBA"/>
    <w:rsid w:val="00984860"/>
    <w:rsid w:val="00A158F1"/>
    <w:rsid w:val="00BA59CA"/>
    <w:rsid w:val="00CA3FED"/>
    <w:rsid w:val="00CF313F"/>
    <w:rsid w:val="00D427C4"/>
    <w:rsid w:val="00EA047C"/>
    <w:rsid w:val="00F4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73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1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158"/>
    <w:pPr>
      <w:ind w:left="720"/>
      <w:contextualSpacing/>
    </w:pPr>
    <w:rPr>
      <w:rFonts w:eastAsia="Times New Roman" w:cs="Times New Roman"/>
      <w:szCs w:val="20"/>
    </w:rPr>
  </w:style>
  <w:style w:type="paragraph" w:styleId="FootnoteText">
    <w:name w:val="footnote text"/>
    <w:basedOn w:val="Normal"/>
    <w:link w:val="FootnoteTextChar"/>
    <w:uiPriority w:val="99"/>
    <w:unhideWhenUsed/>
    <w:rsid w:val="00690158"/>
    <w:rPr>
      <w:rFonts w:eastAsia="Times New Roman" w:cs="Times New Roman"/>
      <w:sz w:val="20"/>
      <w:szCs w:val="20"/>
    </w:rPr>
  </w:style>
  <w:style w:type="character" w:customStyle="1" w:styleId="FootnoteTextChar">
    <w:name w:val="Footnote Text Char"/>
    <w:basedOn w:val="DefaultParagraphFont"/>
    <w:link w:val="FootnoteText"/>
    <w:uiPriority w:val="99"/>
    <w:rsid w:val="00690158"/>
    <w:rPr>
      <w:rFonts w:eastAsia="Times New Roman" w:cs="Times New Roman"/>
      <w:sz w:val="20"/>
      <w:szCs w:val="20"/>
    </w:rPr>
  </w:style>
  <w:style w:type="character" w:styleId="FootnoteReference">
    <w:name w:val="footnote reference"/>
    <w:basedOn w:val="DefaultParagraphFont"/>
    <w:uiPriority w:val="99"/>
    <w:semiHidden/>
    <w:unhideWhenUsed/>
    <w:rsid w:val="00690158"/>
    <w:rPr>
      <w:vertAlign w:val="superscript"/>
    </w:rPr>
  </w:style>
  <w:style w:type="character" w:styleId="Hyperlink">
    <w:name w:val="Hyperlink"/>
    <w:basedOn w:val="DefaultParagraphFont"/>
    <w:uiPriority w:val="99"/>
    <w:unhideWhenUsed/>
    <w:rsid w:val="00690158"/>
    <w:rPr>
      <w:color w:val="0000FF" w:themeColor="hyperlink"/>
      <w:u w:val="single"/>
    </w:rPr>
  </w:style>
  <w:style w:type="paragraph" w:styleId="Header">
    <w:name w:val="header"/>
    <w:basedOn w:val="Normal"/>
    <w:link w:val="HeaderChar"/>
    <w:uiPriority w:val="99"/>
    <w:semiHidden/>
    <w:unhideWhenUsed/>
    <w:rsid w:val="00690158"/>
    <w:pPr>
      <w:tabs>
        <w:tab w:val="center" w:pos="4680"/>
        <w:tab w:val="right" w:pos="9360"/>
      </w:tabs>
    </w:pPr>
  </w:style>
  <w:style w:type="character" w:customStyle="1" w:styleId="HeaderChar">
    <w:name w:val="Header Char"/>
    <w:basedOn w:val="DefaultParagraphFont"/>
    <w:link w:val="Header"/>
    <w:uiPriority w:val="99"/>
    <w:semiHidden/>
    <w:rsid w:val="00690158"/>
  </w:style>
  <w:style w:type="paragraph" w:styleId="Footer">
    <w:name w:val="footer"/>
    <w:basedOn w:val="Normal"/>
    <w:link w:val="FooterChar"/>
    <w:uiPriority w:val="99"/>
    <w:unhideWhenUsed/>
    <w:rsid w:val="00690158"/>
    <w:pPr>
      <w:tabs>
        <w:tab w:val="center" w:pos="4680"/>
        <w:tab w:val="right" w:pos="9360"/>
      </w:tabs>
    </w:pPr>
  </w:style>
  <w:style w:type="character" w:customStyle="1" w:styleId="FooterChar">
    <w:name w:val="Footer Char"/>
    <w:basedOn w:val="DefaultParagraphFont"/>
    <w:link w:val="Footer"/>
    <w:uiPriority w:val="99"/>
    <w:rsid w:val="00690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ehha.ca.gov/calenviroscreen/sb535"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alepa.ca.gov/wp-content/uploads/sites/62/2017/04/SB-535-Designatio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7929</Characters>
  <Application>Microsoft Macintosh Word</Application>
  <DocSecurity>0</DocSecurity>
  <Lines>184</Lines>
  <Paragraphs>77</Paragraphs>
  <ScaleCrop>false</ScaleCrop>
  <Company>AdamsBroadwell</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tenslow</dc:creator>
  <cp:lastModifiedBy>Susan Rivo</cp:lastModifiedBy>
  <cp:revision>2</cp:revision>
  <dcterms:created xsi:type="dcterms:W3CDTF">2018-02-14T16:53:00Z</dcterms:created>
  <dcterms:modified xsi:type="dcterms:W3CDTF">2018-02-14T16:53:00Z</dcterms:modified>
</cp:coreProperties>
</file>